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12D4C">
      <w:pPr>
        <w:jc w:val="center"/>
        <w:rPr>
          <w:rFonts w:ascii="仿宋_GB2312" w:eastAsia="仿宋_GB2312"/>
          <w:b/>
          <w:sz w:val="32"/>
          <w:szCs w:val="32"/>
        </w:rPr>
      </w:pPr>
    </w:p>
    <w:p w14:paraId="10F3A104">
      <w:pPr>
        <w:jc w:val="center"/>
        <w:rPr>
          <w:rFonts w:ascii="黑体" w:eastAsia="黑体"/>
          <w:sz w:val="72"/>
          <w:szCs w:val="72"/>
        </w:rPr>
      </w:pPr>
    </w:p>
    <w:p w14:paraId="6D74D936">
      <w:pPr>
        <w:jc w:val="center"/>
        <w:rPr>
          <w:rFonts w:ascii="黑体" w:eastAsia="黑体"/>
          <w:sz w:val="72"/>
          <w:szCs w:val="72"/>
        </w:rPr>
      </w:pPr>
    </w:p>
    <w:p w14:paraId="36BDE6C0">
      <w:pPr>
        <w:jc w:val="center"/>
        <w:rPr>
          <w:rFonts w:ascii="黑体" w:eastAsia="黑体"/>
          <w:sz w:val="72"/>
          <w:szCs w:val="72"/>
        </w:rPr>
      </w:pPr>
    </w:p>
    <w:p w14:paraId="2E4A3096">
      <w:pPr>
        <w:jc w:val="center"/>
        <w:rPr>
          <w:rFonts w:ascii="黑体" w:eastAsia="黑体"/>
          <w:sz w:val="72"/>
          <w:szCs w:val="72"/>
        </w:rPr>
      </w:pPr>
    </w:p>
    <w:p w14:paraId="6F36C65A">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23645F10">
      <w:pPr>
        <w:jc w:val="center"/>
        <w:rPr>
          <w:rFonts w:ascii="黑体" w:eastAsia="黑体"/>
          <w:sz w:val="52"/>
          <w:szCs w:val="52"/>
        </w:rPr>
      </w:pPr>
    </w:p>
    <w:p w14:paraId="5C9F9FBC">
      <w:pPr>
        <w:jc w:val="center"/>
        <w:rPr>
          <w:rFonts w:ascii="黑体" w:eastAsia="黑体"/>
          <w:sz w:val="52"/>
          <w:szCs w:val="52"/>
        </w:rPr>
      </w:pPr>
    </w:p>
    <w:p w14:paraId="72BFCE9A">
      <w:pPr>
        <w:jc w:val="center"/>
        <w:rPr>
          <w:rFonts w:ascii="黑体" w:eastAsia="黑体"/>
          <w:sz w:val="52"/>
          <w:szCs w:val="52"/>
        </w:rPr>
      </w:pPr>
    </w:p>
    <w:p w14:paraId="4365EBF2">
      <w:pPr>
        <w:jc w:val="center"/>
        <w:rPr>
          <w:rFonts w:ascii="黑体" w:eastAsia="黑体"/>
          <w:sz w:val="52"/>
          <w:szCs w:val="52"/>
        </w:rPr>
      </w:pPr>
    </w:p>
    <w:p w14:paraId="38198273">
      <w:pPr>
        <w:jc w:val="center"/>
        <w:rPr>
          <w:rFonts w:ascii="黑体" w:eastAsia="黑体"/>
          <w:sz w:val="32"/>
          <w:szCs w:val="32"/>
        </w:rPr>
      </w:pPr>
    </w:p>
    <w:p w14:paraId="45AE3FF5">
      <w:pPr>
        <w:spacing w:line="500" w:lineRule="exact"/>
        <w:ind w:firstLine="645"/>
        <w:jc w:val="center"/>
        <w:rPr>
          <w:rFonts w:hint="eastAsia" w:ascii="宋体" w:hAnsi="宋体" w:cs="宋体"/>
          <w:b/>
          <w:bCs/>
          <w:kern w:val="0"/>
          <w:sz w:val="44"/>
          <w:szCs w:val="36"/>
        </w:rPr>
      </w:pPr>
      <w:r>
        <w:rPr>
          <w:rFonts w:hint="eastAsia" w:ascii="宋体" w:hAnsi="宋体" w:cs="宋体"/>
          <w:b/>
          <w:bCs/>
          <w:kern w:val="0"/>
          <w:sz w:val="44"/>
          <w:szCs w:val="36"/>
        </w:rPr>
        <w:t>目    录</w:t>
      </w:r>
    </w:p>
    <w:p w14:paraId="48D86D19">
      <w:pPr>
        <w:spacing w:line="500" w:lineRule="exact"/>
        <w:ind w:firstLine="645"/>
        <w:jc w:val="center"/>
        <w:rPr>
          <w:rFonts w:hint="eastAsia" w:ascii="宋体" w:hAnsi="宋体" w:cs="宋体"/>
          <w:b/>
          <w:bCs/>
          <w:kern w:val="0"/>
          <w:sz w:val="36"/>
          <w:szCs w:val="36"/>
        </w:rPr>
      </w:pPr>
    </w:p>
    <w:p w14:paraId="31DE42C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36B4BF4F">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F1C0C9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21B12D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3AE4E6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1024A7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FEEA20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0CB8DC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C0A3EC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017BA2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794C494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EA4C31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1DE664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1C06D94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4DC9918B">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48E14FCC">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06BF17D6">
      <w:pPr>
        <w:tabs>
          <w:tab w:val="center" w:pos="6979"/>
        </w:tabs>
        <w:spacing w:before="156" w:beforeLines="50" w:after="156" w:afterLines="50"/>
        <w:jc w:val="center"/>
        <w:rPr>
          <w:rFonts w:hint="eastAsia" w:ascii="宋体" w:hAnsi="宋体" w:cs="宋体"/>
          <w:b/>
          <w:bCs/>
          <w:spacing w:val="40"/>
          <w:kern w:val="0"/>
          <w:sz w:val="32"/>
          <w:szCs w:val="32"/>
        </w:rPr>
      </w:pPr>
    </w:p>
    <w:p w14:paraId="6C020E3C">
      <w:pPr>
        <w:tabs>
          <w:tab w:val="center" w:pos="6979"/>
        </w:tabs>
        <w:spacing w:before="156" w:beforeLines="50" w:after="156" w:afterLines="50"/>
        <w:jc w:val="center"/>
        <w:rPr>
          <w:rFonts w:hint="eastAsia" w:ascii="宋体" w:hAnsi="宋体" w:cs="宋体"/>
          <w:b/>
          <w:bCs/>
          <w:spacing w:val="40"/>
          <w:kern w:val="0"/>
          <w:sz w:val="32"/>
          <w:szCs w:val="32"/>
        </w:rPr>
      </w:pPr>
    </w:p>
    <w:p w14:paraId="25E8F50E">
      <w:pPr>
        <w:tabs>
          <w:tab w:val="center" w:pos="6979"/>
        </w:tabs>
        <w:spacing w:before="156" w:beforeLines="50" w:after="156" w:afterLines="50"/>
        <w:jc w:val="center"/>
        <w:rPr>
          <w:rFonts w:hint="eastAsia" w:ascii="宋体" w:hAnsi="宋体" w:cs="宋体"/>
          <w:b/>
          <w:bCs/>
          <w:spacing w:val="40"/>
          <w:kern w:val="0"/>
          <w:sz w:val="32"/>
          <w:szCs w:val="32"/>
        </w:rPr>
      </w:pPr>
    </w:p>
    <w:p w14:paraId="750DEB3B">
      <w:pPr>
        <w:tabs>
          <w:tab w:val="center" w:pos="6979"/>
        </w:tabs>
        <w:spacing w:before="156" w:beforeLines="50" w:after="156" w:afterLines="50"/>
        <w:jc w:val="center"/>
        <w:rPr>
          <w:rFonts w:hint="eastAsia" w:ascii="宋体" w:hAnsi="宋体" w:cs="宋体"/>
          <w:b/>
          <w:bCs/>
          <w:spacing w:val="40"/>
          <w:kern w:val="0"/>
          <w:sz w:val="32"/>
          <w:szCs w:val="32"/>
        </w:rPr>
      </w:pPr>
    </w:p>
    <w:p w14:paraId="32062BC6">
      <w:pPr>
        <w:tabs>
          <w:tab w:val="center" w:pos="6979"/>
        </w:tabs>
        <w:spacing w:before="156" w:beforeLines="50" w:after="156" w:afterLines="50"/>
        <w:jc w:val="center"/>
        <w:rPr>
          <w:rFonts w:hint="eastAsia" w:ascii="宋体" w:hAnsi="宋体" w:cs="宋体"/>
          <w:b/>
          <w:bCs/>
          <w:spacing w:val="40"/>
          <w:kern w:val="0"/>
          <w:sz w:val="32"/>
          <w:szCs w:val="32"/>
        </w:rPr>
      </w:pPr>
    </w:p>
    <w:p w14:paraId="31CA0FCA">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2FCC8F73">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5A80B2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2AC122AD">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3E17843C">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北京第二实验小学白云路分校是一所由政府教育部门主管的公立六年制小学。</w:t>
      </w:r>
      <w:r>
        <w:rPr>
          <w:rFonts w:hint="eastAsia" w:ascii="仿宋_GB2312" w:eastAsia="仿宋_GB2312"/>
          <w:kern w:val="0"/>
          <w:sz w:val="28"/>
          <w:szCs w:val="28"/>
          <w:lang w:val="en-US" w:eastAsia="zh-CN"/>
        </w:rPr>
        <w:t>学校的</w:t>
      </w:r>
      <w:r>
        <w:rPr>
          <w:rFonts w:hint="eastAsia" w:ascii="仿宋_GB2312" w:eastAsia="仿宋_GB2312"/>
          <w:kern w:val="0"/>
          <w:sz w:val="28"/>
          <w:szCs w:val="28"/>
        </w:rPr>
        <w:t>主要职责：坚持全面贯彻党的教育方针、路线和政策，坚持立德树人根本任务，坚持贯彻落实社会主义核心价值观，坚持社会主义办学方向，以全体师生为发展核心，不断深化教育改革，培养社会主义合格建设者和可靠接班人。</w:t>
      </w:r>
      <w:bookmarkStart w:id="0" w:name="_GoBack"/>
      <w:bookmarkEnd w:id="0"/>
    </w:p>
    <w:p w14:paraId="50769BC0">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14204E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5444.92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380.73万元，增长7.52</w:t>
      </w:r>
      <w:r>
        <w:rPr>
          <w:rFonts w:ascii="仿宋_GB2312" w:eastAsia="仿宋_GB2312"/>
          <w:sz w:val="28"/>
          <w:szCs w:val="28"/>
        </w:rPr>
        <w:t>%</w:t>
      </w:r>
      <w:r>
        <w:rPr>
          <w:rFonts w:hint="eastAsia" w:ascii="仿宋_GB2312" w:eastAsia="仿宋_GB2312"/>
          <w:sz w:val="28"/>
          <w:szCs w:val="28"/>
        </w:rPr>
        <w:t>。</w:t>
      </w:r>
    </w:p>
    <w:p w14:paraId="0CC381F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435E9FD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5444.92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380.73万元，增长7.52</w:t>
      </w:r>
      <w:r>
        <w:rPr>
          <w:rFonts w:ascii="仿宋_GB2312" w:eastAsia="仿宋_GB2312"/>
          <w:sz w:val="28"/>
          <w:szCs w:val="28"/>
        </w:rPr>
        <w:t>%</w:t>
      </w:r>
      <w:r>
        <w:rPr>
          <w:rFonts w:hint="eastAsia" w:ascii="仿宋_GB2312" w:eastAsia="仿宋_GB2312"/>
          <w:sz w:val="28"/>
          <w:szCs w:val="28"/>
        </w:rPr>
        <w:t>。</w:t>
      </w:r>
    </w:p>
    <w:p w14:paraId="202738F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5444.92</w:t>
      </w:r>
      <w:r>
        <w:rPr>
          <w:rFonts w:hint="eastAsia" w:ascii="仿宋_GB2312" w:eastAsia="仿宋_GB2312"/>
          <w:sz w:val="28"/>
          <w:szCs w:val="28"/>
        </w:rPr>
        <w:t>万元，占收入合计的100%。其中：一般公共预算财政拨款收入</w:t>
      </w:r>
      <w:r>
        <w:rPr>
          <w:rFonts w:ascii="仿宋_GB2312" w:eastAsia="仿宋_GB2312"/>
          <w:sz w:val="28"/>
          <w:szCs w:val="28"/>
        </w:rPr>
        <w:t>5444.92</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1BC18CF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6B489CE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5BB8B30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57B8A3F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61769903">
      <w:pPr>
        <w:tabs>
          <w:tab w:val="center" w:pos="6979"/>
        </w:tabs>
        <w:spacing w:line="580" w:lineRule="exact"/>
        <w:ind w:firstLine="560" w:firstLineChars="200"/>
        <w:rPr>
          <w:rFonts w:ascii="仿宋_GB2312" w:eastAsia="仿宋_GB2312" w:cs="Droid Sans"/>
          <w:color w:val="000000"/>
          <w:sz w:val="32"/>
          <w:szCs w:val="32"/>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1DD8EBF9">
      <w:pPr>
        <w:pStyle w:val="2"/>
        <w:jc w:val="center"/>
      </w:pPr>
      <w:r>
        <w:rPr>
          <w:rFonts w:hint="eastAsia" w:ascii="仿宋_GB2312" w:eastAsia="仿宋_GB2312"/>
          <w:color w:val="000000"/>
          <w:sz w:val="32"/>
        </w:rPr>
        <w:t>图1：收入决算</w:t>
      </w:r>
    </w:p>
    <w:p w14:paraId="25E167CE">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358141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507906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5444.92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380.73万元，增长7.52</w:t>
      </w:r>
      <w:r>
        <w:rPr>
          <w:rFonts w:ascii="仿宋_GB2312" w:eastAsia="仿宋_GB2312"/>
          <w:sz w:val="28"/>
          <w:szCs w:val="28"/>
        </w:rPr>
        <w:t>%</w:t>
      </w:r>
      <w:r>
        <w:rPr>
          <w:rFonts w:hint="eastAsia" w:ascii="仿宋_GB2312" w:eastAsia="仿宋_GB2312"/>
          <w:sz w:val="28"/>
          <w:szCs w:val="28"/>
        </w:rPr>
        <w:t>，其中：基本支出</w:t>
      </w:r>
      <w:r>
        <w:rPr>
          <w:rFonts w:ascii="仿宋_GB2312" w:eastAsia="仿宋_GB2312"/>
          <w:sz w:val="28"/>
          <w:szCs w:val="28"/>
        </w:rPr>
        <w:t>4430.19</w:t>
      </w:r>
      <w:r>
        <w:rPr>
          <w:rFonts w:hint="eastAsia" w:ascii="仿宋_GB2312" w:eastAsia="仿宋_GB2312"/>
          <w:sz w:val="28"/>
          <w:szCs w:val="28"/>
        </w:rPr>
        <w:t>万元，占支出合计的81.36%；项目支出</w:t>
      </w:r>
      <w:r>
        <w:rPr>
          <w:rFonts w:ascii="仿宋_GB2312" w:eastAsia="仿宋_GB2312"/>
          <w:sz w:val="28"/>
          <w:szCs w:val="28"/>
        </w:rPr>
        <w:t>1014.74</w:t>
      </w:r>
      <w:r>
        <w:rPr>
          <w:rFonts w:hint="eastAsia" w:ascii="仿宋_GB2312" w:eastAsia="仿宋_GB2312"/>
          <w:sz w:val="28"/>
          <w:szCs w:val="28"/>
        </w:rPr>
        <w:t>万元，占支出合计的18.64%;上缴上级支出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3E3C3F73">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85AEBE1">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317ED0E">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7EE158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5444.92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380.73万元，增长7.52</w:t>
      </w:r>
      <w:r>
        <w:rPr>
          <w:rFonts w:ascii="仿宋_GB2312" w:eastAsia="仿宋_GB2312"/>
          <w:sz w:val="28"/>
          <w:szCs w:val="28"/>
        </w:rPr>
        <w:t>%</w:t>
      </w:r>
      <w:r>
        <w:rPr>
          <w:rFonts w:hint="eastAsia" w:ascii="仿宋_GB2312" w:eastAsia="仿宋_GB2312"/>
          <w:sz w:val="28"/>
          <w:szCs w:val="28"/>
        </w:rPr>
        <w:t>。主要原因：</w:t>
      </w:r>
    </w:p>
    <w:p w14:paraId="53BC443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（1）本年度离休人员调增了离休护理费标准并补发了全年差额、有新增退休人员追加并发放了一次性退休补贴、有新入职人员追加了在职人员经费，以上综合导致人员经费收入、支出较上年增加。</w:t>
      </w:r>
    </w:p>
    <w:p w14:paraId="7891D4F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（2）2022年我校新租赁了华电公司的一处房屋用于分址办学，2024年补付了2022年度新增校址的首期租赁费用约131.96万元，办公用房租金项目专项收入、支出较上年增加。</w:t>
      </w:r>
    </w:p>
    <w:p w14:paraId="0DA3B93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（3）2024年学校扩班2个，教师需求增加，外聘教师人数增加，外聘人员经费收入、支出较上年增加，学生人数增加，义务教育免费教科书、中小学生实践活动等项目经费收入、支出较上年增加。</w:t>
      </w:r>
    </w:p>
    <w:p w14:paraId="5D04156B">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00B67F7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7443D62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5444.92</w:t>
      </w:r>
      <w:r>
        <w:rPr>
          <w:rFonts w:hint="eastAsia" w:ascii="仿宋_GB2312" w:eastAsia="仿宋_GB2312"/>
          <w:sz w:val="28"/>
          <w:szCs w:val="28"/>
        </w:rPr>
        <w:t>万元，主要用于以下方面（按大类）：教育支出3938.01万元，占本年财政拨款支出72.32%；社会保障和就业支出673.04万元，占本年财政拨款支出12.36%；卫生健康支出292.17万元 ，占本年财政拨款支出5.37%；住房保障支出541.71万元，占本年财政拨款支出9.95%。</w:t>
      </w:r>
    </w:p>
    <w:p w14:paraId="697BC101">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4BA82E2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1、“教育支出”（类）2024年度年初预3778.39万元，2024年度决算3938.01万元，完成年初预算的104.22%。其中：</w:t>
      </w:r>
    </w:p>
    <w:p w14:paraId="0DFEC857">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“普通教育”（款）2024年度年初预算3738.27万元，2024年度决算3900.96万元，完成年初预算的104.35%。主要原因：2024年度追加了在职人员经费以及义务教育免费教科书、中小学生实践活动、外聘人员等项目经费。</w:t>
      </w:r>
    </w:p>
    <w:p w14:paraId="025859FF">
      <w:pPr>
        <w:spacing w:line="580" w:lineRule="exact"/>
        <w:ind w:firstLine="560" w:firstLineChars="200"/>
        <w:rPr>
          <w:rFonts w:ascii="仿宋_GB2312" w:eastAsia="仿宋_GB2312"/>
          <w:sz w:val="28"/>
          <w:szCs w:val="28"/>
        </w:rPr>
      </w:pPr>
      <w:r>
        <w:rPr>
          <w:rFonts w:hint="eastAsia" w:ascii="仿宋_GB2312" w:eastAsia="仿宋_GB2312"/>
          <w:sz w:val="28"/>
          <w:szCs w:val="28"/>
        </w:rPr>
        <w:t>“特殊教育”（款）2024年度年初预算4.76万元，2024年度决算4.76万元，完成年初预算的100%。</w:t>
      </w:r>
    </w:p>
    <w:p w14:paraId="12813B72">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“进修及培训”（款）2024年度年初预算7.36万元，2024年度决算4.29万元，完成年初预算的58.33%。主要原因：学校落实政府“过紧日子”要求、厉行勤俭节约要求，压减了培训支出。</w:t>
      </w:r>
    </w:p>
    <w:p w14:paraId="02D2338D">
      <w:pPr>
        <w:spacing w:line="580" w:lineRule="exact"/>
        <w:ind w:firstLine="560" w:firstLineChars="200"/>
        <w:rPr>
          <w:rFonts w:ascii="仿宋_GB2312" w:eastAsia="仿宋_GB2312"/>
          <w:sz w:val="28"/>
          <w:szCs w:val="28"/>
        </w:rPr>
      </w:pPr>
      <w:r>
        <w:rPr>
          <w:rFonts w:hint="eastAsia" w:ascii="仿宋_GB2312" w:eastAsia="仿宋_GB2312"/>
          <w:sz w:val="28"/>
          <w:szCs w:val="28"/>
        </w:rPr>
        <w:t>“教育费附加安排的支出”（款）2024年度年初预算28万元，2024年度决算28万元，完成年初预算的99.98%。</w:t>
      </w:r>
    </w:p>
    <w:p w14:paraId="55105601">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2、“社会保障和就业支出”(类)2024年度年初预算625.59万元，2024年度决算673.04万元，完成年初预算的107.58%。其中：</w:t>
      </w:r>
    </w:p>
    <w:p w14:paraId="6EC03D87">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“行政事业单位养老支出”（款）2024年度年初预算625.59万元，2024年度决算656.35万元，完成年初预算的104.92%。主要原因：2024年度有新增退休人员，发放了一次性退休补贴。</w:t>
      </w:r>
    </w:p>
    <w:p w14:paraId="60055ABA">
      <w:pPr>
        <w:spacing w:line="580" w:lineRule="exact"/>
        <w:ind w:firstLine="560" w:firstLineChars="200"/>
        <w:rPr>
          <w:rFonts w:ascii="仿宋_GB2312" w:eastAsia="仿宋_GB2312"/>
          <w:sz w:val="28"/>
          <w:szCs w:val="28"/>
        </w:rPr>
      </w:pPr>
      <w:r>
        <w:rPr>
          <w:rFonts w:hint="eastAsia" w:ascii="仿宋_GB2312" w:eastAsia="仿宋_GB2312"/>
          <w:sz w:val="28"/>
          <w:szCs w:val="28"/>
        </w:rPr>
        <w:t>“抚恤”（款）2024年度年初预算0万元，2024年度决算16.68万元。主要原因：2024年度有退休教师去世，发放了抚恤金。</w:t>
      </w:r>
    </w:p>
    <w:p w14:paraId="487686FC">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3、“卫生健康支出”(类)2024年度年初预算289.82万元，2024年度决算292.17万元，完成年初预算的100.81%。其中：</w:t>
      </w:r>
    </w:p>
    <w:p w14:paraId="06253D3A">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“行政事业单位医疗”（款）2024年度年初预算289.82万元，2024年度决算292.17万元，完成年初预算的100.81%。主要原因：2024年度在职人员医疗保险缴费支出较年初预算增加。</w:t>
      </w:r>
    </w:p>
    <w:p w14:paraId="5DAA9F14">
      <w:pPr>
        <w:spacing w:line="580" w:lineRule="exact"/>
        <w:ind w:firstLine="560" w:firstLineChars="200"/>
        <w:rPr>
          <w:rFonts w:ascii="仿宋_GB2312" w:eastAsia="仿宋_GB2312"/>
          <w:sz w:val="28"/>
          <w:szCs w:val="28"/>
        </w:rPr>
      </w:pPr>
      <w:r>
        <w:rPr>
          <w:rFonts w:hint="eastAsia" w:ascii="仿宋_GB2312" w:eastAsia="仿宋_GB2312"/>
          <w:sz w:val="28"/>
          <w:szCs w:val="28"/>
        </w:rPr>
        <w:t>4、“住房保障支出”(类)2024年度年初预算544.26万元，2024年度决算541.71万元，完成年初预算的99.53%。其中：</w:t>
      </w:r>
    </w:p>
    <w:p w14:paraId="75A5A744">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“住房改革支出”（款）2024年度年初预算544.26万元，2024年度决算541.71万元，完成年初预算的99.53%。主要原因：2024年度有在职人员退休，住房公积金支出较年初预算减少。</w:t>
      </w:r>
    </w:p>
    <w:p w14:paraId="6F0ED635">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273CAEDC">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本单位无此项经费。</w:t>
      </w:r>
    </w:p>
    <w:p w14:paraId="5E0CEE49">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11E417C">
      <w:pPr>
        <w:ind w:firstLine="537" w:firstLineChars="192"/>
        <w:rPr>
          <w:rFonts w:ascii="仿宋_GB2312" w:eastAsia="仿宋_GB2312"/>
          <w:sz w:val="28"/>
          <w:szCs w:val="28"/>
        </w:rPr>
      </w:pPr>
      <w:r>
        <w:rPr>
          <w:rFonts w:hint="eastAsia" w:ascii="仿宋_GB2312" w:eastAsia="仿宋_GB2312"/>
          <w:sz w:val="28"/>
          <w:szCs w:val="28"/>
        </w:rPr>
        <w:t>本单位无此项经费。</w:t>
      </w:r>
    </w:p>
    <w:p w14:paraId="70C2F927">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02DD3579">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4430.19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B59106F">
      <w:pPr>
        <w:autoSpaceDE w:val="0"/>
        <w:autoSpaceDN w:val="0"/>
        <w:adjustRightInd w:val="0"/>
        <w:spacing w:line="580" w:lineRule="exact"/>
        <w:rPr>
          <w:rFonts w:hint="eastAsia" w:ascii="宋体" w:hAnsi="宋体"/>
          <w:b/>
          <w:spacing w:val="40"/>
          <w:sz w:val="32"/>
          <w:szCs w:val="32"/>
        </w:rPr>
      </w:pPr>
      <w:r>
        <w:rPr>
          <w:rFonts w:ascii="仿宋_GB2312" w:eastAsia="仿宋_GB2312"/>
          <w:b/>
          <w:sz w:val="32"/>
          <w:szCs w:val="32"/>
        </w:rPr>
        <w:tab/>
      </w:r>
    </w:p>
    <w:p w14:paraId="33EA6120">
      <w:pPr>
        <w:tabs>
          <w:tab w:val="center" w:pos="6979"/>
        </w:tabs>
        <w:jc w:val="center"/>
        <w:rPr>
          <w:rFonts w:hint="eastAsia" w:ascii="宋体" w:hAnsi="宋体" w:cs="宋体"/>
          <w:b/>
          <w:bCs/>
          <w:spacing w:val="40"/>
          <w:kern w:val="0"/>
          <w:sz w:val="32"/>
          <w:szCs w:val="32"/>
        </w:rPr>
      </w:pPr>
    </w:p>
    <w:p w14:paraId="419CD3B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38727A61">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1ACDBAD9">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w:t>
      </w:r>
      <w:r>
        <w:rPr>
          <w:rFonts w:hint="eastAsia" w:ascii="仿宋_GB2312" w:eastAsia="仿宋_GB2312"/>
          <w:sz w:val="28"/>
          <w:szCs w:val="28"/>
        </w:rPr>
        <w:t>万元，和2024年度“三公”经费财政拨款年初预算一致。其中：</w:t>
      </w:r>
    </w:p>
    <w:p w14:paraId="6185E7FA">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1.因公出国（境）费用。本单位无此项经费。</w:t>
      </w:r>
    </w:p>
    <w:p w14:paraId="69215728">
      <w:pPr>
        <w:spacing w:line="560" w:lineRule="exact"/>
        <w:ind w:firstLine="600"/>
        <w:rPr>
          <w:rFonts w:ascii="仿宋_GB2312" w:eastAsia="仿宋_GB2312"/>
          <w:sz w:val="28"/>
          <w:szCs w:val="28"/>
        </w:rPr>
      </w:pPr>
      <w:r>
        <w:rPr>
          <w:rFonts w:hint="eastAsia" w:ascii="仿宋_GB2312" w:eastAsia="仿宋_GB2312"/>
          <w:sz w:val="28"/>
          <w:szCs w:val="28"/>
        </w:rPr>
        <w:t>2.公务接待费。本单位无此项经费。</w:t>
      </w:r>
    </w:p>
    <w:p w14:paraId="3F19849B">
      <w:pPr>
        <w:spacing w:line="560" w:lineRule="exact"/>
        <w:ind w:firstLine="600"/>
        <w:rPr>
          <w:rFonts w:ascii="仿宋_GB2312" w:eastAsia="仿宋_GB2312"/>
          <w:sz w:val="28"/>
          <w:szCs w:val="28"/>
        </w:rPr>
      </w:pPr>
      <w:r>
        <w:rPr>
          <w:rFonts w:hint="eastAsia" w:ascii="仿宋_GB2312" w:eastAsia="仿宋_GB2312"/>
          <w:sz w:val="28"/>
          <w:szCs w:val="28"/>
        </w:rPr>
        <w:t>3.公务用车购置及运行维护费。本单位无此项经费。</w:t>
      </w:r>
    </w:p>
    <w:p w14:paraId="5100F770">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2D216851">
      <w:pPr>
        <w:ind w:left="540"/>
        <w:rPr>
          <w:rFonts w:ascii="仿宋_GB2312" w:eastAsia="仿宋_GB2312"/>
          <w:sz w:val="28"/>
          <w:szCs w:val="28"/>
        </w:rPr>
      </w:pPr>
      <w:r>
        <w:rPr>
          <w:rFonts w:hint="eastAsia" w:ascii="仿宋_GB2312" w:eastAsia="仿宋_GB2312"/>
          <w:sz w:val="28"/>
          <w:szCs w:val="28"/>
        </w:rPr>
        <w:t>本单位不在机关运行经费的统计范围内。</w:t>
      </w:r>
    </w:p>
    <w:p w14:paraId="75ABC317">
      <w:pPr>
        <w:ind w:left="540"/>
        <w:rPr>
          <w:rFonts w:ascii="黑体" w:eastAsia="黑体"/>
          <w:sz w:val="28"/>
          <w:szCs w:val="28"/>
        </w:rPr>
      </w:pPr>
      <w:r>
        <w:rPr>
          <w:rFonts w:hint="eastAsia" w:ascii="黑体" w:eastAsia="黑体"/>
          <w:sz w:val="28"/>
          <w:szCs w:val="28"/>
        </w:rPr>
        <w:t>三、政府采购支出情况</w:t>
      </w:r>
    </w:p>
    <w:p w14:paraId="59683720">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94.99</w:t>
      </w:r>
      <w:r>
        <w:rPr>
          <w:rFonts w:hint="eastAsia" w:ascii="仿宋_GB2312" w:eastAsia="仿宋_GB2312"/>
          <w:sz w:val="28"/>
          <w:szCs w:val="28"/>
        </w:rPr>
        <w:t>万元，其中：政府采购货物支出</w:t>
      </w:r>
      <w:r>
        <w:rPr>
          <w:rFonts w:ascii="仿宋_GB2312" w:eastAsia="仿宋_GB2312"/>
          <w:sz w:val="28"/>
          <w:szCs w:val="28"/>
        </w:rPr>
        <w:t>3.07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91.91</w:t>
      </w:r>
      <w:r>
        <w:rPr>
          <w:rFonts w:hint="eastAsia" w:ascii="仿宋_GB2312" w:eastAsia="仿宋_GB2312"/>
          <w:sz w:val="28"/>
          <w:szCs w:val="28"/>
        </w:rPr>
        <w:t>万元。授予中小企业合同金额</w:t>
      </w:r>
      <w:r>
        <w:rPr>
          <w:rFonts w:ascii="仿宋_GB2312" w:eastAsia="仿宋_GB2312"/>
          <w:sz w:val="28"/>
          <w:szCs w:val="28"/>
        </w:rPr>
        <w:t>94.99</w:t>
      </w:r>
      <w:r>
        <w:rPr>
          <w:rFonts w:hint="eastAsia" w:ascii="仿宋_GB2312" w:eastAsia="仿宋_GB2312"/>
          <w:sz w:val="28"/>
          <w:szCs w:val="28"/>
        </w:rPr>
        <w:t>万元，占政府采购支出总额的100%，其中：授予小微企业合同金额</w:t>
      </w:r>
      <w:r>
        <w:rPr>
          <w:rFonts w:ascii="仿宋_GB2312" w:eastAsia="仿宋_GB2312"/>
          <w:sz w:val="28"/>
          <w:szCs w:val="28"/>
        </w:rPr>
        <w:t>94.99</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0E17A483">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3C0EFFEB">
      <w:pPr>
        <w:ind w:firstLine="560" w:firstLineChars="200"/>
        <w:rPr>
          <w:rFonts w:ascii="仿宋_GB2312" w:eastAsia="仿宋_GB2312"/>
          <w:sz w:val="32"/>
          <w:szCs w:val="32"/>
        </w:rPr>
      </w:pPr>
      <w:r>
        <w:rPr>
          <w:rFonts w:hint="eastAsia" w:ascii="仿宋_GB2312" w:eastAsia="仿宋_GB2312"/>
          <w:sz w:val="28"/>
          <w:szCs w:val="28"/>
        </w:rPr>
        <w:t>截至12月31日，北京第二实验小学白云路分校共有车辆0台；单位价值100万元（含）以上的设备0台（套）。</w:t>
      </w:r>
    </w:p>
    <w:p w14:paraId="267CBB68">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A2E40E0">
      <w:pPr>
        <w:ind w:firstLine="537" w:firstLineChars="192"/>
        <w:rPr>
          <w:rFonts w:ascii="仿宋_GB2312" w:eastAsia="仿宋_GB2312"/>
          <w:sz w:val="28"/>
          <w:szCs w:val="28"/>
        </w:rPr>
      </w:pPr>
      <w:r>
        <w:rPr>
          <w:rFonts w:hint="eastAsia" w:ascii="仿宋_GB2312" w:eastAsia="仿宋_GB2312"/>
          <w:sz w:val="28"/>
          <w:szCs w:val="28"/>
        </w:rPr>
        <w:t>本单位无此项支出。</w:t>
      </w:r>
    </w:p>
    <w:p w14:paraId="7B7B9EC6">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087041F">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66B5EC35">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C338A03">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042905A">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4A87887">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E24B6D9">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1877A93">
      <w:pPr>
        <w:ind w:firstLine="560" w:firstLineChars="200"/>
        <w:rPr>
          <w:rFonts w:ascii="仿宋_GB2312" w:eastAsia="仿宋_GB2312"/>
          <w:sz w:val="28"/>
          <w:szCs w:val="28"/>
        </w:rPr>
      </w:pPr>
      <w:r>
        <w:rPr>
          <w:rFonts w:hint="eastAsia" w:ascii="仿宋_GB2312" w:eastAsia="仿宋_GB2312"/>
          <w:sz w:val="28"/>
          <w:szCs w:val="28"/>
        </w:rPr>
        <w:t>7.教育支出（类）普通教育（款）小学教育（项）：反映本部门举办的小学教育支出。</w:t>
      </w:r>
    </w:p>
    <w:p w14:paraId="557627C7">
      <w:pPr>
        <w:ind w:firstLine="560" w:firstLineChars="200"/>
        <w:rPr>
          <w:rFonts w:ascii="仿宋_GB2312" w:eastAsia="仿宋_GB2312"/>
          <w:sz w:val="28"/>
          <w:szCs w:val="28"/>
        </w:rPr>
      </w:pPr>
      <w:r>
        <w:rPr>
          <w:rFonts w:hint="eastAsia" w:ascii="仿宋_GB2312" w:eastAsia="仿宋_GB2312"/>
          <w:sz w:val="28"/>
          <w:szCs w:val="28"/>
        </w:rPr>
        <w:t>8.教育支出（类）特殊教育（款）特殊学校教育（项）：反映本部门举办盲童学校、聋哑学校、智力落后儿童学校、其他生理缺陷儿童学校的支出。</w:t>
      </w:r>
    </w:p>
    <w:p w14:paraId="30E0D6FC">
      <w:pPr>
        <w:ind w:firstLine="560" w:firstLineChars="200"/>
        <w:rPr>
          <w:rFonts w:ascii="仿宋_GB2312" w:eastAsia="仿宋_GB2312"/>
          <w:sz w:val="28"/>
          <w:szCs w:val="28"/>
        </w:rPr>
      </w:pPr>
      <w:r>
        <w:rPr>
          <w:rFonts w:hint="eastAsia" w:ascii="仿宋_GB2312" w:eastAsia="仿宋_GB2312"/>
          <w:sz w:val="28"/>
          <w:szCs w:val="28"/>
        </w:rPr>
        <w:t>9.教育支出（类）进修及培训（款）培训支出（项）：反映本部门安排的用于培训的支出。</w:t>
      </w:r>
    </w:p>
    <w:p w14:paraId="3CA44548">
      <w:pPr>
        <w:ind w:firstLine="560" w:firstLineChars="200"/>
        <w:rPr>
          <w:rFonts w:ascii="仿宋_GB2312" w:eastAsia="仿宋_GB2312"/>
          <w:sz w:val="28"/>
          <w:szCs w:val="28"/>
        </w:rPr>
      </w:pPr>
      <w:r>
        <w:rPr>
          <w:rFonts w:hint="eastAsia" w:ascii="仿宋_GB2312" w:eastAsia="仿宋_GB2312"/>
          <w:sz w:val="28"/>
          <w:szCs w:val="28"/>
        </w:rPr>
        <w:t>10.教育支出（类）教育费附加安排的支出（款）城市中小学教学设施（项）：反映教育费附加安排用于改善城市中小学教学设施和办学条件的支出。</w:t>
      </w:r>
    </w:p>
    <w:p w14:paraId="0502BCCB">
      <w:pPr>
        <w:ind w:firstLine="560" w:firstLineChars="200"/>
        <w:rPr>
          <w:rFonts w:ascii="仿宋_GB2312" w:eastAsia="仿宋_GB2312"/>
          <w:sz w:val="28"/>
          <w:szCs w:val="28"/>
        </w:rPr>
      </w:pPr>
      <w:r>
        <w:rPr>
          <w:rFonts w:hint="eastAsia" w:ascii="仿宋_GB2312" w:eastAsia="仿宋_GB2312"/>
          <w:sz w:val="28"/>
          <w:szCs w:val="28"/>
        </w:rPr>
        <w:t>11.社会保障和就业支出（类）行政事业单位养老支出（款）事业单位离退休（项）：反映事业单位开支的离退休经费。</w:t>
      </w:r>
    </w:p>
    <w:p w14:paraId="55115EDC">
      <w:pPr>
        <w:ind w:firstLine="560" w:firstLineChars="200"/>
        <w:rPr>
          <w:rFonts w:ascii="仿宋_GB2312" w:eastAsia="仿宋_GB2312"/>
          <w:sz w:val="28"/>
          <w:szCs w:val="28"/>
        </w:rPr>
      </w:pPr>
      <w:r>
        <w:rPr>
          <w:rFonts w:hint="eastAsia" w:ascii="仿宋_GB2312" w:eastAsia="仿宋_GB2312"/>
          <w:sz w:val="28"/>
          <w:szCs w:val="28"/>
        </w:rPr>
        <w:t>12.社会保障和就业支出（类）行政事业单位养老支出（款）机关事业单位基本养老保险缴费支出（项）：反映机关事业单位实施养老保险制度由单位缴纳的基本养老保险费支出。</w:t>
      </w:r>
    </w:p>
    <w:p w14:paraId="1670F0B8">
      <w:pPr>
        <w:ind w:firstLine="560" w:firstLineChars="200"/>
        <w:rPr>
          <w:rFonts w:ascii="仿宋_GB2312" w:eastAsia="仿宋_GB2312"/>
          <w:sz w:val="28"/>
          <w:szCs w:val="28"/>
        </w:rPr>
      </w:pPr>
      <w:r>
        <w:rPr>
          <w:rFonts w:hint="eastAsia" w:ascii="仿宋_GB2312" w:eastAsia="仿宋_GB2312"/>
          <w:sz w:val="28"/>
          <w:szCs w:val="28"/>
        </w:rPr>
        <w:t>13.社会保障和就业支出（类）行政事业单位养老支出（款）机关事业单位职业年金缴费支出（项）：反映机关事业单位实施养老保险制度由单位实际缴纳的职业年金支出。</w:t>
      </w:r>
    </w:p>
    <w:p w14:paraId="05CF91AC">
      <w:pPr>
        <w:ind w:firstLine="560" w:firstLineChars="200"/>
        <w:rPr>
          <w:rFonts w:ascii="仿宋_GB2312" w:eastAsia="仿宋_GB2312"/>
          <w:sz w:val="28"/>
          <w:szCs w:val="28"/>
        </w:rPr>
      </w:pPr>
      <w:r>
        <w:rPr>
          <w:rFonts w:hint="eastAsia" w:ascii="仿宋_GB2312" w:eastAsia="仿宋_GB2312"/>
          <w:sz w:val="28"/>
          <w:szCs w:val="28"/>
        </w:rPr>
        <w:t>14.社会保障和就业支出（类）抚恤（款）死亡抚恤（项）：反映按规定用于烈士和牺牲、病故人员家属的一次性和定期抚恤金、丧葬补助费以及烈士褒扬金。</w:t>
      </w:r>
    </w:p>
    <w:p w14:paraId="07142A43">
      <w:pPr>
        <w:ind w:firstLine="560" w:firstLineChars="200"/>
        <w:rPr>
          <w:rFonts w:ascii="仿宋_GB2312" w:eastAsia="仿宋_GB2312"/>
          <w:sz w:val="28"/>
          <w:szCs w:val="28"/>
        </w:rPr>
      </w:pPr>
      <w:r>
        <w:rPr>
          <w:rFonts w:hint="eastAsia" w:ascii="仿宋_GB2312" w:eastAsia="仿宋_GB2312"/>
          <w:sz w:val="28"/>
          <w:szCs w:val="28"/>
        </w:rPr>
        <w:t>15.卫生健康支出（类）行政事业单位医疗（款）事业单位医疗（项）：反映财政部门安排的事业单位基本医疗保险缴费经费，未参加医疗保险的事业单位的公费医疗经费，按国家规定享受离休人员待遇的医疗经费。</w:t>
      </w:r>
    </w:p>
    <w:p w14:paraId="2BA5F75A">
      <w:pPr>
        <w:ind w:firstLine="560" w:firstLineChars="200"/>
        <w:rPr>
          <w:rFonts w:ascii="仿宋_GB2312" w:eastAsia="仿宋_GB2312"/>
          <w:sz w:val="28"/>
          <w:szCs w:val="28"/>
        </w:rPr>
      </w:pPr>
      <w:r>
        <w:rPr>
          <w:rFonts w:hint="eastAsia" w:ascii="仿宋_GB2312" w:eastAsia="仿宋_GB2312"/>
          <w:sz w:val="28"/>
          <w:szCs w:val="28"/>
        </w:rPr>
        <w:t>16.卫生健康支出（类）行政事业单位医疗（款）其他行政事业单位医疗支出（项）：反映除上述项目以外的其他用于行政事业单位医疗方面的支出。</w:t>
      </w:r>
    </w:p>
    <w:p w14:paraId="190EF537">
      <w:pPr>
        <w:ind w:firstLine="560" w:firstLineChars="200"/>
        <w:rPr>
          <w:rFonts w:ascii="仿宋_GB2312" w:eastAsia="仿宋_GB2312"/>
          <w:sz w:val="28"/>
          <w:szCs w:val="28"/>
        </w:rPr>
      </w:pPr>
      <w:r>
        <w:rPr>
          <w:rFonts w:hint="eastAsia" w:ascii="仿宋_GB2312" w:eastAsia="仿宋_GB2312"/>
          <w:sz w:val="28"/>
          <w:szCs w:val="28"/>
        </w:rPr>
        <w:t>17.住房保障支出（类）住房改革支出（款）住房公积金（项）：反映行政事业单位按人力资源和社会保障部、财政部规定的基本工资和津贴补贴以及规定比例为职工缴纳的住房公积金。</w:t>
      </w:r>
    </w:p>
    <w:p w14:paraId="6DE1F753">
      <w:pPr>
        <w:ind w:firstLine="560" w:firstLineChars="200"/>
        <w:rPr>
          <w:rFonts w:ascii="仿宋_GB2312" w:eastAsia="仿宋_GB2312"/>
          <w:sz w:val="28"/>
          <w:szCs w:val="28"/>
        </w:rPr>
      </w:pPr>
      <w:r>
        <w:rPr>
          <w:rFonts w:hint="eastAsia" w:ascii="仿宋_GB2312" w:eastAsia="仿宋_GB2312"/>
          <w:sz w:val="28"/>
          <w:szCs w:val="28"/>
        </w:rPr>
        <w:t>18.住房保障支出（类）住房改革支出（款）提租补贴（项）：反映按房改政策规定的标准，行政事业单位向职工（含离退休人员）发放的租金补助。</w:t>
      </w:r>
    </w:p>
    <w:p w14:paraId="10DA1BC6">
      <w:pPr>
        <w:ind w:firstLine="560" w:firstLineChars="200"/>
        <w:rPr>
          <w:rFonts w:ascii="仿宋_GB2312" w:eastAsia="仿宋_GB2312"/>
          <w:sz w:val="28"/>
          <w:szCs w:val="28"/>
        </w:rPr>
      </w:pPr>
      <w:r>
        <w:rPr>
          <w:rFonts w:hint="eastAsia" w:ascii="仿宋_GB2312" w:eastAsia="仿宋_GB2312"/>
          <w:sz w:val="28"/>
          <w:szCs w:val="28"/>
        </w:rPr>
        <w:t>19.住房保障支出（类）住房改革支出（款）购房补贴（项）：反映按房改政策规定的标准，行政事业单位向符合条件职工（含离退休人员）发放的用于购买住房的补贴。</w:t>
      </w:r>
    </w:p>
    <w:p w14:paraId="1A682EB5">
      <w:pPr>
        <w:ind w:firstLine="560" w:firstLineChars="200"/>
        <w:rPr>
          <w:rFonts w:ascii="仿宋_GB2312" w:eastAsia="仿宋_GB2312"/>
          <w:sz w:val="28"/>
          <w:szCs w:val="28"/>
        </w:rPr>
      </w:pPr>
    </w:p>
    <w:p w14:paraId="5C956C17">
      <w:pPr>
        <w:ind w:firstLine="560" w:firstLineChars="200"/>
        <w:rPr>
          <w:rFonts w:ascii="仿宋_GB2312" w:eastAsia="仿宋_GB2312"/>
          <w:sz w:val="28"/>
          <w:szCs w:val="28"/>
        </w:rPr>
      </w:pPr>
    </w:p>
    <w:p w14:paraId="21561165">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7DE6051D">
      <w:pPr>
        <w:ind w:firstLine="560" w:firstLineChars="200"/>
        <w:rPr>
          <w:rFonts w:ascii="黑体" w:eastAsia="黑体"/>
          <w:sz w:val="28"/>
          <w:szCs w:val="28"/>
          <w:highlight w:val="yellow"/>
        </w:rPr>
      </w:pPr>
    </w:p>
    <w:p w14:paraId="7C5F16ED">
      <w:pPr>
        <w:numPr>
          <w:ilvl w:val="0"/>
          <w:numId w:val="1"/>
        </w:numPr>
        <w:ind w:firstLine="560" w:firstLineChars="200"/>
        <w:rPr>
          <w:rFonts w:ascii="黑体" w:eastAsia="黑体"/>
          <w:sz w:val="28"/>
          <w:szCs w:val="28"/>
        </w:rPr>
      </w:pPr>
      <w:r>
        <w:rPr>
          <w:rFonts w:hint="eastAsia" w:ascii="黑体" w:eastAsia="黑体"/>
          <w:sz w:val="28"/>
          <w:szCs w:val="28"/>
        </w:rPr>
        <w:t>部门整体绩效评价报告（详见附件）</w:t>
      </w:r>
    </w:p>
    <w:p w14:paraId="66FF89CA">
      <w:pPr>
        <w:numPr>
          <w:ilvl w:val="0"/>
          <w:numId w:val="1"/>
        </w:numPr>
        <w:ind w:firstLine="560" w:firstLineChars="200"/>
        <w:rPr>
          <w:rFonts w:ascii="黑体" w:eastAsia="黑体"/>
          <w:sz w:val="28"/>
          <w:szCs w:val="28"/>
        </w:rPr>
      </w:pPr>
      <w:r>
        <w:rPr>
          <w:rFonts w:hint="eastAsia" w:ascii="黑体" w:eastAsia="黑体"/>
          <w:sz w:val="28"/>
          <w:szCs w:val="28"/>
        </w:rPr>
        <w:t>项目支出绩效评价报告（详见附件）</w:t>
      </w:r>
    </w:p>
    <w:p w14:paraId="745608C9">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239BF145">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中央对北京XX转移支付预算执行情况绩效自评报告（详见附件）</w:t>
      </w:r>
    </w:p>
    <w:p w14:paraId="3083AD6C">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14:paraId="46A0DB68">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684A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84CDEE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FF47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696353D9">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699F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61E86C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4OTI2MzZlMTI1N2Y1MWQ4YzUxZjQzOTkyODE4Y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3B6E"/>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63D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7801"/>
    <w:rsid w:val="00B22BC3"/>
    <w:rsid w:val="00B25865"/>
    <w:rsid w:val="00B272B6"/>
    <w:rsid w:val="00B2771B"/>
    <w:rsid w:val="00B336E9"/>
    <w:rsid w:val="00B33AE5"/>
    <w:rsid w:val="00B35BE5"/>
    <w:rsid w:val="00B46965"/>
    <w:rsid w:val="00B54ED0"/>
    <w:rsid w:val="00B55D47"/>
    <w:rsid w:val="00B6204E"/>
    <w:rsid w:val="00B649EC"/>
    <w:rsid w:val="00B71F65"/>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1F6E"/>
    <w:rsid w:val="00FE2496"/>
    <w:rsid w:val="00FE6A2B"/>
    <w:rsid w:val="00FF0275"/>
    <w:rsid w:val="00FF07B3"/>
    <w:rsid w:val="00FF1E37"/>
    <w:rsid w:val="01926537"/>
    <w:rsid w:val="02985DC6"/>
    <w:rsid w:val="02F120AB"/>
    <w:rsid w:val="032B5196"/>
    <w:rsid w:val="037405E1"/>
    <w:rsid w:val="046B3036"/>
    <w:rsid w:val="04C3537C"/>
    <w:rsid w:val="04CB5FDF"/>
    <w:rsid w:val="05D936EE"/>
    <w:rsid w:val="073F4A62"/>
    <w:rsid w:val="079004AC"/>
    <w:rsid w:val="0A7B4003"/>
    <w:rsid w:val="0ADF4592"/>
    <w:rsid w:val="0B372620"/>
    <w:rsid w:val="0B7F5D75"/>
    <w:rsid w:val="0BA148CA"/>
    <w:rsid w:val="0BBC2B25"/>
    <w:rsid w:val="0C0D512F"/>
    <w:rsid w:val="0C1165C4"/>
    <w:rsid w:val="0C727592"/>
    <w:rsid w:val="0D113715"/>
    <w:rsid w:val="0D6D544B"/>
    <w:rsid w:val="0DD136FE"/>
    <w:rsid w:val="0F6E26BD"/>
    <w:rsid w:val="0F8E2C57"/>
    <w:rsid w:val="0FA0719E"/>
    <w:rsid w:val="104D6442"/>
    <w:rsid w:val="1059665E"/>
    <w:rsid w:val="10AC13BA"/>
    <w:rsid w:val="11820250"/>
    <w:rsid w:val="122356AC"/>
    <w:rsid w:val="1324792E"/>
    <w:rsid w:val="145A6C1B"/>
    <w:rsid w:val="14685425"/>
    <w:rsid w:val="14B73493"/>
    <w:rsid w:val="167A2FF9"/>
    <w:rsid w:val="170B54AD"/>
    <w:rsid w:val="18075CB1"/>
    <w:rsid w:val="18581C69"/>
    <w:rsid w:val="186E3CF3"/>
    <w:rsid w:val="18C43019"/>
    <w:rsid w:val="18DF1D46"/>
    <w:rsid w:val="19006747"/>
    <w:rsid w:val="19650358"/>
    <w:rsid w:val="19CA465F"/>
    <w:rsid w:val="1AEC0734"/>
    <w:rsid w:val="1BB9498B"/>
    <w:rsid w:val="1C1E11CC"/>
    <w:rsid w:val="1C4526C3"/>
    <w:rsid w:val="1C515E33"/>
    <w:rsid w:val="1CF33ECD"/>
    <w:rsid w:val="1CF85987"/>
    <w:rsid w:val="1DA90E23"/>
    <w:rsid w:val="1DEF20B0"/>
    <w:rsid w:val="1F220A99"/>
    <w:rsid w:val="1FA778FA"/>
    <w:rsid w:val="200308CB"/>
    <w:rsid w:val="2039253E"/>
    <w:rsid w:val="208732AA"/>
    <w:rsid w:val="214243FA"/>
    <w:rsid w:val="217E41BA"/>
    <w:rsid w:val="21AD613C"/>
    <w:rsid w:val="22467189"/>
    <w:rsid w:val="23D63C9B"/>
    <w:rsid w:val="24CA7C09"/>
    <w:rsid w:val="257A14F5"/>
    <w:rsid w:val="25AB3597"/>
    <w:rsid w:val="25C91C6F"/>
    <w:rsid w:val="26117B5D"/>
    <w:rsid w:val="26541E80"/>
    <w:rsid w:val="26993D37"/>
    <w:rsid w:val="27196C26"/>
    <w:rsid w:val="271D6716"/>
    <w:rsid w:val="273D74B0"/>
    <w:rsid w:val="287E4F92"/>
    <w:rsid w:val="29C17F87"/>
    <w:rsid w:val="29EF086F"/>
    <w:rsid w:val="2A6E4E2F"/>
    <w:rsid w:val="2DE41D3C"/>
    <w:rsid w:val="2EFFE297"/>
    <w:rsid w:val="2F3E191F"/>
    <w:rsid w:val="2F703960"/>
    <w:rsid w:val="2FE17AAD"/>
    <w:rsid w:val="301437CA"/>
    <w:rsid w:val="3098505F"/>
    <w:rsid w:val="31AB4289"/>
    <w:rsid w:val="31C629E1"/>
    <w:rsid w:val="32180206"/>
    <w:rsid w:val="328C29A2"/>
    <w:rsid w:val="331C3D26"/>
    <w:rsid w:val="333D5A4A"/>
    <w:rsid w:val="336D27D3"/>
    <w:rsid w:val="33A06705"/>
    <w:rsid w:val="34426E00"/>
    <w:rsid w:val="349D1F0A"/>
    <w:rsid w:val="34BA1A48"/>
    <w:rsid w:val="34DD0473"/>
    <w:rsid w:val="34FD7B87"/>
    <w:rsid w:val="35F76384"/>
    <w:rsid w:val="3647730B"/>
    <w:rsid w:val="365D6B2F"/>
    <w:rsid w:val="36891876"/>
    <w:rsid w:val="36941872"/>
    <w:rsid w:val="36DB4F6E"/>
    <w:rsid w:val="39616936"/>
    <w:rsid w:val="39FF3A59"/>
    <w:rsid w:val="3A4678DA"/>
    <w:rsid w:val="3A4E58A1"/>
    <w:rsid w:val="3B7346FF"/>
    <w:rsid w:val="3BF6364C"/>
    <w:rsid w:val="3C684897"/>
    <w:rsid w:val="3D3D3216"/>
    <w:rsid w:val="3D565D3A"/>
    <w:rsid w:val="3E52684D"/>
    <w:rsid w:val="3F1A400F"/>
    <w:rsid w:val="3FCF2120"/>
    <w:rsid w:val="40A253FB"/>
    <w:rsid w:val="40E51BFB"/>
    <w:rsid w:val="42642FF3"/>
    <w:rsid w:val="42AC04F6"/>
    <w:rsid w:val="433E495C"/>
    <w:rsid w:val="444529B0"/>
    <w:rsid w:val="445552E9"/>
    <w:rsid w:val="44760DBC"/>
    <w:rsid w:val="449A2CFC"/>
    <w:rsid w:val="45034D69"/>
    <w:rsid w:val="467D28D5"/>
    <w:rsid w:val="46961D78"/>
    <w:rsid w:val="469F289F"/>
    <w:rsid w:val="4770243A"/>
    <w:rsid w:val="48146375"/>
    <w:rsid w:val="489F2FD7"/>
    <w:rsid w:val="48F30C2D"/>
    <w:rsid w:val="49746212"/>
    <w:rsid w:val="4A1D5BD4"/>
    <w:rsid w:val="4ABF170F"/>
    <w:rsid w:val="4AC27CB3"/>
    <w:rsid w:val="4B315A3D"/>
    <w:rsid w:val="4BF72BEF"/>
    <w:rsid w:val="4C7D53DD"/>
    <w:rsid w:val="4CB63EEC"/>
    <w:rsid w:val="4EF23735"/>
    <w:rsid w:val="4F3B1580"/>
    <w:rsid w:val="4FA90297"/>
    <w:rsid w:val="4FBF3F5F"/>
    <w:rsid w:val="4FC41A43"/>
    <w:rsid w:val="500667FD"/>
    <w:rsid w:val="504306EC"/>
    <w:rsid w:val="508C5A02"/>
    <w:rsid w:val="51DB3C59"/>
    <w:rsid w:val="52A336C4"/>
    <w:rsid w:val="52EB21EF"/>
    <w:rsid w:val="533E33EC"/>
    <w:rsid w:val="53964358"/>
    <w:rsid w:val="550C0952"/>
    <w:rsid w:val="55762E42"/>
    <w:rsid w:val="5636125F"/>
    <w:rsid w:val="567D5FDA"/>
    <w:rsid w:val="56D24578"/>
    <w:rsid w:val="570F30D6"/>
    <w:rsid w:val="575A50C0"/>
    <w:rsid w:val="57A7B272"/>
    <w:rsid w:val="58470068"/>
    <w:rsid w:val="58474AF1"/>
    <w:rsid w:val="58747CAC"/>
    <w:rsid w:val="5A0E3B19"/>
    <w:rsid w:val="5A1720F9"/>
    <w:rsid w:val="5A1804F3"/>
    <w:rsid w:val="5A3115B5"/>
    <w:rsid w:val="5B9C37C2"/>
    <w:rsid w:val="5BA7C654"/>
    <w:rsid w:val="5C8A31FF"/>
    <w:rsid w:val="5CAE513F"/>
    <w:rsid w:val="5CF12328"/>
    <w:rsid w:val="5D525E26"/>
    <w:rsid w:val="5F8C2AE1"/>
    <w:rsid w:val="604643F0"/>
    <w:rsid w:val="60940AF0"/>
    <w:rsid w:val="60A54109"/>
    <w:rsid w:val="60D31618"/>
    <w:rsid w:val="611C2FBF"/>
    <w:rsid w:val="61860438"/>
    <w:rsid w:val="61D01CDF"/>
    <w:rsid w:val="628552FA"/>
    <w:rsid w:val="62EF200D"/>
    <w:rsid w:val="63473BF7"/>
    <w:rsid w:val="64C0607C"/>
    <w:rsid w:val="65756C86"/>
    <w:rsid w:val="66020B71"/>
    <w:rsid w:val="66664CDC"/>
    <w:rsid w:val="666E6460"/>
    <w:rsid w:val="66C94643"/>
    <w:rsid w:val="66DA2D42"/>
    <w:rsid w:val="674D385B"/>
    <w:rsid w:val="676F09E1"/>
    <w:rsid w:val="69027D6A"/>
    <w:rsid w:val="692C3FBB"/>
    <w:rsid w:val="692F13B6"/>
    <w:rsid w:val="698E432E"/>
    <w:rsid w:val="69F446AA"/>
    <w:rsid w:val="6A0C7949"/>
    <w:rsid w:val="6A9A31A7"/>
    <w:rsid w:val="6C474C68"/>
    <w:rsid w:val="6C5630FD"/>
    <w:rsid w:val="6D374CDD"/>
    <w:rsid w:val="6FDF40B1"/>
    <w:rsid w:val="701A6335"/>
    <w:rsid w:val="707A385E"/>
    <w:rsid w:val="70B825D8"/>
    <w:rsid w:val="70E21E29"/>
    <w:rsid w:val="71793A80"/>
    <w:rsid w:val="718030F6"/>
    <w:rsid w:val="71E01DE7"/>
    <w:rsid w:val="72EE0588"/>
    <w:rsid w:val="7357290B"/>
    <w:rsid w:val="77C47AB5"/>
    <w:rsid w:val="798524E4"/>
    <w:rsid w:val="7A7F1C49"/>
    <w:rsid w:val="7B073F40"/>
    <w:rsid w:val="7B09415C"/>
    <w:rsid w:val="7B1623D5"/>
    <w:rsid w:val="7B4C2E97"/>
    <w:rsid w:val="7B5B7AE6"/>
    <w:rsid w:val="7B5D1DB2"/>
    <w:rsid w:val="7B7B6628"/>
    <w:rsid w:val="7BA7071E"/>
    <w:rsid w:val="7BDF6DA8"/>
    <w:rsid w:val="7BFA3AA5"/>
    <w:rsid w:val="7C7EDC1A"/>
    <w:rsid w:val="7C9749A6"/>
    <w:rsid w:val="7CCED98D"/>
    <w:rsid w:val="7CEE2BCE"/>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5444.92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32563e6-af64-4248-aa74-3c3062710684}"/>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4430.19</c:v>
                </c:pt>
                <c:pt idx="1">
                  <c:v>1014.74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e800183-42ff-493f-810a-0d2d2f4f6708}"/>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268</Words>
  <Characters>286</Characters>
  <Lines>36</Lines>
  <Paragraphs>10</Paragraphs>
  <TotalTime>40</TotalTime>
  <ScaleCrop>false</ScaleCrop>
  <LinksUpToDate>false</LinksUpToDate>
  <CharactersWithSpaces>298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山&amp;溪</cp:lastModifiedBy>
  <cp:lastPrinted>2020-08-07T11:39:00Z</cp:lastPrinted>
  <dcterms:modified xsi:type="dcterms:W3CDTF">2025-08-27T07:51:57Z</dcterms:modified>
  <dc:title>北京市财政局关于做好向市人大常委会报送2015年度市级部门决算（草案）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eyJoZGlkIjoiMWI0ODk1MDQ5NjRkMzhjMDYwM2EyMmJlYTJlMjdhODIiLCJ1c2VySWQiOiI0OTEwOTUwODMifQ==</vt:lpwstr>
  </property>
</Properties>
</file>