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F47B7" w14:textId="77777777" w:rsidR="00751041" w:rsidRDefault="00751041">
      <w:pPr>
        <w:jc w:val="center"/>
        <w:rPr>
          <w:rFonts w:ascii="仿宋_GB2312" w:eastAsia="仿宋_GB2312"/>
          <w:b/>
          <w:sz w:val="32"/>
          <w:szCs w:val="32"/>
        </w:rPr>
      </w:pPr>
    </w:p>
    <w:p w14:paraId="5A1F173D" w14:textId="77777777" w:rsidR="00751041" w:rsidRDefault="00751041">
      <w:pPr>
        <w:jc w:val="center"/>
        <w:rPr>
          <w:rFonts w:ascii="黑体" w:eastAsia="黑体"/>
          <w:sz w:val="72"/>
          <w:szCs w:val="72"/>
        </w:rPr>
      </w:pPr>
    </w:p>
    <w:p w14:paraId="75CB5E3E" w14:textId="77777777" w:rsidR="00751041" w:rsidRDefault="00751041">
      <w:pPr>
        <w:jc w:val="center"/>
        <w:rPr>
          <w:rFonts w:ascii="黑体" w:eastAsia="黑体"/>
          <w:sz w:val="72"/>
          <w:szCs w:val="72"/>
        </w:rPr>
      </w:pPr>
    </w:p>
    <w:p w14:paraId="15EB5D9F" w14:textId="77777777" w:rsidR="00751041" w:rsidRDefault="00751041">
      <w:pPr>
        <w:jc w:val="center"/>
        <w:rPr>
          <w:rFonts w:ascii="黑体" w:eastAsia="黑体"/>
          <w:sz w:val="72"/>
          <w:szCs w:val="72"/>
        </w:rPr>
      </w:pPr>
    </w:p>
    <w:p w14:paraId="01736239" w14:textId="77777777" w:rsidR="00751041" w:rsidRDefault="00751041">
      <w:pPr>
        <w:jc w:val="center"/>
        <w:rPr>
          <w:rFonts w:ascii="黑体" w:eastAsia="黑体"/>
          <w:sz w:val="72"/>
          <w:szCs w:val="72"/>
        </w:rPr>
      </w:pPr>
    </w:p>
    <w:p w14:paraId="428BE6CB" w14:textId="77777777" w:rsidR="00751041"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0C21DB88" w14:textId="77777777" w:rsidR="00751041" w:rsidRDefault="00751041">
      <w:pPr>
        <w:jc w:val="center"/>
        <w:rPr>
          <w:rFonts w:ascii="黑体" w:eastAsia="黑体"/>
          <w:sz w:val="52"/>
          <w:szCs w:val="52"/>
        </w:rPr>
      </w:pPr>
    </w:p>
    <w:p w14:paraId="09EFB0EC" w14:textId="77777777" w:rsidR="00751041" w:rsidRDefault="00751041">
      <w:pPr>
        <w:jc w:val="center"/>
        <w:rPr>
          <w:rFonts w:ascii="黑体" w:eastAsia="黑体"/>
          <w:sz w:val="52"/>
          <w:szCs w:val="52"/>
        </w:rPr>
      </w:pPr>
    </w:p>
    <w:p w14:paraId="4B631045" w14:textId="77777777" w:rsidR="00751041" w:rsidRDefault="00751041">
      <w:pPr>
        <w:jc w:val="center"/>
        <w:rPr>
          <w:rFonts w:ascii="黑体" w:eastAsia="黑体"/>
          <w:sz w:val="52"/>
          <w:szCs w:val="52"/>
        </w:rPr>
      </w:pPr>
    </w:p>
    <w:p w14:paraId="32740C4C" w14:textId="77777777" w:rsidR="00751041" w:rsidRDefault="00751041">
      <w:pPr>
        <w:jc w:val="center"/>
        <w:rPr>
          <w:rFonts w:ascii="黑体" w:eastAsia="黑体"/>
          <w:sz w:val="52"/>
          <w:szCs w:val="52"/>
        </w:rPr>
      </w:pPr>
    </w:p>
    <w:p w14:paraId="2908824C" w14:textId="77777777" w:rsidR="00751041" w:rsidRDefault="00751041">
      <w:pPr>
        <w:jc w:val="center"/>
        <w:rPr>
          <w:rFonts w:ascii="黑体" w:eastAsia="黑体"/>
          <w:sz w:val="32"/>
          <w:szCs w:val="32"/>
        </w:rPr>
      </w:pPr>
    </w:p>
    <w:p w14:paraId="467B6A69" w14:textId="77777777" w:rsidR="00751041"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07AE1EF5" w14:textId="77777777" w:rsidR="00751041" w:rsidRDefault="00751041">
      <w:pPr>
        <w:spacing w:line="500" w:lineRule="exact"/>
        <w:ind w:firstLine="645"/>
        <w:jc w:val="center"/>
        <w:rPr>
          <w:rFonts w:ascii="宋体" w:hAnsi="宋体" w:cs="宋体" w:hint="eastAsia"/>
          <w:b/>
          <w:bCs/>
          <w:kern w:val="0"/>
          <w:sz w:val="36"/>
          <w:szCs w:val="36"/>
        </w:rPr>
      </w:pPr>
    </w:p>
    <w:p w14:paraId="3DE64431" w14:textId="77777777" w:rsidR="00751041"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45D2E591" w14:textId="77777777" w:rsidR="00751041"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46BDB661"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770A84BF"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69938799"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5BC5EE4B"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53539ACC"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49665EFF"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77574323"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69B78222"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40084C43"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19626E20"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7027758C" w14:textId="77777777" w:rsidR="00751041"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34D57758" w14:textId="77777777" w:rsidR="00751041"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7C502BA1" w14:textId="77777777" w:rsidR="00751041"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2AA6B654" w14:textId="77777777" w:rsidR="00751041"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58AD6B49" w14:textId="77777777" w:rsidR="00751041" w:rsidRDefault="00751041">
      <w:pPr>
        <w:tabs>
          <w:tab w:val="center" w:pos="6979"/>
        </w:tabs>
        <w:spacing w:beforeLines="50" w:before="156" w:afterLines="50" w:after="156"/>
        <w:jc w:val="center"/>
        <w:rPr>
          <w:rFonts w:ascii="宋体" w:hAnsi="宋体" w:cs="宋体" w:hint="eastAsia"/>
          <w:b/>
          <w:bCs/>
          <w:spacing w:val="40"/>
          <w:kern w:val="0"/>
          <w:sz w:val="32"/>
          <w:szCs w:val="32"/>
        </w:rPr>
      </w:pPr>
    </w:p>
    <w:p w14:paraId="0FF9C742" w14:textId="77777777" w:rsidR="00751041" w:rsidRDefault="00751041">
      <w:pPr>
        <w:tabs>
          <w:tab w:val="center" w:pos="6979"/>
        </w:tabs>
        <w:spacing w:beforeLines="50" w:before="156" w:afterLines="50" w:after="156"/>
        <w:jc w:val="center"/>
        <w:rPr>
          <w:rFonts w:ascii="宋体" w:hAnsi="宋体" w:cs="宋体" w:hint="eastAsia"/>
          <w:b/>
          <w:bCs/>
          <w:spacing w:val="40"/>
          <w:kern w:val="0"/>
          <w:sz w:val="32"/>
          <w:szCs w:val="32"/>
        </w:rPr>
      </w:pPr>
    </w:p>
    <w:p w14:paraId="7C5DEC7D" w14:textId="77777777" w:rsidR="00751041" w:rsidRDefault="00751041">
      <w:pPr>
        <w:tabs>
          <w:tab w:val="center" w:pos="6979"/>
        </w:tabs>
        <w:spacing w:beforeLines="50" w:before="156" w:afterLines="50" w:after="156"/>
        <w:jc w:val="center"/>
        <w:rPr>
          <w:rFonts w:ascii="宋体" w:hAnsi="宋体" w:cs="宋体" w:hint="eastAsia"/>
          <w:b/>
          <w:bCs/>
          <w:spacing w:val="40"/>
          <w:kern w:val="0"/>
          <w:sz w:val="32"/>
          <w:szCs w:val="32"/>
        </w:rPr>
      </w:pPr>
    </w:p>
    <w:p w14:paraId="3A467C7C" w14:textId="77777777" w:rsidR="00751041" w:rsidRDefault="00751041">
      <w:pPr>
        <w:tabs>
          <w:tab w:val="center" w:pos="6979"/>
        </w:tabs>
        <w:spacing w:beforeLines="50" w:before="156" w:afterLines="50" w:after="156"/>
        <w:jc w:val="center"/>
        <w:rPr>
          <w:rFonts w:ascii="宋体" w:hAnsi="宋体" w:cs="宋体" w:hint="eastAsia"/>
          <w:b/>
          <w:bCs/>
          <w:spacing w:val="40"/>
          <w:kern w:val="0"/>
          <w:sz w:val="32"/>
          <w:szCs w:val="32"/>
        </w:rPr>
      </w:pPr>
    </w:p>
    <w:p w14:paraId="3D226B4D" w14:textId="77777777" w:rsidR="00751041" w:rsidRDefault="00751041">
      <w:pPr>
        <w:tabs>
          <w:tab w:val="center" w:pos="6979"/>
        </w:tabs>
        <w:spacing w:beforeLines="50" w:before="156" w:afterLines="50" w:after="156"/>
        <w:jc w:val="center"/>
        <w:rPr>
          <w:rFonts w:ascii="宋体" w:hAnsi="宋体" w:cs="宋体" w:hint="eastAsia"/>
          <w:b/>
          <w:bCs/>
          <w:spacing w:val="40"/>
          <w:kern w:val="0"/>
          <w:sz w:val="32"/>
          <w:szCs w:val="32"/>
        </w:rPr>
      </w:pPr>
    </w:p>
    <w:p w14:paraId="6C7B4309" w14:textId="77777777" w:rsidR="00751041"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4FC796D9" w14:textId="77777777" w:rsidR="00751041" w:rsidRDefault="00000000">
      <w:pPr>
        <w:pStyle w:val="2"/>
        <w:rPr>
          <w:b w:val="0"/>
          <w:bCs w:val="0"/>
        </w:rPr>
        <w:sectPr w:rsidR="00751041">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36F2CFEF" w14:textId="77777777" w:rsidR="00751041"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1C1FDA25" w14:textId="682CD023" w:rsidR="00751041"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0D007A83" w14:textId="77777777" w:rsidR="00751041" w:rsidRPr="000503B9" w:rsidRDefault="00000000" w:rsidP="000503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北京市西城区展览路第一小学共有两个校址；高年级部校区坐落在百万庄中里7号,共有南北两座教学楼，北楼是三至六年级共32个班级的教学楼，南楼是艺术与科技专用教学楼。低年级部校区坐落在百万庄中里32号，有一、二年级共20个教学班。全校共计52个教学班，与上年持平。无下属单位数量。主要</w:t>
      </w:r>
      <w:r>
        <w:rPr>
          <w:rFonts w:ascii="仿宋_GB2312" w:eastAsia="仿宋_GB2312"/>
          <w:sz w:val="28"/>
          <w:szCs w:val="28"/>
        </w:rPr>
        <w:t>职责：教育教学，</w:t>
      </w:r>
      <w:r>
        <w:rPr>
          <w:rFonts w:ascii="仿宋_GB2312" w:eastAsia="仿宋_GB2312" w:hint="eastAsia"/>
          <w:sz w:val="28"/>
          <w:szCs w:val="28"/>
        </w:rPr>
        <w:t>培养</w:t>
      </w:r>
      <w:r>
        <w:rPr>
          <w:rFonts w:ascii="仿宋_GB2312" w:eastAsia="仿宋_GB2312"/>
          <w:sz w:val="28"/>
          <w:szCs w:val="28"/>
        </w:rPr>
        <w:t>社会主义接班人。</w:t>
      </w:r>
    </w:p>
    <w:p w14:paraId="5814A664" w14:textId="17708A05" w:rsidR="00751041" w:rsidRDefault="00000000" w:rsidP="000503B9">
      <w:pPr>
        <w:rPr>
          <w:rFonts w:ascii="黑体" w:eastAsia="黑体"/>
          <w:b/>
          <w:sz w:val="28"/>
          <w:szCs w:val="28"/>
        </w:rPr>
      </w:pPr>
      <w:r>
        <w:rPr>
          <w:rFonts w:hint="eastAsia"/>
        </w:rPr>
        <w:t xml:space="preserve">     </w:t>
      </w:r>
      <w:r>
        <w:rPr>
          <w:rFonts w:ascii="黑体" w:eastAsia="黑体" w:hint="eastAsia"/>
          <w:b/>
          <w:sz w:val="28"/>
          <w:szCs w:val="28"/>
        </w:rPr>
        <w:t>二、收入支出决算总体情况说明</w:t>
      </w:r>
    </w:p>
    <w:p w14:paraId="2B402225" w14:textId="77777777" w:rsidR="00751041"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7833.7</w:t>
      </w:r>
      <w:r>
        <w:rPr>
          <w:rFonts w:ascii="仿宋_GB2312" w:eastAsia="仿宋_GB2312" w:hint="eastAsia"/>
          <w:sz w:val="28"/>
          <w:szCs w:val="28"/>
        </w:rPr>
        <w:t>万元，比上年增加减少57.23万元，下降0.73%。。</w:t>
      </w:r>
    </w:p>
    <w:p w14:paraId="566ABAC9" w14:textId="77777777" w:rsidR="00751041"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578C8696" w14:textId="77777777" w:rsidR="00751041"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7833.7</w:t>
      </w:r>
      <w:r>
        <w:rPr>
          <w:rFonts w:ascii="仿宋_GB2312" w:eastAsia="仿宋_GB2312" w:hint="eastAsia"/>
          <w:sz w:val="28"/>
          <w:szCs w:val="28"/>
        </w:rPr>
        <w:t>万元，比上年减少57.23万元，下降0.73%。</w:t>
      </w:r>
    </w:p>
    <w:p w14:paraId="451412F7" w14:textId="77777777" w:rsidR="00751041"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7833.7</w:t>
      </w:r>
      <w:r>
        <w:rPr>
          <w:rFonts w:ascii="仿宋_GB2312" w:eastAsia="仿宋_GB2312" w:hint="eastAsia"/>
          <w:sz w:val="28"/>
          <w:szCs w:val="28"/>
        </w:rPr>
        <w:t>万元，占收入合计的100%。其中：一般公共预算财政拨款收入</w:t>
      </w:r>
      <w:r>
        <w:rPr>
          <w:rFonts w:ascii="仿宋_GB2312" w:eastAsia="仿宋_GB2312"/>
          <w:sz w:val="28"/>
          <w:szCs w:val="28"/>
        </w:rPr>
        <w:t>7830.7</w:t>
      </w:r>
      <w:r>
        <w:rPr>
          <w:rFonts w:ascii="仿宋_GB2312" w:eastAsia="仿宋_GB2312" w:hint="eastAsia"/>
          <w:sz w:val="28"/>
          <w:szCs w:val="28"/>
        </w:rPr>
        <w:t>万元，占收入合计的99.96%；政府性基金预算财政拨款收入</w:t>
      </w:r>
      <w:r>
        <w:rPr>
          <w:rFonts w:ascii="仿宋_GB2312" w:eastAsia="仿宋_GB2312"/>
          <w:sz w:val="28"/>
          <w:szCs w:val="28"/>
        </w:rPr>
        <w:t>3</w:t>
      </w:r>
      <w:r>
        <w:rPr>
          <w:rFonts w:ascii="仿宋_GB2312" w:eastAsia="仿宋_GB2312" w:hint="eastAsia"/>
          <w:sz w:val="28"/>
          <w:szCs w:val="28"/>
        </w:rPr>
        <w:t>万元，占收入合计的0.04%；国有资本经营预算财政拨款收入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2E286BD8" w14:textId="77777777" w:rsidR="00751041"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5FBDF656" w14:textId="77777777" w:rsidR="00751041"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15A03C47" w14:textId="77777777" w:rsidR="00751041"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3F352D02" w14:textId="77777777" w:rsidR="00751041"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760C8EEC" w14:textId="77777777" w:rsidR="00751041"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14:paraId="10648E63" w14:textId="77777777" w:rsidR="00751041" w:rsidRDefault="00000000">
      <w:pPr>
        <w:pStyle w:val="2"/>
        <w:jc w:val="center"/>
      </w:pPr>
      <w:r>
        <w:rPr>
          <w:rFonts w:ascii="仿宋_GB2312" w:eastAsia="仿宋_GB2312" w:hint="eastAsia"/>
          <w:color w:val="000000"/>
          <w:sz w:val="32"/>
        </w:rPr>
        <w:t>图1：收入决算</w:t>
      </w:r>
    </w:p>
    <w:p w14:paraId="7CB71ADE" w14:textId="77777777" w:rsidR="00751041" w:rsidRDefault="00000000">
      <w:pPr>
        <w:pStyle w:val="a3"/>
        <w:ind w:firstLine="420"/>
        <w:jc w:val="center"/>
      </w:pPr>
      <w:r>
        <w:rPr>
          <w:noProof/>
        </w:rPr>
        <w:drawing>
          <wp:inline distT="0" distB="0" distL="0" distR="0" wp14:anchorId="3358335F" wp14:editId="59B78B38">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78EAB9D" w14:textId="77777777" w:rsidR="00751041"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575A6E57" w14:textId="77777777" w:rsidR="00751041"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7833.7</w:t>
      </w:r>
      <w:r>
        <w:rPr>
          <w:rFonts w:ascii="仿宋_GB2312" w:eastAsia="仿宋_GB2312" w:hint="eastAsia"/>
          <w:sz w:val="28"/>
          <w:szCs w:val="28"/>
        </w:rPr>
        <w:t>万元，</w:t>
      </w:r>
      <w:r>
        <w:rPr>
          <w:rFonts w:ascii="仿宋_GB2312" w:hAnsi="仿宋_GB2312"/>
          <w:sz w:val="28"/>
          <w:szCs w:val="28"/>
        </w:rPr>
        <w:t>比上年减少</w:t>
      </w:r>
      <w:r>
        <w:rPr>
          <w:rFonts w:ascii="仿宋_GB2312"/>
          <w:sz w:val="28"/>
          <w:szCs w:val="28"/>
        </w:rPr>
        <w:t>57.23</w:t>
      </w:r>
      <w:r>
        <w:rPr>
          <w:rFonts w:ascii="仿宋_GB2312" w:hAnsi="仿宋_GB2312"/>
          <w:sz w:val="28"/>
          <w:szCs w:val="28"/>
        </w:rPr>
        <w:t>万元，下降</w:t>
      </w:r>
      <w:r>
        <w:rPr>
          <w:rFonts w:ascii="仿宋_GB2312"/>
          <w:sz w:val="28"/>
          <w:szCs w:val="28"/>
        </w:rPr>
        <w:t>0.73</w:t>
      </w:r>
      <w:r>
        <w:rPr>
          <w:rFonts w:ascii="仿宋_GB2312" w:hAnsi="仿宋_GB2312"/>
          <w:sz w:val="28"/>
          <w:szCs w:val="28"/>
        </w:rPr>
        <w:t>%</w:t>
      </w:r>
      <w:r>
        <w:rPr>
          <w:rFonts w:ascii="仿宋_GB2312" w:eastAsia="仿宋_GB2312" w:hint="eastAsia"/>
          <w:sz w:val="28"/>
          <w:szCs w:val="28"/>
        </w:rPr>
        <w:t>，其中：基本支出</w:t>
      </w:r>
      <w:r>
        <w:rPr>
          <w:rFonts w:ascii="仿宋_GB2312" w:eastAsia="仿宋_GB2312"/>
          <w:sz w:val="28"/>
          <w:szCs w:val="28"/>
        </w:rPr>
        <w:t>7249.81</w:t>
      </w:r>
      <w:r>
        <w:rPr>
          <w:rFonts w:ascii="仿宋_GB2312" w:eastAsia="仿宋_GB2312" w:hint="eastAsia"/>
          <w:sz w:val="28"/>
          <w:szCs w:val="28"/>
        </w:rPr>
        <w:t>万元，占支出合计的92.55%；项目支出</w:t>
      </w:r>
      <w:r>
        <w:rPr>
          <w:rFonts w:ascii="仿宋_GB2312" w:eastAsia="仿宋_GB2312"/>
          <w:sz w:val="28"/>
          <w:szCs w:val="28"/>
        </w:rPr>
        <w:t>583.9</w:t>
      </w:r>
      <w:r>
        <w:rPr>
          <w:rFonts w:ascii="仿宋_GB2312" w:eastAsia="仿宋_GB2312" w:hint="eastAsia"/>
          <w:sz w:val="28"/>
          <w:szCs w:val="28"/>
        </w:rPr>
        <w:t>万元，占支出合计的7.45%;上缴上级支出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380E8956" w14:textId="77777777" w:rsidR="00751041"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20B76B88" w14:textId="77777777" w:rsidR="00751041" w:rsidRDefault="00000000">
      <w:pPr>
        <w:jc w:val="center"/>
        <w:rPr>
          <w:rFonts w:ascii="黑体" w:eastAsia="黑体"/>
          <w:b/>
          <w:sz w:val="28"/>
          <w:szCs w:val="28"/>
        </w:rPr>
      </w:pPr>
      <w:r>
        <w:rPr>
          <w:noProof/>
        </w:rPr>
        <w:drawing>
          <wp:inline distT="0" distB="0" distL="114300" distR="114300" wp14:anchorId="7164B6A9" wp14:editId="3FC070FF">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7A4F83B" w14:textId="77777777" w:rsidR="00751041"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4ED3AF46" w14:textId="77777777" w:rsidR="00751041"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7833.7</w:t>
      </w:r>
      <w:r>
        <w:rPr>
          <w:rFonts w:ascii="仿宋_GB2312" w:eastAsia="仿宋_GB2312" w:hint="eastAsia"/>
          <w:sz w:val="28"/>
          <w:szCs w:val="28"/>
        </w:rPr>
        <w:t>万元，</w:t>
      </w:r>
      <w:r>
        <w:rPr>
          <w:rFonts w:ascii="仿宋_GB2312" w:eastAsia="仿宋_GB2312"/>
          <w:sz w:val="28"/>
          <w:szCs w:val="28"/>
        </w:rPr>
        <w:t>比上年减少57.23万元，下降0.73%</w:t>
      </w:r>
      <w:r>
        <w:rPr>
          <w:rFonts w:ascii="仿宋_GB2312" w:eastAsia="仿宋_GB2312" w:hint="eastAsia"/>
          <w:sz w:val="28"/>
          <w:szCs w:val="28"/>
        </w:rPr>
        <w:t>。主要原因：本年我单位项目预算较上年略有下降。</w:t>
      </w:r>
    </w:p>
    <w:p w14:paraId="29F7E0FB" w14:textId="77777777" w:rsidR="00751041"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257EBAC7" w14:textId="77777777" w:rsidR="00751041"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09D0239C" w14:textId="77777777" w:rsidR="00751041"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7830.7</w:t>
      </w:r>
      <w:r>
        <w:rPr>
          <w:rFonts w:ascii="仿宋_GB2312" w:eastAsia="仿宋_GB2312" w:hint="eastAsia"/>
          <w:sz w:val="28"/>
          <w:szCs w:val="28"/>
        </w:rPr>
        <w:t>万元，主要用于以下方面（按大类）：教育支出5172.65万元，占比66.06%；社会保障和就业支出1251.97万元，占比15.99%；卫生健康支出495.98万元，占比6.33%；住房保障支出910.10</w:t>
      </w:r>
      <w:r>
        <w:rPr>
          <w:rFonts w:ascii="仿宋_GB2312" w:eastAsia="仿宋_GB2312" w:hint="eastAsia"/>
          <w:sz w:val="28"/>
          <w:szCs w:val="28"/>
        </w:rPr>
        <w:lastRenderedPageBreak/>
        <w:t>万元，占比11.62%；其他支出3万元，占比0.04%。</w:t>
      </w:r>
    </w:p>
    <w:p w14:paraId="10F2DDCF" w14:textId="77777777" w:rsidR="00751041"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50340246"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1、“教育支出”(类) 2024年度年初预算5054.69万元，2024年度决算5172.65万元，完成年初预算的102.33%。其中：</w:t>
      </w:r>
    </w:p>
    <w:p w14:paraId="76481A7B"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“普通教育”（款）2024年度年初预算4983.56万元，2024年度决算5102.45万元，完成年初预算的102.39%。主要原因：本年追加了该款的拨款。</w:t>
      </w:r>
    </w:p>
    <w:p w14:paraId="472CE5D5"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“特殊教育”（款）2024年度年初预算8.33万元，2024年度决算8.33万元，完成年初预算的100%。</w:t>
      </w:r>
    </w:p>
    <w:p w14:paraId="2079EDAE"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“进修及培训”（款）2024年度年初预算12.4万元，2024年度决算12.4万元，完成年初预算的100%。</w:t>
      </w:r>
    </w:p>
    <w:p w14:paraId="0C01110E" w14:textId="77777777" w:rsidR="000503B9"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教育费附加安排的支出”（款）2024年度年初预算50.40万元，2024年度决算49.47万元，完成年初预算的98.16%。主要原因：多方比价，改造成本低于预期，所以我单位的卫生间改造项目款项有结余，结余款项年底已全部上交财政。</w:t>
      </w:r>
      <w:r w:rsidR="000503B9">
        <w:rPr>
          <w:rFonts w:ascii="仿宋_GB2312" w:eastAsia="仿宋_GB2312" w:hint="eastAsia"/>
          <w:sz w:val="28"/>
          <w:szCs w:val="28"/>
        </w:rPr>
        <w:t xml:space="preserve">   </w:t>
      </w:r>
    </w:p>
    <w:p w14:paraId="009FE2C3" w14:textId="2C712765"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2、“社会保障和就业支出”(类)2024年度年初预算1096.79万元，2024年度决算1251.97万元，完成年初预算的114.15%。。其中：</w:t>
      </w:r>
    </w:p>
    <w:p w14:paraId="10CB0F4F"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“行政事业单位养老支出”（款）2024年度年初预算1096.79万元，2024年度决算1145.59万元，完成年初预算的104.45%。主要原因：由于年中社保基数调整，导致需追加支出。</w:t>
      </w:r>
    </w:p>
    <w:p w14:paraId="59171394"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“抚恤”（款）2024年度年初预算0万元，2024年度决算106.38万元。主要原因：本年我单位去世教师较多，故抚恤金也较多。</w:t>
      </w:r>
    </w:p>
    <w:p w14:paraId="6556FDDA" w14:textId="1FF804E1"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3、“卫生健康支出”(类) 2024年度年初预算482.57万元，2024年度决算495.98万元，完成年初预算的102.78%。其中：</w:t>
      </w:r>
    </w:p>
    <w:p w14:paraId="555577B3"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“行政事业单位医疗”（款）2024年度年初预算482.57万元，2024年度决算495.98万元，完成年初预算的102.78%。主要原因：由于年中社保基数调整，导致需追加支出。</w:t>
      </w:r>
    </w:p>
    <w:p w14:paraId="4ADDF042"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4、“住房保障支出”(类) 2024年度年初预算946.87万元，2024年度决算910.10万元，完成年初预算的96.12%。其中：</w:t>
      </w:r>
    </w:p>
    <w:p w14:paraId="3F56F2D6"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“住房保障支出”（款）2024年度年初预算946.87万元，2024年度决算910.10万元，完成年初预算的96.12%。主要原因：由于本年退休老师较多，故导致住房保障支出实际略少于年初预算。</w:t>
      </w:r>
    </w:p>
    <w:p w14:paraId="05AED3F0" w14:textId="77777777" w:rsidR="00751041"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1F0549A6" w14:textId="77777777" w:rsidR="00751041"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28E72645" w14:textId="620F05FA" w:rsidR="00751041"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3</w:t>
      </w:r>
      <w:r>
        <w:rPr>
          <w:rFonts w:ascii="仿宋_GB2312" w:eastAsia="仿宋_GB2312" w:hint="eastAsia"/>
          <w:sz w:val="28"/>
          <w:szCs w:val="28"/>
        </w:rPr>
        <w:t>万元，主要用于以下方面（按大类）：其他支出</w:t>
      </w:r>
      <w:r>
        <w:rPr>
          <w:rFonts w:ascii="仿宋_GB2312" w:eastAsia="仿宋_GB2312"/>
          <w:sz w:val="28"/>
          <w:szCs w:val="28"/>
        </w:rPr>
        <w:t>3</w:t>
      </w:r>
      <w:r>
        <w:rPr>
          <w:rFonts w:ascii="仿宋_GB2312" w:eastAsia="仿宋_GB2312" w:hint="eastAsia"/>
          <w:sz w:val="28"/>
          <w:szCs w:val="28"/>
        </w:rPr>
        <w:t>万元，占本年财政拨款支出</w:t>
      </w:r>
      <w:r>
        <w:rPr>
          <w:rFonts w:ascii="仿宋_GB2312" w:eastAsia="仿宋_GB2312"/>
          <w:sz w:val="28"/>
          <w:szCs w:val="28"/>
        </w:rPr>
        <w:t>100</w:t>
      </w:r>
      <w:r>
        <w:rPr>
          <w:rFonts w:ascii="仿宋_GB2312" w:eastAsia="仿宋_GB2312" w:hint="eastAsia"/>
          <w:sz w:val="28"/>
          <w:szCs w:val="28"/>
        </w:rPr>
        <w:t>%。</w:t>
      </w:r>
    </w:p>
    <w:p w14:paraId="46B3EB0D" w14:textId="77777777" w:rsidR="00751041"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7F4D1E39" w14:textId="77777777" w:rsidR="00751041" w:rsidRDefault="0000000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1、“城乡社区支出”（类，下同）2024年度年初预算</w:t>
      </w:r>
      <w:r>
        <w:rPr>
          <w:rFonts w:ascii="仿宋_GB2312" w:eastAsia="仿宋_GB2312"/>
          <w:sz w:val="28"/>
          <w:szCs w:val="28"/>
        </w:rPr>
        <w:t>3</w:t>
      </w:r>
      <w:r>
        <w:rPr>
          <w:rFonts w:ascii="仿宋_GB2312" w:eastAsia="仿宋_GB2312" w:hint="eastAsia"/>
          <w:sz w:val="28"/>
          <w:szCs w:val="28"/>
        </w:rPr>
        <w:t>万元，2024年度决算</w:t>
      </w:r>
      <w:r>
        <w:rPr>
          <w:rFonts w:ascii="仿宋_GB2312" w:eastAsia="仿宋_GB2312"/>
          <w:sz w:val="28"/>
          <w:szCs w:val="28"/>
        </w:rPr>
        <w:t>3</w:t>
      </w:r>
      <w:r>
        <w:rPr>
          <w:rFonts w:ascii="仿宋_GB2312" w:eastAsia="仿宋_GB2312" w:hint="eastAsia"/>
          <w:sz w:val="28"/>
          <w:szCs w:val="28"/>
        </w:rPr>
        <w:t>万元，完成年初预算的</w:t>
      </w:r>
      <w:r>
        <w:rPr>
          <w:rFonts w:ascii="仿宋_GB2312" w:eastAsia="仿宋_GB2312"/>
          <w:sz w:val="28"/>
          <w:szCs w:val="28"/>
        </w:rPr>
        <w:t>100</w:t>
      </w:r>
      <w:r>
        <w:rPr>
          <w:rFonts w:ascii="仿宋_GB2312" w:eastAsia="仿宋_GB2312" w:hint="eastAsia"/>
          <w:sz w:val="28"/>
          <w:szCs w:val="28"/>
        </w:rPr>
        <w:t>%。其中：</w:t>
      </w:r>
    </w:p>
    <w:p w14:paraId="4C8D5C01" w14:textId="77777777" w:rsidR="00751041"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w:t>
      </w:r>
      <w:r>
        <w:rPr>
          <w:rFonts w:ascii="仿宋_GB2312" w:eastAsia="仿宋_GB2312"/>
          <w:sz w:val="28"/>
          <w:szCs w:val="28"/>
        </w:rPr>
        <w:t>安排</w:t>
      </w:r>
      <w:r>
        <w:rPr>
          <w:rFonts w:ascii="仿宋_GB2312" w:eastAsia="仿宋_GB2312" w:hint="eastAsia"/>
          <w:sz w:val="28"/>
          <w:szCs w:val="28"/>
        </w:rPr>
        <w:t>的支出”（款，下同）2024年度年初预算</w:t>
      </w:r>
      <w:r>
        <w:rPr>
          <w:rFonts w:ascii="仿宋_GB2312" w:eastAsia="仿宋_GB2312"/>
          <w:sz w:val="28"/>
          <w:szCs w:val="28"/>
        </w:rPr>
        <w:t>3</w:t>
      </w:r>
      <w:r>
        <w:rPr>
          <w:rFonts w:ascii="仿宋_GB2312" w:eastAsia="仿宋_GB2312" w:hint="eastAsia"/>
          <w:sz w:val="28"/>
          <w:szCs w:val="28"/>
        </w:rPr>
        <w:t>万元，2024年度决算</w:t>
      </w:r>
      <w:r>
        <w:rPr>
          <w:rFonts w:ascii="仿宋_GB2312" w:eastAsia="仿宋_GB2312"/>
          <w:sz w:val="28"/>
          <w:szCs w:val="28"/>
        </w:rPr>
        <w:t>3</w:t>
      </w:r>
      <w:r>
        <w:rPr>
          <w:rFonts w:ascii="仿宋_GB2312" w:eastAsia="仿宋_GB2312" w:hint="eastAsia"/>
          <w:sz w:val="28"/>
          <w:szCs w:val="28"/>
        </w:rPr>
        <w:t>万元，完成年初预算的</w:t>
      </w:r>
      <w:r>
        <w:rPr>
          <w:rFonts w:ascii="仿宋_GB2312" w:eastAsia="仿宋_GB2312"/>
          <w:sz w:val="28"/>
          <w:szCs w:val="28"/>
        </w:rPr>
        <w:t>100</w:t>
      </w:r>
      <w:r>
        <w:rPr>
          <w:rFonts w:ascii="仿宋_GB2312" w:eastAsia="仿宋_GB2312" w:hint="eastAsia"/>
          <w:sz w:val="28"/>
          <w:szCs w:val="28"/>
        </w:rPr>
        <w:t>%。</w:t>
      </w:r>
    </w:p>
    <w:p w14:paraId="660F7065" w14:textId="77777777" w:rsidR="00751041" w:rsidRDefault="00751041">
      <w:pPr>
        <w:spacing w:line="580" w:lineRule="exact"/>
        <w:ind w:firstLineChars="200" w:firstLine="560"/>
        <w:rPr>
          <w:rFonts w:ascii="仿宋_GB2312" w:eastAsia="仿宋_GB2312"/>
          <w:sz w:val="28"/>
          <w:szCs w:val="28"/>
        </w:rPr>
      </w:pPr>
    </w:p>
    <w:p w14:paraId="7957D151" w14:textId="77777777" w:rsidR="00751041" w:rsidRDefault="00000000">
      <w:pPr>
        <w:spacing w:line="580" w:lineRule="exact"/>
        <w:ind w:firstLineChars="200" w:firstLine="562"/>
        <w:rPr>
          <w:rFonts w:ascii="黑体" w:eastAsia="黑体"/>
          <w:b/>
          <w:sz w:val="28"/>
          <w:szCs w:val="28"/>
        </w:rPr>
      </w:pPr>
      <w:r>
        <w:rPr>
          <w:rFonts w:ascii="黑体" w:eastAsia="黑体" w:hint="eastAsia"/>
          <w:b/>
          <w:sz w:val="28"/>
          <w:szCs w:val="28"/>
        </w:rPr>
        <w:lastRenderedPageBreak/>
        <w:t>六、国有资本经营预算财</w:t>
      </w:r>
      <w:r>
        <w:rPr>
          <w:rFonts w:ascii="黑体" w:eastAsia="黑体"/>
          <w:b/>
          <w:sz w:val="28"/>
          <w:szCs w:val="28"/>
        </w:rPr>
        <w:t>政拨款</w:t>
      </w:r>
      <w:r>
        <w:rPr>
          <w:rFonts w:ascii="黑体" w:eastAsia="黑体" w:hint="eastAsia"/>
          <w:b/>
          <w:sz w:val="28"/>
          <w:szCs w:val="28"/>
        </w:rPr>
        <w:t>收支情况</w:t>
      </w:r>
    </w:p>
    <w:p w14:paraId="39060F94" w14:textId="77777777" w:rsidR="00751041"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3890840C" w14:textId="77777777" w:rsidR="00751041"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1B268DB0" w14:textId="77777777" w:rsidR="00751041"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7249.81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31165DCC" w14:textId="77777777" w:rsidR="00751041" w:rsidRDefault="00000000">
      <w:pPr>
        <w:autoSpaceDE w:val="0"/>
        <w:autoSpaceDN w:val="0"/>
        <w:adjustRightInd w:val="0"/>
        <w:spacing w:line="580" w:lineRule="exact"/>
        <w:rPr>
          <w:rFonts w:ascii="仿宋_GB2312" w:eastAsia="仿宋_GB2312"/>
          <w:b/>
          <w:sz w:val="32"/>
          <w:szCs w:val="32"/>
        </w:rPr>
      </w:pPr>
      <w:r>
        <w:rPr>
          <w:rFonts w:ascii="仿宋_GB2312" w:eastAsia="仿宋_GB2312"/>
          <w:b/>
          <w:sz w:val="32"/>
          <w:szCs w:val="32"/>
        </w:rPr>
        <w:tab/>
      </w:r>
    </w:p>
    <w:p w14:paraId="4219322D" w14:textId="77777777" w:rsidR="00751041" w:rsidRDefault="00751041">
      <w:pPr>
        <w:pStyle w:val="2"/>
      </w:pPr>
    </w:p>
    <w:p w14:paraId="5BA6C4BC" w14:textId="77777777" w:rsidR="00751041" w:rsidRDefault="00751041"/>
    <w:p w14:paraId="27D638B7" w14:textId="77777777" w:rsidR="00751041" w:rsidRDefault="00751041">
      <w:pPr>
        <w:pStyle w:val="2"/>
      </w:pPr>
    </w:p>
    <w:p w14:paraId="604A84D8" w14:textId="77777777" w:rsidR="00751041"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25D72D6F" w14:textId="77777777" w:rsidR="00751041"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4AF6C26E" w14:textId="77777777" w:rsidR="00751041"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1.29</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1.41</w:t>
      </w:r>
      <w:r>
        <w:rPr>
          <w:rFonts w:ascii="仿宋_GB2312" w:eastAsia="仿宋_GB2312" w:hint="eastAsia"/>
          <w:sz w:val="28"/>
          <w:szCs w:val="28"/>
        </w:rPr>
        <w:t>万元。其中：</w:t>
      </w:r>
    </w:p>
    <w:p w14:paraId="778DDE42" w14:textId="77777777" w:rsidR="00751041"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1.因公出国（境）费用。本单位无此项经费。</w:t>
      </w:r>
    </w:p>
    <w:p w14:paraId="18948430" w14:textId="77777777" w:rsidR="00751041"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2.公务接待费。本单位无此项经费。</w:t>
      </w:r>
    </w:p>
    <w:p w14:paraId="149FE2CF" w14:textId="77777777" w:rsidR="00751041" w:rsidRDefault="00000000">
      <w:pPr>
        <w:spacing w:line="560" w:lineRule="exact"/>
        <w:ind w:firstLine="60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1.29</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1.41</w:t>
      </w:r>
      <w:r>
        <w:rPr>
          <w:rFonts w:ascii="仿宋_GB2312" w:eastAsia="仿宋_GB2312" w:hint="eastAsia"/>
          <w:sz w:val="28"/>
          <w:szCs w:val="28"/>
        </w:rPr>
        <w:t>万元。其中，公务用车购置费2024年度决算数0万元， 2024年度购置（更新）0辆。公务用车运行维护费2024年度决算数1.29万元，主要原因：落实政府过紧日子要求，厉行勤俭节约要求，严格控制本年公务车使用量。2024年度公务用车保有量</w:t>
      </w:r>
      <w:r>
        <w:rPr>
          <w:rFonts w:ascii="仿宋_GB2312" w:eastAsia="仿宋_GB2312"/>
          <w:sz w:val="28"/>
          <w:szCs w:val="28"/>
        </w:rPr>
        <w:t>1</w:t>
      </w:r>
      <w:r>
        <w:rPr>
          <w:rFonts w:ascii="仿宋_GB2312" w:eastAsia="仿宋_GB2312" w:hint="eastAsia"/>
          <w:sz w:val="28"/>
          <w:szCs w:val="28"/>
        </w:rPr>
        <w:t>辆。</w:t>
      </w:r>
    </w:p>
    <w:p w14:paraId="54CCC99C" w14:textId="77777777" w:rsidR="00751041"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36B0373D" w14:textId="77777777" w:rsidR="000503B9" w:rsidRDefault="000503B9" w:rsidP="000503B9">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12FAA2F0" w14:textId="77777777" w:rsidR="00751041" w:rsidRDefault="00000000">
      <w:pPr>
        <w:ind w:left="540"/>
        <w:rPr>
          <w:rFonts w:ascii="黑体" w:eastAsia="黑体"/>
          <w:sz w:val="28"/>
          <w:szCs w:val="28"/>
        </w:rPr>
      </w:pPr>
      <w:r>
        <w:rPr>
          <w:rFonts w:ascii="黑体" w:eastAsia="黑体" w:hint="eastAsia"/>
          <w:sz w:val="28"/>
          <w:szCs w:val="28"/>
        </w:rPr>
        <w:t>三、政府采购支出情况</w:t>
      </w:r>
    </w:p>
    <w:p w14:paraId="34499872" w14:textId="77777777" w:rsidR="00751041"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173.25</w:t>
      </w:r>
      <w:r>
        <w:rPr>
          <w:rFonts w:ascii="仿宋_GB2312" w:eastAsia="仿宋_GB2312" w:hint="eastAsia"/>
          <w:sz w:val="28"/>
          <w:szCs w:val="28"/>
        </w:rPr>
        <w:t>万元，其中：政府采购货物支出</w:t>
      </w:r>
      <w:r>
        <w:rPr>
          <w:rFonts w:ascii="仿宋_GB2312" w:eastAsia="仿宋_GB2312"/>
          <w:sz w:val="28"/>
          <w:szCs w:val="28"/>
        </w:rPr>
        <w:t>28.97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144.28</w:t>
      </w:r>
      <w:r>
        <w:rPr>
          <w:rFonts w:ascii="仿宋_GB2312" w:eastAsia="仿宋_GB2312" w:hint="eastAsia"/>
          <w:sz w:val="28"/>
          <w:szCs w:val="28"/>
        </w:rPr>
        <w:t>万元。授予中小企业合同金额</w:t>
      </w:r>
      <w:r>
        <w:rPr>
          <w:rFonts w:ascii="仿宋_GB2312" w:eastAsia="仿宋_GB2312"/>
          <w:sz w:val="28"/>
          <w:szCs w:val="28"/>
        </w:rPr>
        <w:t>71.33</w:t>
      </w:r>
      <w:r>
        <w:rPr>
          <w:rFonts w:ascii="仿宋_GB2312" w:eastAsia="仿宋_GB2312" w:hint="eastAsia"/>
          <w:sz w:val="28"/>
          <w:szCs w:val="28"/>
        </w:rPr>
        <w:t>万元，占政府采购支出总额的41.17%，其中：授予小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lastRenderedPageBreak/>
        <w:t>合同金额</w:t>
      </w:r>
      <w:r>
        <w:rPr>
          <w:rFonts w:ascii="仿宋_GB2312" w:eastAsia="仿宋_GB2312"/>
          <w:sz w:val="28"/>
          <w:szCs w:val="28"/>
        </w:rPr>
        <w:t>71.33</w:t>
      </w:r>
      <w:r>
        <w:rPr>
          <w:rFonts w:ascii="仿宋_GB2312" w:eastAsia="仿宋_GB2312" w:hint="eastAsia"/>
          <w:sz w:val="28"/>
          <w:szCs w:val="28"/>
        </w:rPr>
        <w:t>万元，占政府采购支出总额的</w:t>
      </w:r>
      <w:r>
        <w:rPr>
          <w:rFonts w:ascii="仿宋_GB2312" w:eastAsia="仿宋_GB2312"/>
          <w:sz w:val="28"/>
          <w:szCs w:val="28"/>
        </w:rPr>
        <w:t>41.17</w:t>
      </w:r>
      <w:r>
        <w:rPr>
          <w:rFonts w:ascii="仿宋_GB2312" w:eastAsia="仿宋_GB2312" w:hint="eastAsia"/>
          <w:sz w:val="28"/>
          <w:szCs w:val="28"/>
        </w:rPr>
        <w:t>%。</w:t>
      </w:r>
    </w:p>
    <w:p w14:paraId="066A1D4B" w14:textId="77777777" w:rsidR="00751041"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2FF26B7D" w14:textId="77777777" w:rsidR="00751041"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截至12月31日，北京市西城区展览路第一小学共有车辆1台；单位价值100万元（含）以上的设备0台（套）。</w:t>
      </w:r>
    </w:p>
    <w:p w14:paraId="02125874" w14:textId="77777777" w:rsidR="00751041"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14D81CE8" w14:textId="77777777" w:rsidR="00751041"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41D99DB1" w14:textId="77777777" w:rsidR="00751041"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54835CA0" w14:textId="77777777" w:rsidR="00751041"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4E855159" w14:textId="77777777" w:rsidR="00751041"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6B8E9A65" w14:textId="77777777" w:rsidR="00751041"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58C61771" w14:textId="77777777" w:rsidR="00751041"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427E228B" w14:textId="77777777" w:rsidR="00751041" w:rsidRDefault="00000000">
      <w:pPr>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7BFFF5D3" w14:textId="77777777" w:rsidR="00751041"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5869CDC" w14:textId="77777777" w:rsidR="00751041" w:rsidRDefault="00000000">
      <w:pPr>
        <w:rPr>
          <w:rFonts w:ascii="仿宋_GB2312" w:eastAsia="仿宋_GB2312"/>
          <w:sz w:val="28"/>
          <w:szCs w:val="28"/>
        </w:rPr>
      </w:pPr>
      <w:r>
        <w:rPr>
          <w:rFonts w:ascii="仿宋_GB2312" w:eastAsia="仿宋_GB2312" w:hint="eastAsia"/>
          <w:sz w:val="28"/>
          <w:szCs w:val="28"/>
        </w:rPr>
        <w:t>7. 教育支出（类）普通教育（款）小学教育（项）：反映本部门举办的小学教育支出。</w:t>
      </w:r>
    </w:p>
    <w:p w14:paraId="383C6B7B" w14:textId="77777777" w:rsidR="00751041" w:rsidRDefault="00000000">
      <w:pPr>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ab/>
        <w:t>教育支出（类）进修及培训（款）培训支出（项）：反映本部门安排的用于培训的支出。</w:t>
      </w:r>
    </w:p>
    <w:p w14:paraId="00F41312" w14:textId="77777777" w:rsidR="00751041" w:rsidRDefault="00000000">
      <w:pPr>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ab/>
        <w:t>教育支出（类）教育费附加安排的支出（款）城市中小学校舍建设（项）：反映教育费附加安排用于城市中小学校舍新建、改建、修缮和维护的支出。</w:t>
      </w:r>
    </w:p>
    <w:p w14:paraId="2E8C54A9" w14:textId="77777777" w:rsidR="00751041" w:rsidRDefault="00000000">
      <w:pPr>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ab/>
        <w:t>教育支出（类）教育费附加安排的支出（款）城市中小学教学设施（项）：反映教育费附加安排用于改善城市中小学教学设施和办学条件的支出。</w:t>
      </w:r>
    </w:p>
    <w:p w14:paraId="589896EF" w14:textId="77777777" w:rsidR="00751041" w:rsidRDefault="00000000">
      <w:pPr>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ab/>
        <w:t>教育支出（类）教育费附加安排的支出（款）其他教育费附加安排的支出（项）：反映除上述项目以外的教育费附加支出。</w:t>
      </w:r>
    </w:p>
    <w:p w14:paraId="70E3355C" w14:textId="77777777" w:rsidR="00751041" w:rsidRDefault="00000000">
      <w:pPr>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ab/>
        <w:t>社会保障和就业支出（类）行政事业单位养老支出（款）事业单位离退休（项）：反映事业单位开支的离退休经费。</w:t>
      </w:r>
    </w:p>
    <w:p w14:paraId="57830D8C" w14:textId="77777777" w:rsidR="00751041" w:rsidRDefault="00000000">
      <w:pPr>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ab/>
        <w:t>社会保障和就业支出（类）行政事业单位养老支出（款）机关事业单位基本养老保险缴费支出（项）：反映机关</w:t>
      </w:r>
      <w:r>
        <w:rPr>
          <w:rFonts w:ascii="仿宋_GB2312" w:eastAsia="仿宋_GB2312" w:hint="eastAsia"/>
          <w:sz w:val="28"/>
          <w:szCs w:val="28"/>
        </w:rPr>
        <w:lastRenderedPageBreak/>
        <w:t>事业单位实施养老保险制度由单位缴纳的基本养老保险费支出。</w:t>
      </w:r>
    </w:p>
    <w:p w14:paraId="59AB88E7" w14:textId="77777777" w:rsidR="00751041" w:rsidRDefault="00000000">
      <w:pPr>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ab/>
        <w:t>社会保障和就业支出（类）行政事业单位养老支出（款）机关事业单位职业年金缴费支出（项）：反映机关事业单位实施养老保险制度由单位实际缴纳的职业年金支出。</w:t>
      </w:r>
    </w:p>
    <w:p w14:paraId="24AFE5FA" w14:textId="77777777" w:rsidR="00751041" w:rsidRDefault="00000000">
      <w:pPr>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ab/>
        <w:t>社会保障和就业支出（类）抚恤（款）死亡抚恤（项）：反映按规定用于烈士和牺牲、病故人员家属的一次性和定期抚恤金、丧葬补助费以及烈士褒扬金。</w:t>
      </w:r>
    </w:p>
    <w:p w14:paraId="0B167C6B" w14:textId="77777777" w:rsidR="00751041" w:rsidRDefault="00000000">
      <w:pPr>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ab/>
        <w:t>社会保障和就业支出（类）其他生活救助（款）其他城市生活救助（项）：反映除最低生活保障、临时救助、特困人员救助供养外，用于城乡生活困难居民生活救助的其他支出，包括用于除优抚对象、失业人员</w:t>
      </w:r>
      <w:proofErr w:type="gramStart"/>
      <w:r>
        <w:rPr>
          <w:rFonts w:ascii="仿宋_GB2312" w:eastAsia="仿宋_GB2312" w:hint="eastAsia"/>
          <w:sz w:val="28"/>
          <w:szCs w:val="28"/>
        </w:rPr>
        <w:t>之外城市</w:t>
      </w:r>
      <w:proofErr w:type="gramEnd"/>
      <w:r>
        <w:rPr>
          <w:rFonts w:ascii="仿宋_GB2312" w:eastAsia="仿宋_GB2312" w:hint="eastAsia"/>
          <w:sz w:val="28"/>
          <w:szCs w:val="28"/>
        </w:rPr>
        <w:t>生活困难居民的价格临时补贴支出。</w:t>
      </w:r>
    </w:p>
    <w:p w14:paraId="78AFCB1E" w14:textId="77777777" w:rsidR="00751041" w:rsidRDefault="00000000">
      <w:pPr>
        <w:rPr>
          <w:rFonts w:ascii="仿宋_GB2312" w:eastAsia="仿宋_GB2312"/>
          <w:sz w:val="28"/>
          <w:szCs w:val="28"/>
        </w:rPr>
      </w:pPr>
      <w:r>
        <w:rPr>
          <w:rFonts w:ascii="仿宋_GB2312" w:eastAsia="仿宋_GB2312" w:hint="eastAsia"/>
          <w:sz w:val="28"/>
          <w:szCs w:val="28"/>
        </w:rPr>
        <w:t>17.</w:t>
      </w:r>
      <w:r>
        <w:rPr>
          <w:rFonts w:ascii="仿宋_GB2312" w:eastAsia="仿宋_GB2312" w:hint="eastAsia"/>
          <w:sz w:val="28"/>
          <w:szCs w:val="28"/>
        </w:rPr>
        <w:tab/>
        <w:t>卫生健康支出（类）行政事业单位医疗（款）事业单位医疗（项）：反映财政部门安排的事业单位基本医疗保险缴费经费，未参加医疗保险的事业单位的公费医疗经费，按国家规定享受离休人员待遇的医疗经费。</w:t>
      </w:r>
    </w:p>
    <w:p w14:paraId="0B102B39" w14:textId="77777777" w:rsidR="00751041" w:rsidRDefault="00000000">
      <w:pPr>
        <w:rPr>
          <w:rFonts w:ascii="仿宋_GB2312" w:eastAsia="仿宋_GB2312"/>
          <w:sz w:val="28"/>
          <w:szCs w:val="28"/>
        </w:rPr>
      </w:pPr>
      <w:r>
        <w:rPr>
          <w:rFonts w:ascii="仿宋_GB2312" w:eastAsia="仿宋_GB2312" w:hint="eastAsia"/>
          <w:sz w:val="28"/>
          <w:szCs w:val="28"/>
        </w:rPr>
        <w:t>18.</w:t>
      </w:r>
      <w:r>
        <w:rPr>
          <w:rFonts w:ascii="仿宋_GB2312" w:eastAsia="仿宋_GB2312" w:hint="eastAsia"/>
          <w:sz w:val="28"/>
          <w:szCs w:val="28"/>
        </w:rPr>
        <w:tab/>
        <w:t>卫生健康支出（类）行政事业单位医疗（款）其他行政事业单位医疗支出（项）：反映除上述项目以外的其他用于行政事业单位医疗方面的支出。</w:t>
      </w:r>
    </w:p>
    <w:p w14:paraId="0656DDC9" w14:textId="77777777" w:rsidR="00751041" w:rsidRDefault="00000000">
      <w:pPr>
        <w:rPr>
          <w:rFonts w:ascii="仿宋_GB2312" w:eastAsia="仿宋_GB2312"/>
          <w:sz w:val="28"/>
          <w:szCs w:val="28"/>
        </w:rPr>
      </w:pPr>
      <w:r>
        <w:rPr>
          <w:rFonts w:ascii="仿宋_GB2312" w:eastAsia="仿宋_GB2312" w:hint="eastAsia"/>
          <w:sz w:val="28"/>
          <w:szCs w:val="28"/>
        </w:rPr>
        <w:t>19.</w:t>
      </w:r>
      <w:r>
        <w:rPr>
          <w:rFonts w:ascii="仿宋_GB2312" w:eastAsia="仿宋_GB2312" w:hint="eastAsia"/>
          <w:sz w:val="28"/>
          <w:szCs w:val="28"/>
        </w:rPr>
        <w:tab/>
        <w:t>住房保障支出（类）住房改革支出（款）住房公积金（项）：反映行政事业单位按人力资源和社会保障部、财政部规定的基本工资和津贴补贴以及规定比例为职工缴纳的住房公积金。</w:t>
      </w:r>
    </w:p>
    <w:p w14:paraId="4D8724B6" w14:textId="77777777" w:rsidR="00751041" w:rsidRDefault="00000000">
      <w:pPr>
        <w:rPr>
          <w:rFonts w:ascii="仿宋_GB2312" w:eastAsia="仿宋_GB2312"/>
          <w:sz w:val="28"/>
          <w:szCs w:val="28"/>
        </w:rPr>
      </w:pPr>
      <w:r>
        <w:rPr>
          <w:rFonts w:ascii="仿宋_GB2312" w:eastAsia="仿宋_GB2312" w:hint="eastAsia"/>
          <w:sz w:val="28"/>
          <w:szCs w:val="28"/>
        </w:rPr>
        <w:t>20.</w:t>
      </w:r>
      <w:r>
        <w:rPr>
          <w:rFonts w:ascii="仿宋_GB2312" w:eastAsia="仿宋_GB2312" w:hint="eastAsia"/>
          <w:sz w:val="28"/>
          <w:szCs w:val="28"/>
        </w:rPr>
        <w:tab/>
        <w:t>住房保障支出（类）住房改革支出（款）提租补贴（项）：反映按房改政策规定的标准，行政事业单位向职工（含</w:t>
      </w:r>
      <w:r>
        <w:rPr>
          <w:rFonts w:ascii="仿宋_GB2312" w:eastAsia="仿宋_GB2312" w:hint="eastAsia"/>
          <w:sz w:val="28"/>
          <w:szCs w:val="28"/>
        </w:rPr>
        <w:lastRenderedPageBreak/>
        <w:t>离退休人员）发放的租金补助。</w:t>
      </w:r>
    </w:p>
    <w:p w14:paraId="549838E7" w14:textId="77777777" w:rsidR="00751041" w:rsidRDefault="00000000">
      <w:pPr>
        <w:rPr>
          <w:rFonts w:ascii="仿宋_GB2312" w:eastAsia="仿宋_GB2312"/>
          <w:sz w:val="28"/>
          <w:szCs w:val="28"/>
        </w:rPr>
      </w:pPr>
      <w:r>
        <w:rPr>
          <w:rFonts w:ascii="仿宋_GB2312" w:eastAsia="仿宋_GB2312" w:hint="eastAsia"/>
          <w:sz w:val="28"/>
          <w:szCs w:val="28"/>
        </w:rPr>
        <w:t>21.</w:t>
      </w:r>
      <w:r>
        <w:rPr>
          <w:rFonts w:ascii="仿宋_GB2312" w:eastAsia="仿宋_GB2312" w:hint="eastAsia"/>
          <w:sz w:val="28"/>
          <w:szCs w:val="28"/>
        </w:rPr>
        <w:tab/>
        <w:t>住房保障支出（类）住房改革支出（款）购房补贴（项）：反映按房改政策规定的标准，行政事业单位向符合条件职工（含离退休人员）发放的用于购买住房的补贴。</w:t>
      </w:r>
    </w:p>
    <w:p w14:paraId="6ECBC723" w14:textId="77777777" w:rsidR="00751041" w:rsidRDefault="00000000">
      <w:pPr>
        <w:rPr>
          <w:rFonts w:ascii="仿宋_GB2312" w:eastAsia="仿宋_GB2312"/>
          <w:sz w:val="28"/>
          <w:szCs w:val="28"/>
        </w:rPr>
      </w:pPr>
      <w:r>
        <w:rPr>
          <w:rFonts w:ascii="仿宋_GB2312" w:eastAsia="仿宋_GB2312" w:hint="eastAsia"/>
          <w:sz w:val="28"/>
          <w:szCs w:val="28"/>
        </w:rPr>
        <w:t>22.</w:t>
      </w:r>
      <w:r>
        <w:rPr>
          <w:rFonts w:ascii="仿宋_GB2312" w:eastAsia="仿宋_GB2312" w:hint="eastAsia"/>
          <w:sz w:val="28"/>
          <w:szCs w:val="28"/>
        </w:rPr>
        <w:tab/>
        <w:t>其他支出（类）彩票公益金安排的支出（款）用于体育事业的彩票公益金支出（项）：反映用于体育事业的彩票公益金支出。</w:t>
      </w:r>
    </w:p>
    <w:p w14:paraId="1AA38606" w14:textId="77777777" w:rsidR="00751041" w:rsidRDefault="00751041">
      <w:pPr>
        <w:tabs>
          <w:tab w:val="center" w:pos="6979"/>
        </w:tabs>
        <w:spacing w:line="380" w:lineRule="exact"/>
        <w:jc w:val="center"/>
        <w:rPr>
          <w:rFonts w:ascii="宋体" w:hAnsi="宋体" w:cs="宋体" w:hint="eastAsia"/>
          <w:b/>
          <w:bCs/>
          <w:kern w:val="0"/>
          <w:sz w:val="28"/>
          <w:szCs w:val="28"/>
        </w:rPr>
      </w:pPr>
    </w:p>
    <w:p w14:paraId="0E5954D9" w14:textId="77777777" w:rsidR="00751041" w:rsidRDefault="00751041">
      <w:pPr>
        <w:pStyle w:val="2"/>
      </w:pPr>
    </w:p>
    <w:p w14:paraId="1418B2F2" w14:textId="77777777" w:rsidR="00751041" w:rsidRDefault="00751041"/>
    <w:p w14:paraId="1295A48A" w14:textId="77777777" w:rsidR="00751041" w:rsidRDefault="00751041">
      <w:pPr>
        <w:pStyle w:val="2"/>
      </w:pPr>
    </w:p>
    <w:p w14:paraId="11D60592" w14:textId="77777777" w:rsidR="00751041" w:rsidRDefault="00751041"/>
    <w:p w14:paraId="5AA077CC" w14:textId="77777777" w:rsidR="00751041" w:rsidRDefault="00751041">
      <w:pPr>
        <w:pStyle w:val="2"/>
      </w:pPr>
    </w:p>
    <w:p w14:paraId="5920AB11" w14:textId="77777777" w:rsidR="00751041" w:rsidRDefault="00751041"/>
    <w:p w14:paraId="554FA2D6" w14:textId="77777777" w:rsidR="00751041" w:rsidRDefault="00751041">
      <w:pPr>
        <w:tabs>
          <w:tab w:val="center" w:pos="6979"/>
        </w:tabs>
        <w:spacing w:line="380" w:lineRule="exact"/>
        <w:jc w:val="center"/>
        <w:rPr>
          <w:rFonts w:ascii="宋体" w:hAnsi="宋体" w:cs="宋体" w:hint="eastAsia"/>
          <w:b/>
          <w:bCs/>
          <w:kern w:val="0"/>
          <w:sz w:val="28"/>
          <w:szCs w:val="28"/>
        </w:rPr>
      </w:pPr>
    </w:p>
    <w:p w14:paraId="6B26C8A7" w14:textId="77777777" w:rsidR="00751041" w:rsidRDefault="00751041">
      <w:pPr>
        <w:rPr>
          <w:rFonts w:ascii="黑体" w:eastAsia="黑体"/>
          <w:sz w:val="32"/>
          <w:szCs w:val="32"/>
        </w:rPr>
      </w:pPr>
    </w:p>
    <w:p w14:paraId="49EC9180" w14:textId="77777777" w:rsidR="00751041" w:rsidRDefault="00751041">
      <w:pPr>
        <w:ind w:firstLineChars="200" w:firstLine="640"/>
        <w:jc w:val="center"/>
        <w:rPr>
          <w:rFonts w:ascii="黑体" w:eastAsia="黑体"/>
          <w:sz w:val="32"/>
          <w:szCs w:val="32"/>
        </w:rPr>
      </w:pPr>
    </w:p>
    <w:p w14:paraId="1396A575" w14:textId="77777777" w:rsidR="00751041" w:rsidRDefault="00000000">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14:paraId="155637B3" w14:textId="77777777" w:rsidR="00751041" w:rsidRDefault="00751041">
      <w:pPr>
        <w:ind w:firstLineChars="200" w:firstLine="560"/>
        <w:rPr>
          <w:rFonts w:ascii="黑体" w:eastAsia="黑体"/>
          <w:sz w:val="28"/>
          <w:szCs w:val="28"/>
          <w:highlight w:val="yellow"/>
        </w:rPr>
      </w:pPr>
    </w:p>
    <w:p w14:paraId="27A3785D" w14:textId="77777777" w:rsidR="00751041" w:rsidRDefault="00000000">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454D5350" w14:textId="77777777" w:rsidR="00751041" w:rsidRDefault="00000000">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42820180" w14:textId="77777777" w:rsidR="00751041" w:rsidRDefault="0000000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10805263" w14:textId="77777777" w:rsidR="00751041" w:rsidRDefault="00000000">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25E54D00" w14:textId="77777777" w:rsidR="00751041"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68C7B2D8" w14:textId="77777777" w:rsidR="00751041" w:rsidRDefault="00751041">
      <w:pPr>
        <w:spacing w:line="480" w:lineRule="exact"/>
        <w:rPr>
          <w:rFonts w:ascii="仿宋_GB2312" w:eastAsia="仿宋_GB2312" w:hAnsi="仿宋_GB2312" w:cs="仿宋_GB2312" w:hint="eastAsia"/>
          <w:sz w:val="32"/>
          <w:szCs w:val="32"/>
        </w:rPr>
      </w:pPr>
    </w:p>
    <w:p w14:paraId="5024EB00" w14:textId="77777777" w:rsidR="00751041" w:rsidRDefault="00751041">
      <w:pPr>
        <w:spacing w:line="480" w:lineRule="exact"/>
      </w:pPr>
    </w:p>
    <w:sectPr w:rsidR="00751041">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663DB" w14:textId="77777777" w:rsidR="00E57EE1" w:rsidRDefault="00E57EE1">
      <w:r>
        <w:separator/>
      </w:r>
    </w:p>
  </w:endnote>
  <w:endnote w:type="continuationSeparator" w:id="0">
    <w:p w14:paraId="08015950" w14:textId="77777777" w:rsidR="00E57EE1" w:rsidRDefault="00E5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F2217" w14:textId="77777777" w:rsidR="00751041"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2A4BB7CE" w14:textId="77777777" w:rsidR="00751041" w:rsidRDefault="0075104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E2871" w14:textId="77777777" w:rsidR="00751041"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1DC22A3B" w14:textId="77777777" w:rsidR="00751041" w:rsidRDefault="0075104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CF44F" w14:textId="77777777" w:rsidR="00751041"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4</w:t>
    </w:r>
    <w:r>
      <w:fldChar w:fldCharType="end"/>
    </w:r>
  </w:p>
  <w:p w14:paraId="7045476C" w14:textId="77777777" w:rsidR="00751041" w:rsidRDefault="0075104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8C71C" w14:textId="77777777" w:rsidR="00E57EE1" w:rsidRDefault="00E57EE1">
      <w:r>
        <w:separator/>
      </w:r>
    </w:p>
  </w:footnote>
  <w:footnote w:type="continuationSeparator" w:id="0">
    <w:p w14:paraId="5C63CD23" w14:textId="77777777" w:rsidR="00E57EE1" w:rsidRDefault="00E57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16cid:durableId="1756704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CBB"/>
    <w:rsid w:val="000503B9"/>
    <w:rsid w:val="002D03C3"/>
    <w:rsid w:val="004236C2"/>
    <w:rsid w:val="00594F6C"/>
    <w:rsid w:val="00666CBB"/>
    <w:rsid w:val="00751041"/>
    <w:rsid w:val="007E470E"/>
    <w:rsid w:val="008E091C"/>
    <w:rsid w:val="00BD5DE1"/>
    <w:rsid w:val="00CE7EC1"/>
    <w:rsid w:val="00E57EE1"/>
    <w:rsid w:val="00E81725"/>
    <w:rsid w:val="66925AE7"/>
    <w:rsid w:val="72AD4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AE8B"/>
  <w15:docId w15:val="{31F5C739-397A-425C-8EC5-E47EF298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C364-4204-A703-D0F1918C6CCA}"/>
              </c:ext>
            </c:extLst>
          </c:dPt>
          <c:dPt>
            <c:idx val="1"/>
            <c:bubble3D val="0"/>
            <c:extLst>
              <c:ext xmlns:c16="http://schemas.microsoft.com/office/drawing/2014/chart" uri="{C3380CC4-5D6E-409C-BE32-E72D297353CC}">
                <c16:uniqueId val="{00000001-C364-4204-A703-D0F1918C6CCA}"/>
              </c:ext>
            </c:extLst>
          </c:dPt>
          <c:dPt>
            <c:idx val="2"/>
            <c:bubble3D val="0"/>
            <c:extLst>
              <c:ext xmlns:c16="http://schemas.microsoft.com/office/drawing/2014/chart" uri="{C3380CC4-5D6E-409C-BE32-E72D297353CC}">
                <c16:uniqueId val="{00000002-C364-4204-A703-D0F1918C6CCA}"/>
              </c:ext>
            </c:extLst>
          </c:dPt>
          <c:dPt>
            <c:idx val="3"/>
            <c:bubble3D val="0"/>
            <c:extLst>
              <c:ext xmlns:c16="http://schemas.microsoft.com/office/drawing/2014/chart" uri="{C3380CC4-5D6E-409C-BE32-E72D297353CC}">
                <c16:uniqueId val="{00000003-C364-4204-A703-D0F1918C6CCA}"/>
              </c:ext>
            </c:extLst>
          </c:dPt>
          <c:dPt>
            <c:idx val="4"/>
            <c:bubble3D val="0"/>
            <c:extLst>
              <c:ext xmlns:c16="http://schemas.microsoft.com/office/drawing/2014/chart" uri="{C3380CC4-5D6E-409C-BE32-E72D297353CC}">
                <c16:uniqueId val="{00000004-C364-4204-A703-D0F1918C6CCA}"/>
              </c:ext>
            </c:extLst>
          </c:dPt>
          <c:dPt>
            <c:idx val="5"/>
            <c:bubble3D val="0"/>
            <c:extLst>
              <c:ext xmlns:c16="http://schemas.microsoft.com/office/drawing/2014/chart" uri="{C3380CC4-5D6E-409C-BE32-E72D297353CC}">
                <c16:uniqueId val="{00000005-C364-4204-A703-D0F1918C6CCA}"/>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7833.7</c:v>
                </c:pt>
                <c:pt idx="1">
                  <c:v>0</c:v>
                </c:pt>
                <c:pt idx="2">
                  <c:v>0</c:v>
                </c:pt>
                <c:pt idx="3">
                  <c:v>0</c:v>
                </c:pt>
                <c:pt idx="4">
                  <c:v>0</c:v>
                </c:pt>
                <c:pt idx="5">
                  <c:v>0</c:v>
                </c:pt>
              </c:numCache>
            </c:numRef>
          </c:val>
          <c:extLst>
            <c:ext xmlns:c16="http://schemas.microsoft.com/office/drawing/2014/chart" uri="{C3380CC4-5D6E-409C-BE32-E72D297353CC}">
              <c16:uniqueId val="{00000006-C364-4204-A703-D0F1918C6CCA}"/>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f786319-5b07-47f4-ad5c-2ac6dfb672bf}"/>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6827-411B-899D-DB350722A1F4}"/>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6827-411B-899D-DB350722A1F4}"/>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6827-411B-899D-DB350722A1F4}"/>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6827-411B-899D-DB350722A1F4}"/>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6827-411B-899D-DB350722A1F4}"/>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827-411B-899D-DB350722A1F4}"/>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827-411B-899D-DB350722A1F4}"/>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7249.81</c:v>
                </c:pt>
                <c:pt idx="1">
                  <c:v>583.9</c:v>
                </c:pt>
                <c:pt idx="2">
                  <c:v>0</c:v>
                </c:pt>
                <c:pt idx="3">
                  <c:v>0</c:v>
                </c:pt>
                <c:pt idx="4">
                  <c:v>0</c:v>
                </c:pt>
              </c:numCache>
            </c:numRef>
          </c:val>
          <c:extLst>
            <c:ext xmlns:c16="http://schemas.microsoft.com/office/drawing/2014/chart" uri="{C3380CC4-5D6E-409C-BE32-E72D297353CC}">
              <c16:uniqueId val="{0000000A-6827-411B-899D-DB350722A1F4}"/>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2fa93e4b-22bf-4abc-8559-367ed21ce44f}"/>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827</Words>
  <Characters>4717</Characters>
  <Application>Microsoft Office Word</Application>
  <DocSecurity>0</DocSecurity>
  <Lines>39</Lines>
  <Paragraphs>11</Paragraphs>
  <ScaleCrop>false</ScaleCrop>
  <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cp:revision>
  <cp:lastPrinted>2020-08-07T19:39:00Z</cp:lastPrinted>
  <dcterms:created xsi:type="dcterms:W3CDTF">2025-08-27T13:40:00Z</dcterms:created>
  <dcterms:modified xsi:type="dcterms:W3CDTF">2025-08-27T13:40:00Z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3213046A524C445582FC673946333133_13</vt:lpwstr>
  </property>
  <property fmtid="{D5CDD505-2E9C-101B-9397-08002B2CF9AE}" pid="4" name="KSOTemplateDocerSaveRecord">
    <vt:lpwstr>eyJoZGlkIjoiYjAwZmFiOGNjZGRiYjk0MDRlM2MyMWU0ZjJiYmY1YzYiLCJ1c2VySWQiOiIyMzU2OTY1NTEifQ==</vt:lpwstr>
  </property>
</Properties>
</file>