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942AC" w14:textId="77777777" w:rsidR="000964B7" w:rsidRDefault="000964B7">
      <w:pPr>
        <w:jc w:val="center"/>
        <w:rPr>
          <w:rFonts w:ascii="仿宋_GB2312" w:eastAsia="仿宋_GB2312"/>
          <w:b/>
          <w:sz w:val="32"/>
          <w:szCs w:val="32"/>
        </w:rPr>
      </w:pPr>
    </w:p>
    <w:p w14:paraId="186F77B6" w14:textId="77777777" w:rsidR="000964B7" w:rsidRDefault="000964B7">
      <w:pPr>
        <w:jc w:val="center"/>
        <w:rPr>
          <w:rFonts w:ascii="黑体" w:eastAsia="黑体"/>
          <w:sz w:val="72"/>
          <w:szCs w:val="72"/>
        </w:rPr>
      </w:pPr>
    </w:p>
    <w:p w14:paraId="07502F94" w14:textId="77777777" w:rsidR="000964B7" w:rsidRDefault="000964B7">
      <w:pPr>
        <w:jc w:val="center"/>
        <w:rPr>
          <w:rFonts w:ascii="黑体" w:eastAsia="黑体"/>
          <w:sz w:val="72"/>
          <w:szCs w:val="72"/>
        </w:rPr>
      </w:pPr>
    </w:p>
    <w:p w14:paraId="2A3DE58F" w14:textId="77777777" w:rsidR="000964B7" w:rsidRDefault="000964B7">
      <w:pPr>
        <w:jc w:val="center"/>
        <w:rPr>
          <w:rFonts w:ascii="黑体" w:eastAsia="黑体"/>
          <w:sz w:val="72"/>
          <w:szCs w:val="72"/>
        </w:rPr>
      </w:pPr>
    </w:p>
    <w:p w14:paraId="239C598C" w14:textId="77777777" w:rsidR="000964B7" w:rsidRDefault="000964B7">
      <w:pPr>
        <w:jc w:val="center"/>
        <w:rPr>
          <w:rFonts w:ascii="黑体" w:eastAsia="黑体"/>
          <w:sz w:val="72"/>
          <w:szCs w:val="72"/>
        </w:rPr>
      </w:pPr>
    </w:p>
    <w:p w14:paraId="402404FC" w14:textId="77777777" w:rsidR="000964B7"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0E00912" w14:textId="77777777" w:rsidR="000964B7" w:rsidRDefault="000964B7">
      <w:pPr>
        <w:jc w:val="center"/>
        <w:rPr>
          <w:rFonts w:ascii="黑体" w:eastAsia="黑体"/>
          <w:sz w:val="52"/>
          <w:szCs w:val="52"/>
        </w:rPr>
      </w:pPr>
    </w:p>
    <w:p w14:paraId="6DC8C2FD" w14:textId="77777777" w:rsidR="000964B7" w:rsidRDefault="000964B7">
      <w:pPr>
        <w:jc w:val="center"/>
        <w:rPr>
          <w:rFonts w:ascii="黑体" w:eastAsia="黑体"/>
          <w:sz w:val="52"/>
          <w:szCs w:val="52"/>
        </w:rPr>
      </w:pPr>
    </w:p>
    <w:p w14:paraId="49ED60BE" w14:textId="77777777" w:rsidR="000964B7" w:rsidRDefault="000964B7">
      <w:pPr>
        <w:jc w:val="center"/>
        <w:rPr>
          <w:rFonts w:ascii="黑体" w:eastAsia="黑体"/>
          <w:sz w:val="52"/>
          <w:szCs w:val="52"/>
        </w:rPr>
      </w:pPr>
    </w:p>
    <w:p w14:paraId="32A5242D" w14:textId="77777777" w:rsidR="000964B7" w:rsidRDefault="000964B7">
      <w:pPr>
        <w:jc w:val="center"/>
        <w:rPr>
          <w:rFonts w:ascii="黑体" w:eastAsia="黑体"/>
          <w:sz w:val="52"/>
          <w:szCs w:val="52"/>
        </w:rPr>
      </w:pPr>
    </w:p>
    <w:p w14:paraId="0469B34F" w14:textId="77777777" w:rsidR="000964B7" w:rsidRDefault="000964B7">
      <w:pPr>
        <w:jc w:val="center"/>
        <w:rPr>
          <w:rFonts w:ascii="黑体" w:eastAsia="黑体"/>
          <w:sz w:val="32"/>
          <w:szCs w:val="32"/>
        </w:rPr>
      </w:pPr>
    </w:p>
    <w:p w14:paraId="661092D2" w14:textId="77777777" w:rsidR="000964B7"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24DD7A2D" w14:textId="77777777" w:rsidR="000964B7" w:rsidRDefault="000964B7">
      <w:pPr>
        <w:spacing w:line="500" w:lineRule="exact"/>
        <w:ind w:firstLine="645"/>
        <w:jc w:val="center"/>
        <w:rPr>
          <w:rFonts w:ascii="宋体" w:hAnsi="宋体" w:cs="宋体" w:hint="eastAsia"/>
          <w:b/>
          <w:bCs/>
          <w:kern w:val="0"/>
          <w:sz w:val="36"/>
          <w:szCs w:val="36"/>
        </w:rPr>
      </w:pPr>
    </w:p>
    <w:p w14:paraId="5FA4DBCD" w14:textId="77777777" w:rsidR="000964B7"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52911DF0" w14:textId="77777777" w:rsidR="000964B7"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2436718E"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57AF279B"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758F4909"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4F1D569"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1C94C96E"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130041DA"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0BEB0737"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280733D"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24D1D616"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210EC530"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4EAF88F2" w14:textId="77777777" w:rsidR="000964B7"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3F2582D5" w14:textId="77777777" w:rsidR="000964B7"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1D18F3D5" w14:textId="77777777" w:rsidR="000964B7"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614EECAC" w14:textId="77777777" w:rsidR="000964B7"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2BDA6877" w14:textId="77777777" w:rsidR="000964B7" w:rsidRDefault="000964B7">
      <w:pPr>
        <w:tabs>
          <w:tab w:val="center" w:pos="6979"/>
        </w:tabs>
        <w:spacing w:beforeLines="50" w:before="156" w:afterLines="50" w:after="156"/>
        <w:jc w:val="center"/>
        <w:rPr>
          <w:rFonts w:ascii="宋体" w:hAnsi="宋体" w:cs="宋体" w:hint="eastAsia"/>
          <w:b/>
          <w:bCs/>
          <w:spacing w:val="40"/>
          <w:kern w:val="0"/>
          <w:sz w:val="32"/>
          <w:szCs w:val="32"/>
        </w:rPr>
      </w:pPr>
    </w:p>
    <w:p w14:paraId="74E658DF" w14:textId="77777777" w:rsidR="000964B7" w:rsidRDefault="000964B7">
      <w:pPr>
        <w:tabs>
          <w:tab w:val="center" w:pos="6979"/>
        </w:tabs>
        <w:spacing w:beforeLines="50" w:before="156" w:afterLines="50" w:after="156"/>
        <w:jc w:val="center"/>
        <w:rPr>
          <w:rFonts w:ascii="宋体" w:hAnsi="宋体" w:cs="宋体" w:hint="eastAsia"/>
          <w:b/>
          <w:bCs/>
          <w:spacing w:val="40"/>
          <w:kern w:val="0"/>
          <w:sz w:val="32"/>
          <w:szCs w:val="32"/>
        </w:rPr>
      </w:pPr>
    </w:p>
    <w:p w14:paraId="43EC5354" w14:textId="77777777" w:rsidR="000964B7" w:rsidRDefault="000964B7">
      <w:pPr>
        <w:tabs>
          <w:tab w:val="center" w:pos="6979"/>
        </w:tabs>
        <w:spacing w:beforeLines="50" w:before="156" w:afterLines="50" w:after="156"/>
        <w:jc w:val="center"/>
        <w:rPr>
          <w:rFonts w:ascii="宋体" w:hAnsi="宋体" w:cs="宋体" w:hint="eastAsia"/>
          <w:b/>
          <w:bCs/>
          <w:spacing w:val="40"/>
          <w:kern w:val="0"/>
          <w:sz w:val="32"/>
          <w:szCs w:val="32"/>
        </w:rPr>
      </w:pPr>
    </w:p>
    <w:p w14:paraId="5C45A225" w14:textId="77777777" w:rsidR="000964B7" w:rsidRDefault="000964B7">
      <w:pPr>
        <w:tabs>
          <w:tab w:val="center" w:pos="6979"/>
        </w:tabs>
        <w:spacing w:beforeLines="50" w:before="156" w:afterLines="50" w:after="156"/>
        <w:jc w:val="center"/>
        <w:rPr>
          <w:rFonts w:ascii="宋体" w:hAnsi="宋体" w:cs="宋体" w:hint="eastAsia"/>
          <w:b/>
          <w:bCs/>
          <w:spacing w:val="40"/>
          <w:kern w:val="0"/>
          <w:sz w:val="32"/>
          <w:szCs w:val="32"/>
        </w:rPr>
      </w:pPr>
    </w:p>
    <w:p w14:paraId="766A3D1B" w14:textId="77777777" w:rsidR="000964B7" w:rsidRDefault="000964B7">
      <w:pPr>
        <w:tabs>
          <w:tab w:val="center" w:pos="6979"/>
        </w:tabs>
        <w:spacing w:beforeLines="50" w:before="156" w:afterLines="50" w:after="156"/>
        <w:jc w:val="center"/>
        <w:rPr>
          <w:rFonts w:ascii="宋体" w:hAnsi="宋体" w:cs="宋体" w:hint="eastAsia"/>
          <w:b/>
          <w:bCs/>
          <w:spacing w:val="40"/>
          <w:kern w:val="0"/>
          <w:sz w:val="32"/>
          <w:szCs w:val="32"/>
        </w:rPr>
      </w:pPr>
    </w:p>
    <w:p w14:paraId="64B72294" w14:textId="77777777" w:rsidR="000964B7"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60B665A6" w14:textId="77777777" w:rsidR="000964B7" w:rsidRDefault="00000000">
      <w:pPr>
        <w:pStyle w:val="2"/>
        <w:rPr>
          <w:b w:val="0"/>
          <w:bCs w:val="0"/>
        </w:rPr>
        <w:sectPr w:rsidR="000964B7">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506681FF" w14:textId="77777777" w:rsidR="000964B7"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795F4AC" w14:textId="77777777" w:rsidR="000964B7"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1ED82694" w14:textId="0BD58A9F" w:rsidR="000964B7" w:rsidRDefault="0000000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北京市宣武外国语实验学校是北京市西城区教育委员会下属事业单位，内设四处一室，主要职责是实施初中义务教育和高中学历教育，促进基础教育发展。</w:t>
      </w:r>
    </w:p>
    <w:p w14:paraId="654CC92A" w14:textId="77777777" w:rsidR="000964B7"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DCE4273" w14:textId="77777777" w:rsidR="000964B7"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7032.13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290.40万元，增长4.31%。</w:t>
      </w:r>
    </w:p>
    <w:p w14:paraId="7CD808B8" w14:textId="77777777" w:rsidR="000964B7"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6D37DF9" w14:textId="77777777" w:rsidR="000964B7"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7029.48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292.28万元，增长4.34%。</w:t>
      </w:r>
    </w:p>
    <w:p w14:paraId="7A946822"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7001.76</w:t>
      </w:r>
      <w:r>
        <w:rPr>
          <w:rFonts w:ascii="仿宋_GB2312" w:eastAsia="仿宋_GB2312" w:hint="eastAsia"/>
          <w:sz w:val="28"/>
          <w:szCs w:val="28"/>
        </w:rPr>
        <w:t>万元，占收入合计的99.61%。其中：一般公共预算财政拨款收入</w:t>
      </w:r>
      <w:r>
        <w:rPr>
          <w:rFonts w:ascii="仿宋_GB2312" w:eastAsia="仿宋_GB2312"/>
          <w:sz w:val="28"/>
          <w:szCs w:val="28"/>
        </w:rPr>
        <w:t>7001.76</w:t>
      </w:r>
      <w:r>
        <w:rPr>
          <w:rFonts w:ascii="仿宋_GB2312" w:eastAsia="仿宋_GB2312" w:hint="eastAsia"/>
          <w:sz w:val="28"/>
          <w:szCs w:val="28"/>
        </w:rPr>
        <w:t>万元，占收入合计的99.61%；政府性基金预算财政拨款收入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A6BE6C6"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08810EAD"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27.72</w:t>
      </w:r>
      <w:r>
        <w:rPr>
          <w:rFonts w:ascii="仿宋_GB2312" w:eastAsia="仿宋_GB2312" w:hint="eastAsia"/>
          <w:sz w:val="28"/>
          <w:szCs w:val="28"/>
        </w:rPr>
        <w:t>万元，占收入合计的0.39%；</w:t>
      </w:r>
    </w:p>
    <w:p w14:paraId="5A1CC708"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1D0C62FD"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7F3E38A8"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11108071" w14:textId="77777777" w:rsidR="000964B7" w:rsidRDefault="00000000">
      <w:pPr>
        <w:pStyle w:val="2"/>
        <w:jc w:val="center"/>
      </w:pPr>
      <w:r>
        <w:rPr>
          <w:rFonts w:ascii="仿宋_GB2312" w:eastAsia="仿宋_GB2312" w:hint="eastAsia"/>
          <w:color w:val="000000"/>
          <w:sz w:val="32"/>
        </w:rPr>
        <w:lastRenderedPageBreak/>
        <w:t>图1：收入决算</w:t>
      </w:r>
    </w:p>
    <w:p w14:paraId="411C28D2" w14:textId="77777777" w:rsidR="000964B7" w:rsidRDefault="00000000">
      <w:pPr>
        <w:pStyle w:val="a3"/>
        <w:ind w:firstLine="420"/>
        <w:jc w:val="center"/>
      </w:pPr>
      <w:r>
        <w:rPr>
          <w:noProof/>
        </w:rPr>
        <w:drawing>
          <wp:inline distT="0" distB="0" distL="0" distR="0" wp14:anchorId="26D63CF4" wp14:editId="03ED1285">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056DBD9" w14:textId="77777777" w:rsidR="000964B7"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4F3D12AF" w14:textId="77777777" w:rsidR="000964B7"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7029.48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292.28万元，增长4.34%，其中：基本支出</w:t>
      </w:r>
      <w:r>
        <w:rPr>
          <w:rFonts w:ascii="仿宋_GB2312" w:eastAsia="仿宋_GB2312"/>
          <w:sz w:val="28"/>
          <w:szCs w:val="28"/>
        </w:rPr>
        <w:t>6516.98</w:t>
      </w:r>
      <w:r>
        <w:rPr>
          <w:rFonts w:ascii="仿宋_GB2312" w:eastAsia="仿宋_GB2312" w:hint="eastAsia"/>
          <w:sz w:val="28"/>
          <w:szCs w:val="28"/>
        </w:rPr>
        <w:t>万元，占支出合计的92.71%；项目支出</w:t>
      </w:r>
      <w:r>
        <w:rPr>
          <w:rFonts w:ascii="仿宋_GB2312" w:eastAsia="仿宋_GB2312"/>
          <w:sz w:val="28"/>
          <w:szCs w:val="28"/>
        </w:rPr>
        <w:t>512.5</w:t>
      </w:r>
      <w:r>
        <w:rPr>
          <w:rFonts w:ascii="仿宋_GB2312" w:eastAsia="仿宋_GB2312" w:hint="eastAsia"/>
          <w:sz w:val="28"/>
          <w:szCs w:val="28"/>
        </w:rPr>
        <w:t>万元，占支出合计的7.29%;上缴上级支出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7502B157" w14:textId="77777777" w:rsidR="000964B7"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035A5AC8" w14:textId="77777777" w:rsidR="000964B7" w:rsidRDefault="00000000">
      <w:pPr>
        <w:jc w:val="center"/>
        <w:rPr>
          <w:rFonts w:ascii="黑体" w:eastAsia="黑体"/>
          <w:b/>
          <w:sz w:val="28"/>
          <w:szCs w:val="28"/>
        </w:rPr>
      </w:pPr>
      <w:r>
        <w:rPr>
          <w:noProof/>
        </w:rPr>
        <w:drawing>
          <wp:inline distT="0" distB="0" distL="114300" distR="114300" wp14:anchorId="38EC1C6F" wp14:editId="550B96EE">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C596E04" w14:textId="77777777" w:rsidR="000964B7"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4DDE749B" w14:textId="77777777" w:rsidR="000964B7"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7001.76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289.41万元，增长4.31%。主要原因：2024年在职人员经费有所</w:t>
      </w:r>
      <w:proofErr w:type="gramStart"/>
      <w:r>
        <w:rPr>
          <w:rFonts w:ascii="仿宋_GB2312" w:eastAsia="仿宋_GB2312" w:hint="eastAsia"/>
          <w:sz w:val="28"/>
          <w:szCs w:val="28"/>
        </w:rPr>
        <w:t>增长,</w:t>
      </w:r>
      <w:proofErr w:type="gramEnd"/>
      <w:r>
        <w:rPr>
          <w:rFonts w:ascii="仿宋_GB2312" w:eastAsia="仿宋_GB2312" w:hint="eastAsia"/>
          <w:sz w:val="28"/>
          <w:szCs w:val="28"/>
        </w:rPr>
        <w:t>发放退休人员一次性退休补贴，以及由于学生人数增加，公用经费及新购教育教学设备等扩班项目相应增加。</w:t>
      </w:r>
    </w:p>
    <w:p w14:paraId="6A2C4063" w14:textId="77777777" w:rsidR="000964B7"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EAF0D40" w14:textId="77777777" w:rsidR="000964B7"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5C9C30AE"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7001.76</w:t>
      </w:r>
      <w:r>
        <w:rPr>
          <w:rFonts w:ascii="仿宋_GB2312" w:eastAsia="仿宋_GB2312" w:hint="eastAsia"/>
          <w:sz w:val="28"/>
          <w:szCs w:val="28"/>
        </w:rPr>
        <w:t>万元，主要用于以下方面（按大类）：教育支出4517.43万元，占本</w:t>
      </w:r>
      <w:r>
        <w:rPr>
          <w:rFonts w:ascii="仿宋_GB2312" w:eastAsia="仿宋_GB2312" w:hint="eastAsia"/>
          <w:sz w:val="28"/>
          <w:szCs w:val="28"/>
        </w:rPr>
        <w:lastRenderedPageBreak/>
        <w:t>年财政拨款支出64.52%；社会保障和就业支出</w:t>
      </w:r>
      <w:proofErr w:type="gramStart"/>
      <w:r>
        <w:rPr>
          <w:rFonts w:ascii="仿宋_GB2312" w:eastAsia="仿宋_GB2312" w:hint="eastAsia"/>
          <w:sz w:val="28"/>
          <w:szCs w:val="28"/>
        </w:rPr>
        <w:t>1209.74万元,</w:t>
      </w:r>
      <w:proofErr w:type="gramEnd"/>
      <w:r>
        <w:rPr>
          <w:rFonts w:ascii="仿宋_GB2312" w:eastAsia="仿宋_GB2312" w:hint="eastAsia"/>
          <w:sz w:val="28"/>
          <w:szCs w:val="28"/>
        </w:rPr>
        <w:t xml:space="preserve"> 占本年财政拨款支出17.28%；卫生健康支出</w:t>
      </w:r>
      <w:proofErr w:type="gramStart"/>
      <w:r>
        <w:rPr>
          <w:rFonts w:ascii="仿宋_GB2312" w:eastAsia="仿宋_GB2312" w:hint="eastAsia"/>
          <w:sz w:val="28"/>
          <w:szCs w:val="28"/>
        </w:rPr>
        <w:t>422.64万元,</w:t>
      </w:r>
      <w:proofErr w:type="gramEnd"/>
      <w:r>
        <w:rPr>
          <w:rFonts w:ascii="仿宋_GB2312" w:eastAsia="仿宋_GB2312" w:hint="eastAsia"/>
          <w:sz w:val="28"/>
          <w:szCs w:val="28"/>
        </w:rPr>
        <w:t xml:space="preserve"> 占本年财政拨款支出6.04%；住房保障支出</w:t>
      </w:r>
      <w:proofErr w:type="gramStart"/>
      <w:r>
        <w:rPr>
          <w:rFonts w:ascii="仿宋_GB2312" w:eastAsia="仿宋_GB2312" w:hint="eastAsia"/>
          <w:sz w:val="28"/>
          <w:szCs w:val="28"/>
        </w:rPr>
        <w:t>851.94万元,</w:t>
      </w:r>
      <w:proofErr w:type="gramEnd"/>
      <w:r>
        <w:rPr>
          <w:rFonts w:ascii="仿宋_GB2312" w:eastAsia="仿宋_GB2312" w:hint="eastAsia"/>
          <w:sz w:val="28"/>
          <w:szCs w:val="28"/>
        </w:rPr>
        <w:t xml:space="preserve"> 占本年财政拨款支出12.17%。</w:t>
      </w:r>
    </w:p>
    <w:p w14:paraId="6F047AA5" w14:textId="77777777" w:rsidR="000964B7"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19E1FA50" w14:textId="77777777" w:rsidR="000964B7"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1、“教育支出”（类）2024年度年初预算4328.22万元，2024年度决算4517.43万元，完成年初预算的104.37%。</w:t>
      </w:r>
    </w:p>
    <w:p w14:paraId="0D4C97F9" w14:textId="77777777" w:rsidR="000964B7"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4E6ED4D1"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“普通教育”（款，下同）2024年度年初预算4312.02万元，2024年度决算4502.78万元，完成年初预算的104.42%。主要原因：在职人员经费有所</w:t>
      </w:r>
      <w:proofErr w:type="gramStart"/>
      <w:r>
        <w:rPr>
          <w:rFonts w:ascii="仿宋_GB2312" w:eastAsia="仿宋_GB2312" w:hint="eastAsia"/>
          <w:sz w:val="28"/>
          <w:szCs w:val="28"/>
        </w:rPr>
        <w:t>增长,</w:t>
      </w:r>
      <w:proofErr w:type="gramEnd"/>
      <w:r>
        <w:rPr>
          <w:rFonts w:ascii="仿宋_GB2312" w:eastAsia="仿宋_GB2312" w:hint="eastAsia"/>
          <w:sz w:val="28"/>
          <w:szCs w:val="28"/>
        </w:rPr>
        <w:t xml:space="preserve"> 以及由于学生人数增加，新购教育教学设备等扩班项目相应增加。“特殊教育”2024年度年初预算4.76万元，2024年度决算4.76万元，完成年初预算的100%。主要原因：严格按照年初预算安排执行。“进修及培训”2024年度年初预算11.44万元，2024年度决算9.89万元，完成年初预算的86.48%。主要原因：严格执行过紧日子要求，大力压缩培训等非刚性支出。</w:t>
      </w:r>
    </w:p>
    <w:p w14:paraId="0CE739F5"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社会保障和就业支出</w:t>
      </w:r>
      <w:r>
        <w:rPr>
          <w:rFonts w:ascii="仿宋_GB2312" w:eastAsia="仿宋_GB2312" w:hint="eastAsia"/>
          <w:sz w:val="28"/>
          <w:szCs w:val="28"/>
        </w:rPr>
        <w:t>”</w:t>
      </w:r>
      <w:proofErr w:type="gramStart"/>
      <w:r>
        <w:rPr>
          <w:rFonts w:ascii="仿宋_GB2312" w:eastAsia="仿宋_GB2312" w:hint="eastAsia"/>
          <w:sz w:val="28"/>
          <w:szCs w:val="28"/>
        </w:rPr>
        <w:t>(类)</w:t>
      </w:r>
      <w:proofErr w:type="gramEnd"/>
      <w:r>
        <w:rPr>
          <w:rFonts w:ascii="仿宋_GB2312" w:eastAsia="仿宋_GB2312" w:hint="eastAsia"/>
          <w:sz w:val="28"/>
          <w:szCs w:val="28"/>
        </w:rPr>
        <w:t>2024年度年初预算934.14万元，2024年度决算1209.74万元，完成年初预算的129.50%。其中：</w:t>
      </w:r>
    </w:p>
    <w:p w14:paraId="1DA7324A"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934.14万元，2024年度决算1189.50万元，完成年初预算的127.34%。主要原因：本年发放退休人员一次性退休补贴，以及在职人员工资有所增长，相应单位负担养老保险及职业年金缴费支出增长。“抚恤”（款）2024年度年初预算0万元，2024年度决算20.24万元，完成年初预算的100%。主要原因：本年有一名退休人员去世。</w:t>
      </w:r>
    </w:p>
    <w:p w14:paraId="324102E5"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sz w:val="28"/>
          <w:szCs w:val="28"/>
        </w:rPr>
        <w:t>卫生健康支出</w:t>
      </w:r>
      <w:r>
        <w:rPr>
          <w:rFonts w:ascii="仿宋_GB2312" w:eastAsia="仿宋_GB2312" w:hint="eastAsia"/>
          <w:sz w:val="28"/>
          <w:szCs w:val="28"/>
        </w:rPr>
        <w:t>2024年度决算422.64万元，比2024年度年初预算增加12万元，增长2.92%。其中：</w:t>
      </w:r>
    </w:p>
    <w:p w14:paraId="0318E602"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事业单位医疗2024年度决算</w:t>
      </w:r>
      <w:r>
        <w:rPr>
          <w:rFonts w:ascii="仿宋_GB2312" w:eastAsia="仿宋_GB2312"/>
          <w:sz w:val="28"/>
          <w:szCs w:val="28"/>
        </w:rPr>
        <w:t>413.64</w:t>
      </w:r>
      <w:r>
        <w:rPr>
          <w:rFonts w:ascii="仿宋_GB2312" w:eastAsia="仿宋_GB2312" w:hint="eastAsia"/>
          <w:sz w:val="28"/>
          <w:szCs w:val="28"/>
        </w:rPr>
        <w:t>万元，比2024年度年初预算增加12万元，增长2.99%。主要原因：在职人员工资有所增长，相应事业单位医疗保险缴费支出增长。其他行政事业单位医疗支出2024年度决算9万元，比2024年度年初预算增加0万元，增长0%。</w:t>
      </w:r>
    </w:p>
    <w:p w14:paraId="6D3C93E5"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住房保障支出</w:t>
      </w:r>
      <w:r>
        <w:rPr>
          <w:rFonts w:ascii="仿宋_GB2312" w:eastAsia="仿宋_GB2312" w:hint="eastAsia"/>
          <w:sz w:val="28"/>
          <w:szCs w:val="28"/>
        </w:rPr>
        <w:t>2024年度决算</w:t>
      </w:r>
      <w:r>
        <w:rPr>
          <w:rFonts w:ascii="仿宋_GB2312" w:eastAsia="仿宋_GB2312"/>
          <w:sz w:val="28"/>
          <w:szCs w:val="28"/>
        </w:rPr>
        <w:t>851</w:t>
      </w:r>
      <w:r>
        <w:rPr>
          <w:rFonts w:ascii="仿宋_GB2312" w:eastAsia="仿宋_GB2312" w:hint="eastAsia"/>
          <w:sz w:val="28"/>
          <w:szCs w:val="28"/>
        </w:rPr>
        <w:t>.</w:t>
      </w:r>
      <w:r>
        <w:rPr>
          <w:rFonts w:ascii="仿宋_GB2312" w:eastAsia="仿宋_GB2312"/>
          <w:sz w:val="28"/>
          <w:szCs w:val="28"/>
        </w:rPr>
        <w:t>9</w:t>
      </w:r>
      <w:r>
        <w:rPr>
          <w:rFonts w:ascii="仿宋_GB2312" w:eastAsia="仿宋_GB2312" w:hint="eastAsia"/>
          <w:sz w:val="28"/>
          <w:szCs w:val="28"/>
        </w:rPr>
        <w:t>4万元，比2024年度年初预算增加17.64万元，增长2.11%。其中：</w:t>
      </w:r>
    </w:p>
    <w:p w14:paraId="4802A8BC" w14:textId="77777777" w:rsidR="000964B7"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住房公积金2024年度决算</w:t>
      </w:r>
      <w:r>
        <w:rPr>
          <w:rFonts w:ascii="仿宋_GB2312" w:eastAsia="仿宋_GB2312"/>
          <w:sz w:val="28"/>
          <w:szCs w:val="28"/>
        </w:rPr>
        <w:t>404.74</w:t>
      </w:r>
      <w:r>
        <w:rPr>
          <w:rFonts w:ascii="仿宋_GB2312" w:eastAsia="仿宋_GB2312" w:hint="eastAsia"/>
          <w:sz w:val="28"/>
          <w:szCs w:val="28"/>
        </w:rPr>
        <w:t>万元，比2024年度年初预算增加3.10万元，增长0.77%。主要原因：在职人员工资有所增长，相应事业单位医疗保险缴费支出增长。提租补贴2024年度决算</w:t>
      </w:r>
      <w:r>
        <w:rPr>
          <w:rFonts w:ascii="仿宋_GB2312" w:eastAsia="仿宋_GB2312"/>
          <w:sz w:val="28"/>
          <w:szCs w:val="28"/>
        </w:rPr>
        <w:t>27.59</w:t>
      </w:r>
      <w:r>
        <w:rPr>
          <w:rFonts w:ascii="仿宋_GB2312" w:eastAsia="仿宋_GB2312" w:hint="eastAsia"/>
          <w:sz w:val="28"/>
          <w:szCs w:val="28"/>
        </w:rPr>
        <w:t>万元，比2024年度年初预算减少0.73万元，下降2.58%。主要原因：本年新入职人员较多。购房补贴2024年度决算</w:t>
      </w:r>
      <w:r>
        <w:rPr>
          <w:rFonts w:ascii="仿宋_GB2312" w:eastAsia="仿宋_GB2312"/>
          <w:sz w:val="28"/>
          <w:szCs w:val="28"/>
        </w:rPr>
        <w:t>419.61</w:t>
      </w:r>
      <w:r>
        <w:rPr>
          <w:rFonts w:ascii="仿宋_GB2312" w:eastAsia="仿宋_GB2312" w:hint="eastAsia"/>
          <w:sz w:val="28"/>
          <w:szCs w:val="28"/>
        </w:rPr>
        <w:t>万元，比2024年度年初预算增加15.27万元，增长3.78%。主要原因：人员经费调整增加，相应购房补贴增长。</w:t>
      </w:r>
    </w:p>
    <w:p w14:paraId="29101E79" w14:textId="77777777" w:rsidR="000964B7"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6A6DCA31" w14:textId="77777777" w:rsidR="000964B7"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10F2A986"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485E267D" w14:textId="77777777" w:rsidR="000964B7"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5EF754B6"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5179B903" w14:textId="77777777" w:rsidR="000964B7"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5BB7B56" w14:textId="77777777" w:rsidR="000964B7"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44776483" w14:textId="77777777" w:rsidR="000964B7" w:rsidRDefault="00000000">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14:paraId="3357E05D" w14:textId="77777777" w:rsidR="000964B7"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6516.98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4D472368" w14:textId="77777777" w:rsidR="000964B7"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D261B88" w14:textId="77777777" w:rsidR="000964B7"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79FB0692" w14:textId="77777777" w:rsidR="000964B7"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E380AE6" w14:textId="77777777" w:rsidR="000964B7"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0.7</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w:t>
      </w:r>
      <w:r>
        <w:rPr>
          <w:rFonts w:ascii="仿宋_GB2312" w:eastAsia="仿宋_GB2312" w:hint="eastAsia"/>
          <w:sz w:val="28"/>
          <w:szCs w:val="28"/>
        </w:rPr>
        <w:t>万元。其中：</w:t>
      </w:r>
    </w:p>
    <w:p w14:paraId="3706D6C6" w14:textId="77777777" w:rsidR="000964B7"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1.因公出国（境）费用。本单位无此项预算。</w:t>
      </w:r>
    </w:p>
    <w:p w14:paraId="1C6A2CC5" w14:textId="77777777" w:rsidR="000964B7"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2.公务接待费。本单位无此项预算。</w:t>
      </w:r>
    </w:p>
    <w:p w14:paraId="304435F1" w14:textId="77777777" w:rsidR="000964B7"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0.7</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w:t>
      </w:r>
      <w:r>
        <w:rPr>
          <w:rFonts w:ascii="仿宋_GB2312" w:eastAsia="仿宋_GB2312" w:hint="eastAsia"/>
          <w:sz w:val="28"/>
          <w:szCs w:val="28"/>
        </w:rPr>
        <w:t>万元。其中，</w:t>
      </w:r>
      <w:r>
        <w:rPr>
          <w:rFonts w:ascii="仿宋_GB2312" w:eastAsia="仿宋_GB2312" w:hint="eastAsia"/>
          <w:sz w:val="28"/>
          <w:szCs w:val="28"/>
        </w:rPr>
        <w:lastRenderedPageBreak/>
        <w:t>公务用车购置费2024年度决算数0万元，主要原因：本年度未购置公车，2024年度购置（更新）0辆。公务用车运行维护费2024年度决算数0.7万元，主要原因：严格执行过紧日子要求，大力压缩“三公”经费等非刚性支出。2024年度公务用车保有量</w:t>
      </w:r>
      <w:r>
        <w:rPr>
          <w:rFonts w:ascii="仿宋_GB2312" w:eastAsia="仿宋_GB2312"/>
          <w:sz w:val="28"/>
          <w:szCs w:val="28"/>
        </w:rPr>
        <w:t>1</w:t>
      </w:r>
      <w:r>
        <w:rPr>
          <w:rFonts w:ascii="仿宋_GB2312" w:eastAsia="仿宋_GB2312" w:hint="eastAsia"/>
          <w:sz w:val="28"/>
          <w:szCs w:val="28"/>
        </w:rPr>
        <w:t>辆。</w:t>
      </w:r>
    </w:p>
    <w:p w14:paraId="43D6371E" w14:textId="77777777" w:rsidR="000964B7"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C0D4834" w14:textId="77777777" w:rsidR="000964B7"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74979F3F" w14:textId="77777777" w:rsidR="000964B7" w:rsidRDefault="00000000">
      <w:pPr>
        <w:ind w:left="540"/>
        <w:rPr>
          <w:rFonts w:ascii="黑体" w:eastAsia="黑体"/>
          <w:sz w:val="28"/>
          <w:szCs w:val="28"/>
        </w:rPr>
      </w:pPr>
      <w:r>
        <w:rPr>
          <w:rFonts w:ascii="黑体" w:eastAsia="黑体" w:hint="eastAsia"/>
          <w:sz w:val="28"/>
          <w:szCs w:val="28"/>
        </w:rPr>
        <w:t>三、政府采购支出情况</w:t>
      </w:r>
    </w:p>
    <w:p w14:paraId="77C5221A" w14:textId="77777777" w:rsidR="000964B7"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61.35</w:t>
      </w:r>
      <w:r>
        <w:rPr>
          <w:rFonts w:ascii="仿宋_GB2312" w:eastAsia="仿宋_GB2312" w:hint="eastAsia"/>
          <w:sz w:val="28"/>
          <w:szCs w:val="28"/>
        </w:rPr>
        <w:t>万元，其中：政府采购货物支出</w:t>
      </w:r>
      <w:r>
        <w:rPr>
          <w:rFonts w:ascii="仿宋_GB2312" w:eastAsia="仿宋_GB2312"/>
          <w:sz w:val="28"/>
          <w:szCs w:val="28"/>
        </w:rPr>
        <w:t>15.68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45.67</w:t>
      </w:r>
      <w:r>
        <w:rPr>
          <w:rFonts w:ascii="仿宋_GB2312" w:eastAsia="仿宋_GB2312" w:hint="eastAsia"/>
          <w:sz w:val="28"/>
          <w:szCs w:val="28"/>
        </w:rPr>
        <w:t>万元。授予中小企业合同金额</w:t>
      </w:r>
      <w:r>
        <w:rPr>
          <w:rFonts w:ascii="仿宋_GB2312" w:eastAsia="仿宋_GB2312"/>
          <w:sz w:val="28"/>
          <w:szCs w:val="28"/>
        </w:rPr>
        <w:t>61.04</w:t>
      </w:r>
      <w:r>
        <w:rPr>
          <w:rFonts w:ascii="仿宋_GB2312" w:eastAsia="仿宋_GB2312" w:hint="eastAsia"/>
          <w:sz w:val="28"/>
          <w:szCs w:val="28"/>
        </w:rPr>
        <w:t>万元，占政府采购支出总额的99.5%，其中：授予小微企业合同金额</w:t>
      </w:r>
      <w:r>
        <w:rPr>
          <w:rFonts w:ascii="仿宋_GB2312" w:eastAsia="仿宋_GB2312"/>
          <w:sz w:val="28"/>
          <w:szCs w:val="28"/>
        </w:rPr>
        <w:t>17.16</w:t>
      </w:r>
      <w:r>
        <w:rPr>
          <w:rFonts w:ascii="仿宋_GB2312" w:eastAsia="仿宋_GB2312" w:hint="eastAsia"/>
          <w:sz w:val="28"/>
          <w:szCs w:val="28"/>
        </w:rPr>
        <w:t>万元，占政府采购支出总额的</w:t>
      </w:r>
      <w:r>
        <w:rPr>
          <w:rFonts w:ascii="仿宋_GB2312" w:eastAsia="仿宋_GB2312"/>
          <w:sz w:val="28"/>
          <w:szCs w:val="28"/>
        </w:rPr>
        <w:t>27.98</w:t>
      </w:r>
      <w:r>
        <w:rPr>
          <w:rFonts w:ascii="仿宋_GB2312" w:eastAsia="仿宋_GB2312" w:hint="eastAsia"/>
          <w:sz w:val="28"/>
          <w:szCs w:val="28"/>
        </w:rPr>
        <w:t>%。</w:t>
      </w:r>
    </w:p>
    <w:p w14:paraId="60BA4724" w14:textId="77777777" w:rsidR="000964B7"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6548081E" w14:textId="77777777" w:rsidR="000964B7"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截至12月31日，北京市宣武外国语实验学校共有车辆1台；单位价值100万元（含）以上的设备0台（套）。</w:t>
      </w:r>
    </w:p>
    <w:p w14:paraId="176C5126" w14:textId="77777777" w:rsidR="000964B7"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171E803" w14:textId="77777777" w:rsidR="000964B7"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79DE8052" w14:textId="77777777" w:rsidR="000964B7"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67EDC3B2" w14:textId="77777777" w:rsidR="000964B7"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277971E3" w14:textId="77777777" w:rsidR="000964B7" w:rsidRDefault="00000000">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14:paraId="7912CC5B" w14:textId="77777777" w:rsidR="000964B7"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136B66B" w14:textId="77777777" w:rsidR="000964B7"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B010E5A"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42904040"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2FDC1E0"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sz w:val="28"/>
          <w:szCs w:val="28"/>
        </w:rPr>
        <w:t>.</w:t>
      </w:r>
      <w:r>
        <w:rPr>
          <w:rFonts w:ascii="仿宋_GB2312" w:eastAsia="仿宋_GB2312" w:hint="eastAsia"/>
          <w:sz w:val="28"/>
          <w:szCs w:val="28"/>
        </w:rPr>
        <w:t>教育支出（类）普通教育（款）初中教育（项）：反映本部门举办的初中教育支出。</w:t>
      </w:r>
    </w:p>
    <w:p w14:paraId="4C03740F"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8.教育支出（类）普通教育（款）高中教育（项）：反映本部门举办的高中教育支出。</w:t>
      </w:r>
    </w:p>
    <w:p w14:paraId="3B883A71"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9.教育支出（类）特殊教育（款）特殊学校教育（项）：反映本部门举办盲童学校、聋哑学校、智力落后儿童学校、</w:t>
      </w:r>
      <w:r>
        <w:rPr>
          <w:rFonts w:ascii="仿宋_GB2312" w:eastAsia="仿宋_GB2312" w:hint="eastAsia"/>
          <w:sz w:val="28"/>
          <w:szCs w:val="28"/>
        </w:rPr>
        <w:lastRenderedPageBreak/>
        <w:t>其他生理缺陷儿童学校的支出。</w:t>
      </w:r>
    </w:p>
    <w:p w14:paraId="7436D677"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10.教育支出（类）进修及培训（款）培训支出（项）：反映本部门安排的用于培训的支出。</w:t>
      </w:r>
    </w:p>
    <w:p w14:paraId="76CE9621"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11.社会保障和就业支出（类）行政事业单位养老支出（款）事业单位离退休（项）：反映事业单位开支的离退休经费。</w:t>
      </w:r>
    </w:p>
    <w:p w14:paraId="6E62566A"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12.社会保障和就业支出（类）行政事业单位养老支出（款）机关事业单位基本养老保险缴费支出（项）：反映机关事业单位实施养老保险制度由单位缴纳的基本养老保险费支出。</w:t>
      </w:r>
    </w:p>
    <w:p w14:paraId="4D9A0609"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13.社会保障和就业支出（类）行政事业单位养老支出（款）机关事业单位职业年金缴费支出（项）：反映机关事业单位实施养老保险制度由单位实际缴纳的职业年金支出。</w:t>
      </w:r>
    </w:p>
    <w:p w14:paraId="28E665E8"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14.社会保障和就业支出（类）抚恤（款）死亡抚恤（项）：反映按规定用于烈士和牺牲、病故人员家属的一次性和定期抚恤金、丧葬补助费以及烈士褒扬金。</w:t>
      </w:r>
    </w:p>
    <w:p w14:paraId="29E03892"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15.卫生健康支出（类）行政事业单位医疗（款）事业单位医疗（项）：反映财政部门安排的事业单位基本医疗保险缴费经费，未参加医疗保险的事业单位的公费医疗经费，按国家规定享受离休人员待遇的医疗经费。</w:t>
      </w:r>
    </w:p>
    <w:p w14:paraId="19E6F0DD"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16.卫生健康支出（类）行政事业单位医疗（款）其他行政事业单位医疗支出（项）：反映除上述项目以外的其他用于行政事业单位医疗方面的支出。</w:t>
      </w:r>
    </w:p>
    <w:p w14:paraId="4BB30E20"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17.住房保障支出（类）住房改革支出（款）住房公积金（项）：反映行政事业单位按人力资源和社会保障部、财政</w:t>
      </w:r>
      <w:r>
        <w:rPr>
          <w:rFonts w:ascii="仿宋_GB2312" w:eastAsia="仿宋_GB2312" w:hint="eastAsia"/>
          <w:sz w:val="28"/>
          <w:szCs w:val="28"/>
        </w:rPr>
        <w:lastRenderedPageBreak/>
        <w:t>部规定的基本工资和津贴补贴以及规定比例为职工缴纳的住房公积金。</w:t>
      </w:r>
    </w:p>
    <w:p w14:paraId="2F31B22D"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18.住房保障支出（类）住房改革支出（款）提租补贴（项）：反映按房改政策规定的标准，行政事业单位向职工（含离退休人员）发放的租金补助。</w:t>
      </w:r>
    </w:p>
    <w:p w14:paraId="208D25F1" w14:textId="77777777" w:rsidR="000964B7" w:rsidRDefault="00000000">
      <w:pPr>
        <w:ind w:firstLineChars="150" w:firstLine="420"/>
        <w:rPr>
          <w:rFonts w:ascii="仿宋_GB2312" w:eastAsia="仿宋_GB2312"/>
          <w:sz w:val="28"/>
          <w:szCs w:val="28"/>
        </w:rPr>
      </w:pPr>
      <w:r>
        <w:rPr>
          <w:rFonts w:ascii="仿宋_GB2312" w:eastAsia="仿宋_GB2312" w:hint="eastAsia"/>
          <w:sz w:val="28"/>
          <w:szCs w:val="28"/>
        </w:rPr>
        <w:t>19.住房保障支出（类）住房改革支出（款）购房补贴（项）：反映按房改政策规定的标准，行政事业单位向符合条件职工（含离退休人员）发放的用于购买住房的补贴。</w:t>
      </w:r>
    </w:p>
    <w:p w14:paraId="61F54DDD" w14:textId="77777777" w:rsidR="000964B7" w:rsidRDefault="000964B7">
      <w:pPr>
        <w:rPr>
          <w:rFonts w:ascii="黑体" w:eastAsia="黑体"/>
          <w:sz w:val="32"/>
          <w:szCs w:val="32"/>
        </w:rPr>
      </w:pPr>
    </w:p>
    <w:p w14:paraId="1AB903C9" w14:textId="77777777" w:rsidR="000964B7"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46D2EA18" w14:textId="77777777" w:rsidR="000964B7" w:rsidRDefault="000964B7">
      <w:pPr>
        <w:ind w:firstLineChars="200" w:firstLine="560"/>
        <w:rPr>
          <w:rFonts w:ascii="黑体" w:eastAsia="黑体"/>
          <w:sz w:val="28"/>
          <w:szCs w:val="28"/>
          <w:highlight w:val="yellow"/>
        </w:rPr>
      </w:pPr>
    </w:p>
    <w:p w14:paraId="246B7DC7" w14:textId="77777777" w:rsidR="000964B7"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AC4F3B7" w14:textId="77777777" w:rsidR="000964B7"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00C684B5" w14:textId="77777777" w:rsidR="000964B7"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5ADDC355" w14:textId="77777777" w:rsidR="000964B7"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089B7AD6" w14:textId="77777777" w:rsidR="000964B7"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4FC41259" w14:textId="77777777" w:rsidR="000964B7" w:rsidRDefault="000964B7">
      <w:pPr>
        <w:spacing w:line="480" w:lineRule="exact"/>
        <w:rPr>
          <w:rFonts w:ascii="仿宋_GB2312" w:eastAsia="仿宋_GB2312" w:hAnsi="仿宋_GB2312" w:cs="仿宋_GB2312" w:hint="eastAsia"/>
          <w:sz w:val="32"/>
          <w:szCs w:val="32"/>
        </w:rPr>
      </w:pPr>
    </w:p>
    <w:p w14:paraId="3000B96C" w14:textId="77777777" w:rsidR="000964B7" w:rsidRDefault="000964B7">
      <w:pPr>
        <w:spacing w:line="480" w:lineRule="exact"/>
      </w:pPr>
    </w:p>
    <w:sectPr w:rsidR="000964B7">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52474" w14:textId="77777777" w:rsidR="00102623" w:rsidRDefault="00102623">
      <w:r>
        <w:separator/>
      </w:r>
    </w:p>
  </w:endnote>
  <w:endnote w:type="continuationSeparator" w:id="0">
    <w:p w14:paraId="1B0D2802" w14:textId="77777777" w:rsidR="00102623" w:rsidRDefault="00102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2A0A" w14:textId="77777777" w:rsidR="000964B7"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53388598" w14:textId="77777777" w:rsidR="000964B7" w:rsidRDefault="000964B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2BCF" w14:textId="77777777" w:rsidR="000964B7"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3D6E51C2" w14:textId="77777777" w:rsidR="000964B7" w:rsidRDefault="000964B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A6F58" w14:textId="77777777" w:rsidR="000964B7"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8DE59F7" w14:textId="77777777" w:rsidR="000964B7" w:rsidRDefault="000964B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6447F" w14:textId="77777777" w:rsidR="00102623" w:rsidRDefault="00102623">
      <w:r>
        <w:separator/>
      </w:r>
    </w:p>
  </w:footnote>
  <w:footnote w:type="continuationSeparator" w:id="0">
    <w:p w14:paraId="4F1AB84B" w14:textId="77777777" w:rsidR="00102623" w:rsidRDefault="00102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30717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4B7"/>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2623"/>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6590"/>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A45240"/>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CE332C0"/>
    <w:rsid w:val="1DEF20B0"/>
    <w:rsid w:val="214243FA"/>
    <w:rsid w:val="21AD613C"/>
    <w:rsid w:val="22467189"/>
    <w:rsid w:val="257A14F5"/>
    <w:rsid w:val="27196C26"/>
    <w:rsid w:val="295D4822"/>
    <w:rsid w:val="29EF086F"/>
    <w:rsid w:val="2EFFE297"/>
    <w:rsid w:val="2F90142D"/>
    <w:rsid w:val="301437CA"/>
    <w:rsid w:val="349D1F0A"/>
    <w:rsid w:val="34DD0473"/>
    <w:rsid w:val="36BF3106"/>
    <w:rsid w:val="3C684897"/>
    <w:rsid w:val="3F331AD4"/>
    <w:rsid w:val="3FB32F76"/>
    <w:rsid w:val="413456FC"/>
    <w:rsid w:val="433E495C"/>
    <w:rsid w:val="44AD38E8"/>
    <w:rsid w:val="489F2FD7"/>
    <w:rsid w:val="4AC27CB3"/>
    <w:rsid w:val="4BF72BEF"/>
    <w:rsid w:val="4FA90297"/>
    <w:rsid w:val="4FC41A43"/>
    <w:rsid w:val="509E0A05"/>
    <w:rsid w:val="51DB3C59"/>
    <w:rsid w:val="550C0952"/>
    <w:rsid w:val="55762E42"/>
    <w:rsid w:val="57A7B272"/>
    <w:rsid w:val="58470068"/>
    <w:rsid w:val="58747CAC"/>
    <w:rsid w:val="5A1720F9"/>
    <w:rsid w:val="5B9C37C2"/>
    <w:rsid w:val="5BA7C654"/>
    <w:rsid w:val="5BD76F3A"/>
    <w:rsid w:val="5CC02A2E"/>
    <w:rsid w:val="60A54109"/>
    <w:rsid w:val="61D01CDF"/>
    <w:rsid w:val="64C0607C"/>
    <w:rsid w:val="65756C86"/>
    <w:rsid w:val="674D385B"/>
    <w:rsid w:val="676F09E1"/>
    <w:rsid w:val="68CE2A78"/>
    <w:rsid w:val="6A8715FD"/>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68D40"/>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FEF-4A71-933D-33F08015BE30}"/>
              </c:ext>
            </c:extLst>
          </c:dPt>
          <c:dPt>
            <c:idx val="1"/>
            <c:bubble3D val="0"/>
            <c:extLst>
              <c:ext xmlns:c16="http://schemas.microsoft.com/office/drawing/2014/chart" uri="{C3380CC4-5D6E-409C-BE32-E72D297353CC}">
                <c16:uniqueId val="{00000001-BFEF-4A71-933D-33F08015BE30}"/>
              </c:ext>
            </c:extLst>
          </c:dPt>
          <c:dPt>
            <c:idx val="2"/>
            <c:bubble3D val="0"/>
            <c:extLst>
              <c:ext xmlns:c16="http://schemas.microsoft.com/office/drawing/2014/chart" uri="{C3380CC4-5D6E-409C-BE32-E72D297353CC}">
                <c16:uniqueId val="{00000002-BFEF-4A71-933D-33F08015BE30}"/>
              </c:ext>
            </c:extLst>
          </c:dPt>
          <c:dPt>
            <c:idx val="3"/>
            <c:bubble3D val="0"/>
            <c:extLst>
              <c:ext xmlns:c16="http://schemas.microsoft.com/office/drawing/2014/chart" uri="{C3380CC4-5D6E-409C-BE32-E72D297353CC}">
                <c16:uniqueId val="{00000003-BFEF-4A71-933D-33F08015BE30}"/>
              </c:ext>
            </c:extLst>
          </c:dPt>
          <c:dPt>
            <c:idx val="4"/>
            <c:bubble3D val="0"/>
            <c:extLst>
              <c:ext xmlns:c16="http://schemas.microsoft.com/office/drawing/2014/chart" uri="{C3380CC4-5D6E-409C-BE32-E72D297353CC}">
                <c16:uniqueId val="{00000004-BFEF-4A71-933D-33F08015BE30}"/>
              </c:ext>
            </c:extLst>
          </c:dPt>
          <c:dPt>
            <c:idx val="5"/>
            <c:bubble3D val="0"/>
            <c:extLst>
              <c:ext xmlns:c16="http://schemas.microsoft.com/office/drawing/2014/chart" uri="{C3380CC4-5D6E-409C-BE32-E72D297353CC}">
                <c16:uniqueId val="{00000005-BFEF-4A71-933D-33F08015BE3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7001.76</c:v>
                </c:pt>
                <c:pt idx="1">
                  <c:v>0</c:v>
                </c:pt>
                <c:pt idx="2">
                  <c:v>27.72</c:v>
                </c:pt>
                <c:pt idx="3">
                  <c:v>0</c:v>
                </c:pt>
                <c:pt idx="4">
                  <c:v>0</c:v>
                </c:pt>
                <c:pt idx="5">
                  <c:v>0</c:v>
                </c:pt>
              </c:numCache>
            </c:numRef>
          </c:val>
          <c:extLst>
            <c:ext xmlns:c16="http://schemas.microsoft.com/office/drawing/2014/chart" uri="{C3380CC4-5D6E-409C-BE32-E72D297353CC}">
              <c16:uniqueId val="{00000006-BFEF-4A71-933D-33F08015BE30}"/>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7d12cdce-7c99-4075-83b0-c4af0ecd6969}"/>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1800-42E3-AD0D-0774B0E284CE}"/>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1800-42E3-AD0D-0774B0E284CE}"/>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1800-42E3-AD0D-0774B0E284CE}"/>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1800-42E3-AD0D-0774B0E284CE}"/>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1800-42E3-AD0D-0774B0E284CE}"/>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800-42E3-AD0D-0774B0E284CE}"/>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800-42E3-AD0D-0774B0E284CE}"/>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6516.98</c:v>
                </c:pt>
                <c:pt idx="1">
                  <c:v>512.5</c:v>
                </c:pt>
                <c:pt idx="2">
                  <c:v>0</c:v>
                </c:pt>
                <c:pt idx="3">
                  <c:v>0</c:v>
                </c:pt>
                <c:pt idx="4">
                  <c:v>0</c:v>
                </c:pt>
              </c:numCache>
            </c:numRef>
          </c:val>
          <c:extLst>
            <c:ext xmlns:c16="http://schemas.microsoft.com/office/drawing/2014/chart" uri="{C3380CC4-5D6E-409C-BE32-E72D297353CC}">
              <c16:uniqueId val="{0000000A-1800-42E3-AD0D-0774B0E284CE}"/>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08f96a6b-514b-403b-956b-0e1eff4ecc4f}"/>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2423</Words>
  <Characters>2740</Characters>
  <Application>Microsoft Office Word</Application>
  <DocSecurity>0</DocSecurity>
  <Lines>97</Lines>
  <Paragraphs>103</Paragraphs>
  <ScaleCrop>false</ScaleCrop>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24</cp:revision>
  <cp:lastPrinted>2025-08-26T03:22:00Z</cp:lastPrinted>
  <dcterms:created xsi:type="dcterms:W3CDTF">2017-07-11T15:16:00Z</dcterms:created>
  <dcterms:modified xsi:type="dcterms:W3CDTF">2025-08-27T08:54:00Z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A04D5F8D33364E968F71A3E380D2750B_13</vt:lpwstr>
  </property>
  <property fmtid="{D5CDD505-2E9C-101B-9397-08002B2CF9AE}" pid="4" name="KSOTemplateDocerSaveRecord">
    <vt:lpwstr>eyJoZGlkIjoiZTUxOTVkODUyMGY2ODc5ZGY0YTRlMmM4ODY4NDI1YmQiLCJ1c2VySWQiOiI0MzI3NDMxMjIifQ==</vt:lpwstr>
  </property>
</Properties>
</file>