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0668E" w14:textId="77777777" w:rsidR="00737674" w:rsidRDefault="00737674">
      <w:pPr>
        <w:jc w:val="center"/>
        <w:rPr>
          <w:rFonts w:ascii="仿宋_GB2312" w:eastAsia="仿宋_GB2312"/>
          <w:b/>
          <w:sz w:val="32"/>
          <w:szCs w:val="32"/>
        </w:rPr>
      </w:pPr>
    </w:p>
    <w:p w14:paraId="197B2623" w14:textId="77777777" w:rsidR="00737674" w:rsidRDefault="00737674">
      <w:pPr>
        <w:jc w:val="center"/>
        <w:rPr>
          <w:rFonts w:ascii="黑体" w:eastAsia="黑体"/>
          <w:sz w:val="72"/>
          <w:szCs w:val="72"/>
        </w:rPr>
      </w:pPr>
    </w:p>
    <w:p w14:paraId="2472CA4F" w14:textId="77777777" w:rsidR="00737674" w:rsidRDefault="00737674">
      <w:pPr>
        <w:jc w:val="center"/>
        <w:rPr>
          <w:rFonts w:ascii="黑体" w:eastAsia="黑体"/>
          <w:sz w:val="72"/>
          <w:szCs w:val="72"/>
        </w:rPr>
      </w:pPr>
    </w:p>
    <w:p w14:paraId="62C7F803" w14:textId="77777777" w:rsidR="00737674" w:rsidRDefault="00737674">
      <w:pPr>
        <w:jc w:val="center"/>
        <w:rPr>
          <w:rFonts w:ascii="黑体" w:eastAsia="黑体"/>
          <w:sz w:val="72"/>
          <w:szCs w:val="72"/>
        </w:rPr>
      </w:pPr>
    </w:p>
    <w:p w14:paraId="2C827796" w14:textId="77777777" w:rsidR="00737674" w:rsidRDefault="00737674">
      <w:pPr>
        <w:jc w:val="center"/>
        <w:rPr>
          <w:rFonts w:ascii="黑体" w:eastAsia="黑体"/>
          <w:sz w:val="72"/>
          <w:szCs w:val="72"/>
        </w:rPr>
      </w:pPr>
    </w:p>
    <w:p w14:paraId="24328FEF" w14:textId="77777777" w:rsidR="00737674"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42C88084" w14:textId="77777777" w:rsidR="00737674" w:rsidRDefault="00737674">
      <w:pPr>
        <w:jc w:val="center"/>
        <w:rPr>
          <w:rFonts w:ascii="黑体" w:eastAsia="黑体"/>
          <w:sz w:val="52"/>
          <w:szCs w:val="52"/>
        </w:rPr>
      </w:pPr>
    </w:p>
    <w:p w14:paraId="20F726BD" w14:textId="77777777" w:rsidR="00737674" w:rsidRDefault="00737674">
      <w:pPr>
        <w:jc w:val="center"/>
        <w:rPr>
          <w:rFonts w:ascii="黑体" w:eastAsia="黑体"/>
          <w:sz w:val="52"/>
          <w:szCs w:val="52"/>
        </w:rPr>
      </w:pPr>
    </w:p>
    <w:p w14:paraId="4495F1E2" w14:textId="77777777" w:rsidR="00737674" w:rsidRDefault="00737674">
      <w:pPr>
        <w:jc w:val="center"/>
        <w:rPr>
          <w:rFonts w:ascii="黑体" w:eastAsia="黑体"/>
          <w:sz w:val="52"/>
          <w:szCs w:val="52"/>
        </w:rPr>
      </w:pPr>
    </w:p>
    <w:p w14:paraId="476D410B" w14:textId="77777777" w:rsidR="00737674" w:rsidRDefault="00737674">
      <w:pPr>
        <w:jc w:val="center"/>
        <w:rPr>
          <w:rFonts w:ascii="黑体" w:eastAsia="黑体"/>
          <w:sz w:val="52"/>
          <w:szCs w:val="52"/>
        </w:rPr>
      </w:pPr>
    </w:p>
    <w:p w14:paraId="456529F3" w14:textId="77777777" w:rsidR="00737674" w:rsidRDefault="00737674">
      <w:pPr>
        <w:jc w:val="center"/>
        <w:rPr>
          <w:rFonts w:ascii="黑体" w:eastAsia="黑体"/>
          <w:sz w:val="32"/>
          <w:szCs w:val="32"/>
        </w:rPr>
      </w:pPr>
    </w:p>
    <w:p w14:paraId="550718C8" w14:textId="77777777" w:rsidR="00737674"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0C4E91C4" w14:textId="77777777" w:rsidR="00737674" w:rsidRDefault="00737674">
      <w:pPr>
        <w:spacing w:line="500" w:lineRule="exact"/>
        <w:ind w:firstLine="645"/>
        <w:jc w:val="center"/>
        <w:rPr>
          <w:rFonts w:ascii="宋体" w:hAnsi="宋体" w:cs="宋体" w:hint="eastAsia"/>
          <w:b/>
          <w:bCs/>
          <w:kern w:val="0"/>
          <w:sz w:val="36"/>
          <w:szCs w:val="36"/>
        </w:rPr>
      </w:pPr>
    </w:p>
    <w:p w14:paraId="3D3ACF44" w14:textId="77777777" w:rsidR="00737674"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142E2CFC" w14:textId="77777777" w:rsidR="00737674" w:rsidRDefault="000000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4A808BC0"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407E142D"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3FD8CA81"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7ADD8DA1"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208F405E"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32A518C3"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02B3B6AD"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4373C96A"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4C02B4B0"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1EDA91DE"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421AA187" w14:textId="77777777" w:rsidR="00737674"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12B39482" w14:textId="77777777" w:rsidR="00737674"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0E54F840" w14:textId="77777777" w:rsidR="00737674"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6CC46B7D" w14:textId="77777777" w:rsidR="00737674"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465C9C1C" w14:textId="77777777" w:rsidR="00737674" w:rsidRDefault="00737674">
      <w:pPr>
        <w:tabs>
          <w:tab w:val="center" w:pos="6979"/>
        </w:tabs>
        <w:spacing w:beforeLines="50" w:before="156" w:afterLines="50" w:after="156"/>
        <w:jc w:val="center"/>
        <w:rPr>
          <w:rFonts w:ascii="宋体" w:hAnsi="宋体" w:cs="宋体" w:hint="eastAsia"/>
          <w:b/>
          <w:bCs/>
          <w:spacing w:val="40"/>
          <w:kern w:val="0"/>
          <w:sz w:val="32"/>
          <w:szCs w:val="32"/>
        </w:rPr>
      </w:pPr>
    </w:p>
    <w:p w14:paraId="69DDC831" w14:textId="77777777" w:rsidR="00737674" w:rsidRDefault="00737674">
      <w:pPr>
        <w:tabs>
          <w:tab w:val="center" w:pos="6979"/>
        </w:tabs>
        <w:spacing w:beforeLines="50" w:before="156" w:afterLines="50" w:after="156"/>
        <w:jc w:val="center"/>
        <w:rPr>
          <w:rFonts w:ascii="宋体" w:hAnsi="宋体" w:cs="宋体" w:hint="eastAsia"/>
          <w:b/>
          <w:bCs/>
          <w:spacing w:val="40"/>
          <w:kern w:val="0"/>
          <w:sz w:val="32"/>
          <w:szCs w:val="32"/>
        </w:rPr>
      </w:pPr>
    </w:p>
    <w:p w14:paraId="7C5600D3" w14:textId="77777777" w:rsidR="00737674" w:rsidRDefault="00737674">
      <w:pPr>
        <w:tabs>
          <w:tab w:val="center" w:pos="6979"/>
        </w:tabs>
        <w:spacing w:beforeLines="50" w:before="156" w:afterLines="50" w:after="156"/>
        <w:jc w:val="center"/>
        <w:rPr>
          <w:rFonts w:ascii="宋体" w:hAnsi="宋体" w:cs="宋体" w:hint="eastAsia"/>
          <w:b/>
          <w:bCs/>
          <w:spacing w:val="40"/>
          <w:kern w:val="0"/>
          <w:sz w:val="32"/>
          <w:szCs w:val="32"/>
        </w:rPr>
      </w:pPr>
    </w:p>
    <w:p w14:paraId="0A6A969E" w14:textId="77777777" w:rsidR="00737674" w:rsidRDefault="00737674">
      <w:pPr>
        <w:tabs>
          <w:tab w:val="center" w:pos="6979"/>
        </w:tabs>
        <w:spacing w:beforeLines="50" w:before="156" w:afterLines="50" w:after="156"/>
        <w:jc w:val="center"/>
        <w:rPr>
          <w:rFonts w:ascii="宋体" w:hAnsi="宋体" w:cs="宋体" w:hint="eastAsia"/>
          <w:b/>
          <w:bCs/>
          <w:spacing w:val="40"/>
          <w:kern w:val="0"/>
          <w:sz w:val="32"/>
          <w:szCs w:val="32"/>
        </w:rPr>
      </w:pPr>
    </w:p>
    <w:p w14:paraId="3620D788" w14:textId="77777777" w:rsidR="00737674" w:rsidRDefault="00737674">
      <w:pPr>
        <w:tabs>
          <w:tab w:val="center" w:pos="6979"/>
        </w:tabs>
        <w:spacing w:beforeLines="50" w:before="156" w:afterLines="50" w:after="156"/>
        <w:jc w:val="center"/>
        <w:rPr>
          <w:rFonts w:ascii="宋体" w:hAnsi="宋体" w:cs="宋体" w:hint="eastAsia"/>
          <w:b/>
          <w:bCs/>
          <w:spacing w:val="40"/>
          <w:kern w:val="0"/>
          <w:sz w:val="32"/>
          <w:szCs w:val="32"/>
        </w:rPr>
      </w:pPr>
    </w:p>
    <w:p w14:paraId="24F955B9" w14:textId="77777777" w:rsidR="00737674"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0C5A6178" w14:textId="77777777" w:rsidR="00737674" w:rsidRDefault="00000000">
      <w:pPr>
        <w:pStyle w:val="2"/>
        <w:rPr>
          <w:b w:val="0"/>
          <w:bCs w:val="0"/>
        </w:rPr>
        <w:sectPr w:rsidR="00737674">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0259E21C" w14:textId="77777777" w:rsidR="00737674"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4D43F169" w14:textId="77777777" w:rsidR="00737674"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568D53FC" w14:textId="77777777" w:rsidR="00737674" w:rsidRDefault="00000000" w:rsidP="00955F1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本单位现有三个校区：分别为北线阁校区、广义街校区和财会学校（借址）。设置5个部门，分别为党政办公室、教学处、德育处、总务处、科研处。具体职责如下：</w:t>
      </w:r>
    </w:p>
    <w:p w14:paraId="06DBDB9E" w14:textId="77777777" w:rsidR="00737674" w:rsidRDefault="00000000" w:rsidP="00955F1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党政办公室是学校综合协调管理部门，在书记的直接领导下，主要负责落实党的教育方针政策、统筹协调党务与行政事务、推进学校重大决策实施。同时主管人事及财务工作，具体承担教职工招聘录用、岗位聘任、考核评价、职称评审、人事档案管理等职能，通过协调沟通各部门工作、执行上级指示要求、服务师生需求，保障学校党政工作高效运行，促进依法治校和教育教学质量提升。</w:t>
      </w:r>
    </w:p>
    <w:p w14:paraId="3B84F38C" w14:textId="77777777" w:rsidR="00737674" w:rsidRDefault="00000000" w:rsidP="00955F1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教学处是学校教学工作的核心管理部门，主要负责落实国家课程，统筹规划、组织实施与监督优化全校教学工作，组织教研活动等各项措施，全面保障教育教学质量和学生全面发展。</w:t>
      </w:r>
    </w:p>
    <w:p w14:paraId="76800FB5" w14:textId="77777777" w:rsidR="00737674" w:rsidRDefault="00000000" w:rsidP="00955F1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德育处是负责学生思想道德教育与管理的重要部门，全面贯彻党的教育方针，落实立德树人根本任务。主要统筹规划全校德育工作，组织开展爱国主义教育、行为规范养成、心理健康指导及主题实践活动，强化学生社会主义核心价值观培育，营造积极向上的校园文化氛围等，促进学生全面健康成长。</w:t>
      </w:r>
    </w:p>
    <w:p w14:paraId="29E78865" w14:textId="77777777" w:rsidR="00737674" w:rsidRDefault="00000000" w:rsidP="00955F1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总务处是学校后勤保障与综合管理的核心部门，主要负责校园安全与整洁、基础设施建设维护、物资采购与领用供应等内容，为师生营造安全有序的校园环境，保障教育教学活动顺利开展。  </w:t>
      </w:r>
    </w:p>
    <w:p w14:paraId="32684510" w14:textId="77777777" w:rsidR="00737674" w:rsidRDefault="00000000" w:rsidP="00955F1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科研处是统筹学校教育科研工作，主要负责制定科研发展规划与管理制度，构建校级、区级、市级三级课题管理网</w:t>
      </w:r>
      <w:r>
        <w:rPr>
          <w:rFonts w:ascii="仿宋_GB2312" w:eastAsia="仿宋_GB2312" w:hint="eastAsia"/>
          <w:sz w:val="28"/>
          <w:szCs w:val="28"/>
        </w:rPr>
        <w:lastRenderedPageBreak/>
        <w:t>络，组织重大课题立项申报、过程指导及成果转化，重点聚焦课程改革与教学实践研究；同时主管科研骨干教师培养，通过专家讲座、课题引领等方式提升教师科研能力，推进校内外资源整合与成果推广，以科研驱动教学创新与师资队伍专业化发展，助力学校教育教学质量提升与特色品牌建设。</w:t>
      </w:r>
    </w:p>
    <w:p w14:paraId="33A5DD18" w14:textId="77777777" w:rsidR="00737674"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7D1FC2BF" w14:textId="77777777" w:rsidR="00737674"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6715.08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256.22万元，增长3.97%。</w:t>
      </w:r>
    </w:p>
    <w:p w14:paraId="467F2235" w14:textId="77777777" w:rsidR="00737674"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165018CF" w14:textId="77777777" w:rsidR="00737674"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6715.08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256.22万元，增长3.97%。</w:t>
      </w:r>
    </w:p>
    <w:p w14:paraId="19D4709A" w14:textId="77777777" w:rsidR="00737674" w:rsidRDefault="00000000">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6715.08</w:t>
      </w:r>
      <w:r>
        <w:rPr>
          <w:rFonts w:ascii="仿宋_GB2312" w:eastAsia="仿宋_GB2312" w:hint="eastAsia"/>
          <w:sz w:val="28"/>
          <w:szCs w:val="28"/>
        </w:rPr>
        <w:t>万元，占收入合计的100%。其中：一般公共预算财政拨款收入</w:t>
      </w:r>
      <w:r>
        <w:rPr>
          <w:rFonts w:ascii="仿宋_GB2312" w:eastAsia="仿宋_GB2312"/>
          <w:sz w:val="28"/>
          <w:szCs w:val="28"/>
        </w:rPr>
        <w:t>6709.08</w:t>
      </w:r>
      <w:r>
        <w:rPr>
          <w:rFonts w:ascii="仿宋_GB2312" w:eastAsia="仿宋_GB2312" w:hint="eastAsia"/>
          <w:sz w:val="28"/>
          <w:szCs w:val="28"/>
        </w:rPr>
        <w:t>万元，占收入合计的99.91%；政府性基金预算财政拨款收入</w:t>
      </w:r>
      <w:r>
        <w:rPr>
          <w:rFonts w:ascii="仿宋_GB2312" w:eastAsia="仿宋_GB2312"/>
          <w:sz w:val="28"/>
          <w:szCs w:val="28"/>
        </w:rPr>
        <w:t>6</w:t>
      </w:r>
      <w:r>
        <w:rPr>
          <w:rFonts w:ascii="仿宋_GB2312" w:eastAsia="仿宋_GB2312" w:hint="eastAsia"/>
          <w:sz w:val="28"/>
          <w:szCs w:val="28"/>
        </w:rPr>
        <w:t>万元，占收入合计的0.09%；国有资本经营预算财政拨款收入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05F08EA7" w14:textId="77777777" w:rsidR="00737674"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789D53D0" w14:textId="77777777" w:rsidR="00737674"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46A546C7" w14:textId="77777777" w:rsidR="00737674"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4D990FA4" w14:textId="77777777" w:rsidR="00737674"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03F9EE22" w14:textId="77777777" w:rsidR="00737674"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263142E1" w14:textId="77777777" w:rsidR="00737674" w:rsidRDefault="00000000">
      <w:pPr>
        <w:pStyle w:val="2"/>
        <w:jc w:val="center"/>
      </w:pPr>
      <w:r>
        <w:rPr>
          <w:rFonts w:ascii="仿宋_GB2312" w:eastAsia="仿宋_GB2312" w:hint="eastAsia"/>
          <w:color w:val="000000"/>
          <w:sz w:val="32"/>
        </w:rPr>
        <w:lastRenderedPageBreak/>
        <w:t>图1：收入决算</w:t>
      </w:r>
    </w:p>
    <w:p w14:paraId="4ADF71E0" w14:textId="77777777" w:rsidR="00737674" w:rsidRDefault="00000000">
      <w:pPr>
        <w:pStyle w:val="a3"/>
        <w:ind w:firstLine="420"/>
        <w:jc w:val="center"/>
      </w:pPr>
      <w:r>
        <w:rPr>
          <w:noProof/>
        </w:rPr>
        <w:drawing>
          <wp:inline distT="0" distB="0" distL="0" distR="0" wp14:anchorId="21B5EEFC" wp14:editId="5B9DEFA5">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9208ACB" w14:textId="77777777" w:rsidR="00737674"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70798794" w14:textId="77777777" w:rsidR="00737674"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6715.08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256.22万元，增长3.97%。其中：基本支出</w:t>
      </w:r>
      <w:r>
        <w:rPr>
          <w:rFonts w:ascii="仿宋_GB2312" w:eastAsia="仿宋_GB2312"/>
          <w:sz w:val="28"/>
          <w:szCs w:val="28"/>
        </w:rPr>
        <w:t>6267.46</w:t>
      </w:r>
      <w:r>
        <w:rPr>
          <w:rFonts w:ascii="仿宋_GB2312" w:eastAsia="仿宋_GB2312" w:hint="eastAsia"/>
          <w:sz w:val="28"/>
          <w:szCs w:val="28"/>
        </w:rPr>
        <w:t>万元，占支出合计的93.33%；项目支出</w:t>
      </w:r>
      <w:r>
        <w:rPr>
          <w:rFonts w:ascii="仿宋_GB2312" w:eastAsia="仿宋_GB2312"/>
          <w:sz w:val="28"/>
          <w:szCs w:val="28"/>
        </w:rPr>
        <w:t>447.62</w:t>
      </w:r>
      <w:r>
        <w:rPr>
          <w:rFonts w:ascii="仿宋_GB2312" w:eastAsia="仿宋_GB2312" w:hint="eastAsia"/>
          <w:sz w:val="28"/>
          <w:szCs w:val="28"/>
        </w:rPr>
        <w:t>万元，占支出合计的6.67%;上缴上级支出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01532019" w14:textId="77777777" w:rsidR="00737674"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6D02FEC6" w14:textId="77777777" w:rsidR="00737674" w:rsidRDefault="00000000">
      <w:pPr>
        <w:jc w:val="center"/>
        <w:rPr>
          <w:rFonts w:ascii="黑体" w:eastAsia="黑体"/>
          <w:b/>
          <w:sz w:val="28"/>
          <w:szCs w:val="28"/>
        </w:rPr>
      </w:pPr>
      <w:r>
        <w:rPr>
          <w:noProof/>
        </w:rPr>
        <w:drawing>
          <wp:inline distT="0" distB="0" distL="114300" distR="114300" wp14:anchorId="54FF6C53" wp14:editId="65EB8EC2">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6F4EBC4" w14:textId="77777777" w:rsidR="00737674"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1D058A8F" w14:textId="77777777" w:rsidR="00737674" w:rsidRDefault="00000000">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6715.08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256.22万元，增长3.97%。主要原因：一是在职人员统发工资及保险支出增加；二是退休人员一次性补贴、抚恤金增加；三是外聘人员经费增加；四是中小学生实践活动经费增加等。</w:t>
      </w:r>
    </w:p>
    <w:p w14:paraId="78A146F2" w14:textId="77777777" w:rsidR="00737674"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5E2B9831" w14:textId="77777777" w:rsidR="00737674"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497A6764" w14:textId="77777777" w:rsidR="00737674"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6709.08</w:t>
      </w:r>
      <w:r>
        <w:rPr>
          <w:rFonts w:ascii="仿宋_GB2312" w:eastAsia="仿宋_GB2312" w:hint="eastAsia"/>
          <w:sz w:val="28"/>
          <w:szCs w:val="28"/>
        </w:rPr>
        <w:t>万元，主要用于以下方面（按大类）：教育支出4474.06万元，占本</w:t>
      </w:r>
      <w:r>
        <w:rPr>
          <w:rFonts w:ascii="仿宋_GB2312" w:eastAsia="仿宋_GB2312" w:hint="eastAsia"/>
          <w:sz w:val="28"/>
          <w:szCs w:val="28"/>
        </w:rPr>
        <w:lastRenderedPageBreak/>
        <w:t>年财政拨款支出66.69%；社会保障和就业支出1076.75万元，占本年财政拨款支出16.05%；卫生健康支出412.16万元，占本年财政拨款支出6.14%；住房保障支出746.11万元，占本年财政拨款支出11.12%。</w:t>
      </w:r>
    </w:p>
    <w:p w14:paraId="77DD4E20" w14:textId="77777777" w:rsidR="00737674"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000B29EC" w14:textId="77777777" w:rsidR="00737674"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1、“一般公共服务支出”（类）2024年度年初预算0万元，2024年度决算0万元。本单位无此项经费。</w:t>
      </w:r>
    </w:p>
    <w:p w14:paraId="475405CC"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2、“教育支出”(类)2024年度年初预算4434.16万元，2024年度决算4474.06万元，完成年初预算的100.90%。其中：</w:t>
      </w:r>
    </w:p>
    <w:p w14:paraId="7D6F2C63"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“普通教育”（款）2024年度年初预算4416.94万元，2024年度决算4463.50万元，完成年初预算的101</w:t>
      </w:r>
      <w:r>
        <w:rPr>
          <w:rFonts w:ascii="仿宋_GB2312" w:eastAsia="仿宋_GB2312"/>
          <w:sz w:val="28"/>
          <w:szCs w:val="28"/>
        </w:rPr>
        <w:t>.</w:t>
      </w:r>
      <w:r>
        <w:rPr>
          <w:rFonts w:ascii="仿宋_GB2312" w:eastAsia="仿宋_GB2312" w:hint="eastAsia"/>
          <w:sz w:val="28"/>
          <w:szCs w:val="28"/>
        </w:rPr>
        <w:t>05%。主要原因：绩效工资较年初增加81万元，助学金较年初增加31万元，津补贴及社保结余上缴财政40万元，福利费等结余上缴财政25万元。</w:t>
      </w:r>
    </w:p>
    <w:p w14:paraId="2D06D22B"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2024年度年初预算7.14万元，2024年度决算7.14万元，完成年初预算的100%。主要原因：根据年度特殊教育经费预算批复情况，结合学校实际工作，本单位平稳有序开展各项教育教学活动，保障资金发挥实效。</w:t>
      </w:r>
    </w:p>
    <w:p w14:paraId="79B98D5D"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2024年度年初预算10.08万元，2024年度决算3.43万元，完成年初预算的33.98%。主要原因：根据学校年度重点工作任务及培训计划，组织教师培训数量及参与人数均有所减少，结余资金已上缴财政。</w:t>
      </w:r>
    </w:p>
    <w:p w14:paraId="5E712F81"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3、“社会保障和就业支出”(类)2024年度年初预算892.07万元，2024年度决算1076.75万元，完成年初预算的120.70%。其中：</w:t>
      </w:r>
    </w:p>
    <w:p w14:paraId="3738587B"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“行政事业单位养老支出”（款）2024年度年初预算892.07万元，2024年度决算1024.33万元，完成年初预算的</w:t>
      </w:r>
      <w:r>
        <w:rPr>
          <w:rFonts w:ascii="仿宋_GB2312" w:eastAsia="仿宋_GB2312" w:hint="eastAsia"/>
          <w:sz w:val="28"/>
          <w:szCs w:val="28"/>
        </w:rPr>
        <w:lastRenderedPageBreak/>
        <w:t>114.83%。主要原因：追加两批次一次性退休补贴约119万元，追加在职人员养老保险及职业年金约13万元。</w:t>
      </w:r>
    </w:p>
    <w:p w14:paraId="07A740C0"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“抚恤”（款）2024年度年初预算0万元，2024年度决算52.42万元。主要原因：追加退休死亡老师抚恤金52.42万元。</w:t>
      </w:r>
    </w:p>
    <w:p w14:paraId="366BC5F7"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4、“卫生健康支出”(类)2024年度年初预算401.04万元，2024年度决算412.16万元，完成年初预算的102.77%。其中：</w:t>
      </w:r>
    </w:p>
    <w:p w14:paraId="5F9661C1"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“行政事业单位医疗”（款）2024年度年初预算401.04万元，2024年度决算412.16万元，完成年初预算的102.77%。主要原因：追加在职人员医疗保险约11万元。</w:t>
      </w:r>
    </w:p>
    <w:p w14:paraId="27311ED4"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5、“住房保障支出”(类)2024年度年初预算754.96万元，2024年度决算746.11万元，完成年初预算的98.83%。其中：</w:t>
      </w:r>
    </w:p>
    <w:p w14:paraId="22786C35" w14:textId="77777777" w:rsidR="00737674" w:rsidRDefault="00000000">
      <w:pPr>
        <w:spacing w:line="580" w:lineRule="exact"/>
        <w:ind w:firstLineChars="200" w:firstLine="560"/>
      </w:pPr>
      <w:r>
        <w:rPr>
          <w:rFonts w:ascii="仿宋_GB2312" w:eastAsia="仿宋_GB2312" w:hint="eastAsia"/>
          <w:sz w:val="28"/>
          <w:szCs w:val="28"/>
        </w:rPr>
        <w:t>“住房改革支出”（款）2024年度年初预算754.96万元，2024年度决算746.11万元，完成年初预算的98.83%。主要原因：增加房补约6万元，上缴财政住房公积金级提租补贴等约15万元。</w:t>
      </w:r>
    </w:p>
    <w:p w14:paraId="00DBE1C8" w14:textId="77777777" w:rsidR="00737674"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E7175CC" w14:textId="77777777" w:rsidR="00737674"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31C0D92B" w14:textId="77777777" w:rsidR="00737674"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6</w:t>
      </w:r>
      <w:r>
        <w:rPr>
          <w:rFonts w:ascii="仿宋_GB2312" w:eastAsia="仿宋_GB2312" w:hint="eastAsia"/>
          <w:sz w:val="28"/>
          <w:szCs w:val="28"/>
        </w:rPr>
        <w:t>万元，主要用于以下方面（按大类）：彩票公益金安排的支出6万元，占本年财政拨款支出100%。</w:t>
      </w:r>
    </w:p>
    <w:p w14:paraId="4E582598" w14:textId="77777777" w:rsidR="00737674"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26A707AF"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1、“城乡社区支出”（类）2024年度年初预算0万元，2024年度决算0万元。主要原因：本单位无此项经费。</w:t>
      </w:r>
    </w:p>
    <w:p w14:paraId="70DE7D11"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2、“其他支出”（类）2024年度年初预算6万元，2024年度决算6万元，完成年初预算的100%。其中：</w:t>
      </w:r>
    </w:p>
    <w:p w14:paraId="2270F3BB" w14:textId="77777777" w:rsidR="0073767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2024年度年初预算6万元，2024年度决算6万元，完成年初预算的100%。主要原因：根据年度其他支出预算批复情况，结合学校实际工作，本单位平稳有序开展相关体育活动，进一步提升学校体育教育教学水平、丰富学生体育活动，实现专项资金价值最大化。</w:t>
      </w:r>
    </w:p>
    <w:p w14:paraId="62431ED4" w14:textId="77777777" w:rsidR="00737674"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4402994F" w14:textId="77777777" w:rsidR="00737674"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32C053ED" w14:textId="77777777" w:rsidR="00737674"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176077FA" w14:textId="77777777" w:rsidR="00737674"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6267.46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AE7733B" w14:textId="77777777" w:rsidR="00737674"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4C3C8E3A" w14:textId="77777777" w:rsidR="00737674"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4A292135" w14:textId="77777777" w:rsidR="00737674"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26EBDBCD" w14:textId="77777777" w:rsidR="00737674"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万元。其中：</w:t>
      </w:r>
    </w:p>
    <w:p w14:paraId="415C1061" w14:textId="77777777" w:rsidR="00737674"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1.因公出国（境）费用。本单位无此项经费。</w:t>
      </w:r>
    </w:p>
    <w:p w14:paraId="03ED28F7" w14:textId="77777777" w:rsidR="00737674"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2.公务接待费。本单位无此项经费。</w:t>
      </w:r>
    </w:p>
    <w:p w14:paraId="3C494966" w14:textId="77777777" w:rsidR="00737674"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3.公务用车购置及运行维护费。本单位无此项经费。</w:t>
      </w:r>
    </w:p>
    <w:p w14:paraId="62919456" w14:textId="77777777" w:rsidR="00737674"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05F48F9F" w14:textId="77777777" w:rsidR="00737674" w:rsidRDefault="0000000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12367B37" w14:textId="77777777" w:rsidR="00737674" w:rsidRDefault="00000000">
      <w:pPr>
        <w:ind w:left="540"/>
        <w:rPr>
          <w:rFonts w:ascii="黑体" w:eastAsia="黑体"/>
          <w:sz w:val="28"/>
          <w:szCs w:val="28"/>
        </w:rPr>
      </w:pPr>
      <w:r>
        <w:rPr>
          <w:rFonts w:ascii="黑体" w:eastAsia="黑体" w:hint="eastAsia"/>
          <w:sz w:val="28"/>
          <w:szCs w:val="28"/>
        </w:rPr>
        <w:t>三、政府采购支出情况</w:t>
      </w:r>
    </w:p>
    <w:p w14:paraId="4F21A626" w14:textId="77777777" w:rsidR="00737674"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68.02</w:t>
      </w:r>
      <w:r>
        <w:rPr>
          <w:rFonts w:ascii="仿宋_GB2312" w:eastAsia="仿宋_GB2312" w:hint="eastAsia"/>
          <w:sz w:val="28"/>
          <w:szCs w:val="28"/>
        </w:rPr>
        <w:t>万元，其中：政府采购货物支出</w:t>
      </w:r>
      <w:r>
        <w:rPr>
          <w:rFonts w:ascii="仿宋_GB2312" w:eastAsia="仿宋_GB2312"/>
          <w:sz w:val="28"/>
          <w:szCs w:val="28"/>
        </w:rPr>
        <w:t>1.75</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66.27</w:t>
      </w:r>
      <w:r>
        <w:rPr>
          <w:rFonts w:ascii="仿宋_GB2312" w:eastAsia="仿宋_GB2312" w:hint="eastAsia"/>
          <w:sz w:val="28"/>
          <w:szCs w:val="28"/>
        </w:rPr>
        <w:t>万元。授予中小企业合同金额</w:t>
      </w:r>
      <w:r>
        <w:rPr>
          <w:rFonts w:ascii="仿宋_GB2312" w:eastAsia="仿宋_GB2312"/>
          <w:sz w:val="28"/>
          <w:szCs w:val="28"/>
        </w:rPr>
        <w:t>68.02</w:t>
      </w:r>
      <w:r>
        <w:rPr>
          <w:rFonts w:ascii="仿宋_GB2312" w:eastAsia="仿宋_GB2312" w:hint="eastAsia"/>
          <w:sz w:val="28"/>
          <w:szCs w:val="28"/>
        </w:rPr>
        <w:t>万元，占政府采购支出总额的100%，其中：授予小微企业合同金额</w:t>
      </w:r>
      <w:r>
        <w:rPr>
          <w:rFonts w:ascii="仿宋_GB2312" w:eastAsia="仿宋_GB2312"/>
          <w:sz w:val="28"/>
          <w:szCs w:val="28"/>
        </w:rPr>
        <w:t>68.02</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14:paraId="58EFF059" w14:textId="77777777" w:rsidR="00737674"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07E4596E" w14:textId="77777777" w:rsidR="00737674"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截至12月31日，北京小学广内分校共有车辆0台；单位价值100万元（含）以上的设备0台（套）。</w:t>
      </w:r>
    </w:p>
    <w:p w14:paraId="5E47954B" w14:textId="77777777" w:rsidR="00737674"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7B375142" w14:textId="77777777" w:rsidR="00737674" w:rsidRDefault="00000000">
      <w:pPr>
        <w:ind w:firstLineChars="192" w:firstLine="538"/>
        <w:rPr>
          <w:rFonts w:ascii="仿宋_GB2312" w:eastAsia="仿宋_GB2312"/>
          <w:sz w:val="28"/>
          <w:szCs w:val="28"/>
        </w:rPr>
      </w:pPr>
      <w:r>
        <w:rPr>
          <w:rFonts w:ascii="仿宋_GB2312" w:eastAsia="仿宋_GB2312" w:hint="eastAsia"/>
          <w:sz w:val="28"/>
          <w:szCs w:val="28"/>
        </w:rPr>
        <w:lastRenderedPageBreak/>
        <w:t>2024年度</w:t>
      </w:r>
      <w:r>
        <w:rPr>
          <w:rFonts w:ascii="仿宋_GB2312" w:eastAsia="仿宋_GB2312"/>
          <w:sz w:val="28"/>
          <w:szCs w:val="28"/>
        </w:rPr>
        <w:t>政府购买服务决算0</w:t>
      </w:r>
      <w:r>
        <w:rPr>
          <w:rFonts w:ascii="仿宋_GB2312" w:eastAsia="仿宋_GB2312" w:hint="eastAsia"/>
          <w:sz w:val="28"/>
          <w:szCs w:val="28"/>
        </w:rPr>
        <w:t>万元。</w:t>
      </w:r>
    </w:p>
    <w:p w14:paraId="14354A37" w14:textId="77777777" w:rsidR="00737674"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5B6CCF8F" w14:textId="77777777" w:rsidR="00737674"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786387E6" w14:textId="77777777" w:rsidR="00737674"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1D61726D" w14:textId="77777777" w:rsidR="00737674" w:rsidRDefault="0000000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E6F7A6B" w14:textId="77777777" w:rsidR="00737674" w:rsidRDefault="0000000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55B824E6" w14:textId="77777777" w:rsidR="00737674"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146C7714" w14:textId="77777777" w:rsidR="00737674"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02106D8" w14:textId="77777777" w:rsidR="00737674" w:rsidRPr="00955F1C" w:rsidRDefault="00000000">
      <w:pPr>
        <w:ind w:firstLineChars="200" w:firstLine="560"/>
        <w:rPr>
          <w:rFonts w:ascii="仿宋_GB2312" w:eastAsia="仿宋_GB2312"/>
          <w:sz w:val="28"/>
          <w:szCs w:val="28"/>
        </w:rPr>
      </w:pPr>
      <w:r w:rsidRPr="00955F1C">
        <w:rPr>
          <w:rFonts w:ascii="仿宋_GB2312" w:eastAsia="仿宋_GB2312" w:hint="eastAsia"/>
          <w:sz w:val="28"/>
          <w:szCs w:val="28"/>
        </w:rPr>
        <w:lastRenderedPageBreak/>
        <w:t>7.各单位需根据自身业务职能，补充当年使用的所有支出功能分类项级科目名词解释，例如：</w:t>
      </w:r>
    </w:p>
    <w:p w14:paraId="2E10585F" w14:textId="77777777" w:rsidR="00737674" w:rsidRDefault="00000000">
      <w:pPr>
        <w:ind w:firstLineChars="200" w:firstLine="560"/>
        <w:rPr>
          <w:rFonts w:ascii="仿宋_GB2312" w:eastAsia="仿宋_GB2312"/>
          <w:sz w:val="28"/>
          <w:szCs w:val="28"/>
        </w:rPr>
      </w:pPr>
      <w:r w:rsidRPr="00955F1C">
        <w:rPr>
          <w:rFonts w:ascii="仿宋_GB2312" w:eastAsia="仿宋_GB2312" w:hint="eastAsia"/>
          <w:sz w:val="28"/>
          <w:szCs w:val="28"/>
        </w:rPr>
        <w:t>一般公共服务支出（类）人大事务（款）行政运行（项）：反映行政单位（包括实行公务员管理的事业单位）的基本支出</w:t>
      </w:r>
      <w:r>
        <w:rPr>
          <w:rFonts w:ascii="仿宋_GB2312" w:eastAsia="仿宋_GB2312" w:hint="eastAsia"/>
          <w:sz w:val="28"/>
          <w:szCs w:val="28"/>
        </w:rPr>
        <w:t>。</w:t>
      </w:r>
    </w:p>
    <w:p w14:paraId="441B0E6D" w14:textId="77777777" w:rsidR="00737674" w:rsidRDefault="00737674">
      <w:pPr>
        <w:rPr>
          <w:rFonts w:ascii="黑体" w:eastAsia="黑体"/>
          <w:sz w:val="32"/>
          <w:szCs w:val="32"/>
        </w:rPr>
      </w:pPr>
    </w:p>
    <w:p w14:paraId="0C12138C" w14:textId="77777777" w:rsidR="00737674" w:rsidRDefault="00737674">
      <w:pPr>
        <w:ind w:firstLineChars="200" w:firstLine="640"/>
        <w:jc w:val="center"/>
        <w:rPr>
          <w:rFonts w:ascii="黑体" w:eastAsia="黑体"/>
          <w:sz w:val="32"/>
          <w:szCs w:val="32"/>
        </w:rPr>
      </w:pPr>
    </w:p>
    <w:p w14:paraId="2C84993C" w14:textId="77777777" w:rsidR="00737674"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75F74F30" w14:textId="77777777" w:rsidR="00737674" w:rsidRDefault="00737674">
      <w:pPr>
        <w:ind w:firstLineChars="200" w:firstLine="560"/>
        <w:rPr>
          <w:rFonts w:ascii="黑体" w:eastAsia="黑体"/>
          <w:sz w:val="28"/>
          <w:szCs w:val="28"/>
          <w:highlight w:val="yellow"/>
        </w:rPr>
      </w:pPr>
    </w:p>
    <w:p w14:paraId="2BA5CDB7" w14:textId="77777777" w:rsidR="00737674" w:rsidRDefault="00000000">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12D1A0E7" w14:textId="77777777" w:rsidR="00737674" w:rsidRDefault="00000000">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0F1672F8" w14:textId="77777777" w:rsidR="00737674" w:rsidRDefault="0000000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6B455EA5" w14:textId="77777777" w:rsidR="00737674" w:rsidRDefault="00000000">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5F4CD5E1" w14:textId="77777777" w:rsidR="00737674" w:rsidRDefault="00000000">
      <w:pPr>
        <w:spacing w:line="480" w:lineRule="exact"/>
        <w:ind w:firstLine="420"/>
      </w:pPr>
      <w:r>
        <w:rPr>
          <w:rFonts w:ascii="黑体" w:eastAsia="黑体" w:hint="eastAsia"/>
          <w:sz w:val="28"/>
          <w:szCs w:val="28"/>
        </w:rPr>
        <w:t xml:space="preserve"> （注：有中央转移支付的一级预算部门，公开“一、二、三、四”；没有中央转移支付的一级预算部门，公开“一、二、三”；二级预算单位仅公开“三”。）</w:t>
      </w:r>
    </w:p>
    <w:sectPr w:rsidR="00737674">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478F2" w14:textId="77777777" w:rsidR="00BF5FB7" w:rsidRDefault="00BF5FB7">
      <w:r>
        <w:separator/>
      </w:r>
    </w:p>
  </w:endnote>
  <w:endnote w:type="continuationSeparator" w:id="0">
    <w:p w14:paraId="24D41011" w14:textId="77777777" w:rsidR="00BF5FB7" w:rsidRDefault="00BF5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07BC" w14:textId="77777777" w:rsidR="00737674"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4CF69555" w14:textId="77777777" w:rsidR="00737674" w:rsidRDefault="0073767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7823B" w14:textId="77777777" w:rsidR="00737674"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74EBF4A3" w14:textId="77777777" w:rsidR="00737674" w:rsidRDefault="0073767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EA93F" w14:textId="77777777" w:rsidR="00737674"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3D8F8D2F" w14:textId="77777777" w:rsidR="00737674" w:rsidRDefault="0073767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AF6A2" w14:textId="77777777" w:rsidR="00BF5FB7" w:rsidRDefault="00BF5FB7">
      <w:r>
        <w:separator/>
      </w:r>
    </w:p>
  </w:footnote>
  <w:footnote w:type="continuationSeparator" w:id="0">
    <w:p w14:paraId="6A3A5F35" w14:textId="77777777" w:rsidR="00BF5FB7" w:rsidRDefault="00BF5F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484510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7674"/>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55F1C"/>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5FB7"/>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C3B11"/>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BCB0097"/>
    <w:rsid w:val="3C684897"/>
    <w:rsid w:val="433E495C"/>
    <w:rsid w:val="489F2FD7"/>
    <w:rsid w:val="4AC27CB3"/>
    <w:rsid w:val="4BF72BEF"/>
    <w:rsid w:val="4F213F2F"/>
    <w:rsid w:val="4FA90297"/>
    <w:rsid w:val="4FC41A43"/>
    <w:rsid w:val="51DB3C59"/>
    <w:rsid w:val="550C0952"/>
    <w:rsid w:val="55762E42"/>
    <w:rsid w:val="57A7B272"/>
    <w:rsid w:val="58470068"/>
    <w:rsid w:val="58747CAC"/>
    <w:rsid w:val="5A1720F9"/>
    <w:rsid w:val="5B9C37C2"/>
    <w:rsid w:val="5BA7C654"/>
    <w:rsid w:val="60A54109"/>
    <w:rsid w:val="61D01CDF"/>
    <w:rsid w:val="64A70A2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5A66C"/>
  <w15:docId w15:val="{D46DCCDF-50A9-4B79-B538-5F7439687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1662-4B89-ADDE-B1399DC5D74F}"/>
              </c:ext>
            </c:extLst>
          </c:dPt>
          <c:dPt>
            <c:idx val="1"/>
            <c:bubble3D val="0"/>
            <c:extLst>
              <c:ext xmlns:c16="http://schemas.microsoft.com/office/drawing/2014/chart" uri="{C3380CC4-5D6E-409C-BE32-E72D297353CC}">
                <c16:uniqueId val="{00000001-1662-4B89-ADDE-B1399DC5D74F}"/>
              </c:ext>
            </c:extLst>
          </c:dPt>
          <c:dPt>
            <c:idx val="2"/>
            <c:bubble3D val="0"/>
            <c:extLst>
              <c:ext xmlns:c16="http://schemas.microsoft.com/office/drawing/2014/chart" uri="{C3380CC4-5D6E-409C-BE32-E72D297353CC}">
                <c16:uniqueId val="{00000002-1662-4B89-ADDE-B1399DC5D74F}"/>
              </c:ext>
            </c:extLst>
          </c:dPt>
          <c:dPt>
            <c:idx val="3"/>
            <c:bubble3D val="0"/>
            <c:extLst>
              <c:ext xmlns:c16="http://schemas.microsoft.com/office/drawing/2014/chart" uri="{C3380CC4-5D6E-409C-BE32-E72D297353CC}">
                <c16:uniqueId val="{00000003-1662-4B89-ADDE-B1399DC5D74F}"/>
              </c:ext>
            </c:extLst>
          </c:dPt>
          <c:dPt>
            <c:idx val="4"/>
            <c:bubble3D val="0"/>
            <c:extLst>
              <c:ext xmlns:c16="http://schemas.microsoft.com/office/drawing/2014/chart" uri="{C3380CC4-5D6E-409C-BE32-E72D297353CC}">
                <c16:uniqueId val="{00000004-1662-4B89-ADDE-B1399DC5D74F}"/>
              </c:ext>
            </c:extLst>
          </c:dPt>
          <c:dPt>
            <c:idx val="5"/>
            <c:bubble3D val="0"/>
            <c:extLst>
              <c:ext xmlns:c16="http://schemas.microsoft.com/office/drawing/2014/chart" uri="{C3380CC4-5D6E-409C-BE32-E72D297353CC}">
                <c16:uniqueId val="{00000005-1662-4B89-ADDE-B1399DC5D74F}"/>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6715.08</c:v>
                </c:pt>
                <c:pt idx="1">
                  <c:v>0</c:v>
                </c:pt>
                <c:pt idx="2">
                  <c:v>0</c:v>
                </c:pt>
                <c:pt idx="3">
                  <c:v>0</c:v>
                </c:pt>
                <c:pt idx="4">
                  <c:v>0</c:v>
                </c:pt>
                <c:pt idx="5">
                  <c:v>0</c:v>
                </c:pt>
              </c:numCache>
            </c:numRef>
          </c:val>
          <c:extLst>
            <c:ext xmlns:c16="http://schemas.microsoft.com/office/drawing/2014/chart" uri="{C3380CC4-5D6E-409C-BE32-E72D297353CC}">
              <c16:uniqueId val="{00000006-1662-4B89-ADDE-B1399DC5D74F}"/>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171aa59a-c1b0-4cae-8b41-06b745297749}"/>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27C9-41ED-BFB4-9104EB55640D}"/>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27C9-41ED-BFB4-9104EB55640D}"/>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27C9-41ED-BFB4-9104EB55640D}"/>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27C9-41ED-BFB4-9104EB55640D}"/>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27C9-41ED-BFB4-9104EB55640D}"/>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7C9-41ED-BFB4-9104EB55640D}"/>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7C9-41ED-BFB4-9104EB55640D}"/>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6267.46</c:v>
                </c:pt>
                <c:pt idx="1">
                  <c:v>447.62</c:v>
                </c:pt>
                <c:pt idx="2">
                  <c:v>0</c:v>
                </c:pt>
                <c:pt idx="3">
                  <c:v>0</c:v>
                </c:pt>
                <c:pt idx="4">
                  <c:v>0</c:v>
                </c:pt>
              </c:numCache>
            </c:numRef>
          </c:val>
          <c:extLst>
            <c:ext xmlns:c16="http://schemas.microsoft.com/office/drawing/2014/chart" uri="{C3380CC4-5D6E-409C-BE32-E72D297353CC}">
              <c16:uniqueId val="{0000000A-27C9-41ED-BFB4-9104EB55640D}"/>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6b6d6869-c416-4138-a626-dfe4c650eac0}"/>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772</Words>
  <Characters>4404</Characters>
  <Application>Microsoft Office Word</Application>
  <DocSecurity>0</DocSecurity>
  <Lines>36</Lines>
  <Paragraphs>10</Paragraphs>
  <ScaleCrop>false</ScaleCrop>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24</cp:revision>
  <cp:lastPrinted>2020-08-07T11:39:00Z</cp:lastPrinted>
  <dcterms:created xsi:type="dcterms:W3CDTF">2017-07-11T15:16:00Z</dcterms:created>
  <dcterms:modified xsi:type="dcterms:W3CDTF">2025-08-27T02:50:00Z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79169EE9B4FD47F39E8215E13CBE902B_13</vt:lpwstr>
  </property>
  <property fmtid="{D5CDD505-2E9C-101B-9397-08002B2CF9AE}" pid="4" name="KSOTemplateDocerSaveRecord">
    <vt:lpwstr>eyJoZGlkIjoiOTQ0NDNjZjViZWIxMDQ1NDI4MTEyMTEyYWMyZGU1N2IiLCJ1c2VySWQiOiIxMzg5Mjc1NDg5In0=</vt:lpwstr>
  </property>
</Properties>
</file>