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8C4F7">
      <w:pPr>
        <w:jc w:val="center"/>
        <w:rPr>
          <w:rFonts w:ascii="仿宋_GB2312" w:eastAsia="仿宋_GB2312"/>
          <w:b/>
          <w:sz w:val="32"/>
          <w:szCs w:val="32"/>
        </w:rPr>
      </w:pPr>
    </w:p>
    <w:p w14:paraId="30E90B80">
      <w:pPr>
        <w:jc w:val="center"/>
        <w:rPr>
          <w:rFonts w:ascii="黑体" w:eastAsia="黑体"/>
          <w:sz w:val="72"/>
          <w:szCs w:val="72"/>
        </w:rPr>
      </w:pPr>
    </w:p>
    <w:p w14:paraId="776B0A2F">
      <w:pPr>
        <w:jc w:val="center"/>
        <w:rPr>
          <w:rFonts w:ascii="黑体" w:eastAsia="黑体"/>
          <w:sz w:val="72"/>
          <w:szCs w:val="72"/>
        </w:rPr>
      </w:pPr>
    </w:p>
    <w:p w14:paraId="6072A15C">
      <w:pPr>
        <w:jc w:val="center"/>
        <w:rPr>
          <w:rFonts w:ascii="黑体" w:eastAsia="黑体"/>
          <w:sz w:val="72"/>
          <w:szCs w:val="72"/>
        </w:rPr>
      </w:pPr>
    </w:p>
    <w:p w14:paraId="28A54308">
      <w:pPr>
        <w:jc w:val="center"/>
        <w:rPr>
          <w:rFonts w:ascii="黑体" w:eastAsia="黑体"/>
          <w:sz w:val="72"/>
          <w:szCs w:val="72"/>
        </w:rPr>
      </w:pPr>
    </w:p>
    <w:p w14:paraId="67094001">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68E945BF">
      <w:pPr>
        <w:jc w:val="center"/>
        <w:rPr>
          <w:rFonts w:ascii="黑体" w:eastAsia="黑体"/>
          <w:sz w:val="52"/>
          <w:szCs w:val="52"/>
        </w:rPr>
      </w:pPr>
    </w:p>
    <w:p w14:paraId="582592FE">
      <w:pPr>
        <w:jc w:val="center"/>
        <w:rPr>
          <w:rFonts w:ascii="黑体" w:eastAsia="黑体"/>
          <w:sz w:val="52"/>
          <w:szCs w:val="52"/>
        </w:rPr>
      </w:pPr>
    </w:p>
    <w:p w14:paraId="3484F59D">
      <w:pPr>
        <w:jc w:val="center"/>
        <w:rPr>
          <w:rFonts w:ascii="黑体" w:eastAsia="黑体"/>
          <w:sz w:val="52"/>
          <w:szCs w:val="52"/>
        </w:rPr>
      </w:pPr>
    </w:p>
    <w:p w14:paraId="6BCF4B9E">
      <w:pPr>
        <w:jc w:val="center"/>
        <w:rPr>
          <w:rFonts w:ascii="黑体" w:eastAsia="黑体"/>
          <w:sz w:val="52"/>
          <w:szCs w:val="52"/>
        </w:rPr>
      </w:pPr>
    </w:p>
    <w:p w14:paraId="0A94E676">
      <w:pPr>
        <w:jc w:val="center"/>
        <w:rPr>
          <w:rFonts w:ascii="黑体" w:eastAsia="黑体"/>
          <w:sz w:val="32"/>
          <w:szCs w:val="32"/>
        </w:rPr>
      </w:pPr>
    </w:p>
    <w:p w14:paraId="0D59EC4D">
      <w:pPr>
        <w:spacing w:line="500" w:lineRule="exact"/>
        <w:ind w:firstLine="645"/>
        <w:jc w:val="center"/>
        <w:rPr>
          <w:rFonts w:hint="eastAsia" w:ascii="宋体" w:hAnsi="宋体" w:cs="宋体"/>
          <w:b/>
          <w:bCs/>
          <w:kern w:val="0"/>
          <w:sz w:val="44"/>
          <w:szCs w:val="36"/>
        </w:rPr>
      </w:pPr>
      <w:r>
        <w:rPr>
          <w:rFonts w:hint="eastAsia" w:ascii="宋体" w:hAnsi="宋体" w:cs="宋体"/>
          <w:b/>
          <w:bCs/>
          <w:kern w:val="0"/>
          <w:sz w:val="44"/>
          <w:szCs w:val="36"/>
        </w:rPr>
        <w:t>目    录</w:t>
      </w:r>
    </w:p>
    <w:p w14:paraId="4DCAF8A0">
      <w:pPr>
        <w:spacing w:line="500" w:lineRule="exact"/>
        <w:ind w:firstLine="645"/>
        <w:jc w:val="center"/>
        <w:rPr>
          <w:rFonts w:hint="eastAsia" w:ascii="宋体" w:hAnsi="宋体" w:cs="宋体"/>
          <w:b/>
          <w:bCs/>
          <w:kern w:val="0"/>
          <w:sz w:val="36"/>
          <w:szCs w:val="36"/>
        </w:rPr>
      </w:pPr>
    </w:p>
    <w:p w14:paraId="7EB0E3D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6322C25E">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78780C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463B94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0C74C4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8C6332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6A6616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7F453C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33F20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7DE4AC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15E7C71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7CD34B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66D14C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71C2A8C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53D2952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0B069CF">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1AD7FAF9">
      <w:pPr>
        <w:tabs>
          <w:tab w:val="center" w:pos="6979"/>
        </w:tabs>
        <w:spacing w:before="156" w:beforeLines="50" w:after="156" w:afterLines="50"/>
        <w:jc w:val="center"/>
        <w:rPr>
          <w:rFonts w:hint="eastAsia" w:ascii="宋体" w:hAnsi="宋体" w:cs="宋体"/>
          <w:b/>
          <w:bCs/>
          <w:spacing w:val="40"/>
          <w:kern w:val="0"/>
          <w:sz w:val="32"/>
          <w:szCs w:val="32"/>
        </w:rPr>
      </w:pPr>
    </w:p>
    <w:p w14:paraId="6AC3F4F3">
      <w:pPr>
        <w:tabs>
          <w:tab w:val="center" w:pos="6979"/>
        </w:tabs>
        <w:spacing w:before="156" w:beforeLines="50" w:after="156" w:afterLines="50"/>
        <w:jc w:val="center"/>
        <w:rPr>
          <w:rFonts w:hint="eastAsia" w:ascii="宋体" w:hAnsi="宋体" w:cs="宋体"/>
          <w:b/>
          <w:bCs/>
          <w:spacing w:val="40"/>
          <w:kern w:val="0"/>
          <w:sz w:val="32"/>
          <w:szCs w:val="32"/>
        </w:rPr>
      </w:pPr>
    </w:p>
    <w:p w14:paraId="7A990DF4">
      <w:pPr>
        <w:tabs>
          <w:tab w:val="center" w:pos="6979"/>
        </w:tabs>
        <w:spacing w:before="156" w:beforeLines="50" w:after="156" w:afterLines="50"/>
        <w:jc w:val="center"/>
        <w:rPr>
          <w:rFonts w:hint="eastAsia" w:ascii="宋体" w:hAnsi="宋体" w:cs="宋体"/>
          <w:b/>
          <w:bCs/>
          <w:spacing w:val="40"/>
          <w:kern w:val="0"/>
          <w:sz w:val="32"/>
          <w:szCs w:val="32"/>
        </w:rPr>
      </w:pPr>
    </w:p>
    <w:p w14:paraId="5CB93742">
      <w:pPr>
        <w:tabs>
          <w:tab w:val="center" w:pos="6979"/>
        </w:tabs>
        <w:spacing w:before="156" w:beforeLines="50" w:after="156" w:afterLines="50"/>
        <w:jc w:val="center"/>
        <w:rPr>
          <w:rFonts w:hint="eastAsia" w:ascii="宋体" w:hAnsi="宋体" w:cs="宋体"/>
          <w:b/>
          <w:bCs/>
          <w:spacing w:val="40"/>
          <w:kern w:val="0"/>
          <w:sz w:val="32"/>
          <w:szCs w:val="32"/>
        </w:rPr>
      </w:pPr>
    </w:p>
    <w:p w14:paraId="4889D54A">
      <w:pPr>
        <w:tabs>
          <w:tab w:val="center" w:pos="6979"/>
        </w:tabs>
        <w:spacing w:before="156" w:beforeLines="50" w:after="156" w:afterLines="50"/>
        <w:jc w:val="center"/>
        <w:rPr>
          <w:rFonts w:hint="eastAsia" w:ascii="宋体" w:hAnsi="宋体" w:cs="宋体"/>
          <w:b/>
          <w:bCs/>
          <w:spacing w:val="40"/>
          <w:kern w:val="0"/>
          <w:sz w:val="32"/>
          <w:szCs w:val="32"/>
        </w:rPr>
      </w:pPr>
    </w:p>
    <w:p w14:paraId="6AC84A74">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20DD246D">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ECB2CC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3382D86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3DB544D5">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北京市宣武回民小学是北京市西城区教育委员会下属单位，内设教育中心、财务室、办公室、工会、</w:t>
      </w:r>
      <w:bookmarkStart w:id="0" w:name="_GoBack"/>
      <w:bookmarkEnd w:id="0"/>
      <w:r>
        <w:rPr>
          <w:rFonts w:hint="eastAsia" w:ascii="仿宋_GB2312" w:eastAsia="仿宋_GB2312"/>
          <w:sz w:val="28"/>
          <w:szCs w:val="28"/>
        </w:rPr>
        <w:t>支委会</w:t>
      </w:r>
      <w:r>
        <w:rPr>
          <w:rFonts w:hint="eastAsia" w:ascii="仿宋_GB2312" w:eastAsia="仿宋_GB2312"/>
          <w:sz w:val="28"/>
          <w:szCs w:val="28"/>
          <w:lang w:val="en-US" w:eastAsia="zh-CN"/>
        </w:rPr>
        <w:t>等</w:t>
      </w:r>
      <w:r>
        <w:rPr>
          <w:rFonts w:hint="eastAsia" w:ascii="仿宋_GB2312" w:eastAsia="仿宋_GB2312"/>
          <w:sz w:val="28"/>
          <w:szCs w:val="28"/>
        </w:rPr>
        <w:t>科室。主要职责是实施小学义务教育，促进基础教育发展。</w:t>
      </w:r>
    </w:p>
    <w:p w14:paraId="6E1E6F8D">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0AA5BB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9966.02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250.04万元，增长2.57%。</w:t>
      </w:r>
    </w:p>
    <w:p w14:paraId="428CB60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2B2FCF6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9966.02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250.04万元，增长2.57%。</w:t>
      </w:r>
    </w:p>
    <w:p w14:paraId="6434B0B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9966.02</w:t>
      </w:r>
      <w:r>
        <w:rPr>
          <w:rFonts w:hint="eastAsia" w:ascii="仿宋_GB2312" w:eastAsia="仿宋_GB2312"/>
          <w:sz w:val="28"/>
          <w:szCs w:val="28"/>
        </w:rPr>
        <w:t>万元，占收入合计的100%。其中：一般公共预算财政拨款收入</w:t>
      </w:r>
      <w:r>
        <w:rPr>
          <w:rFonts w:ascii="仿宋_GB2312" w:eastAsia="仿宋_GB2312"/>
          <w:sz w:val="28"/>
          <w:szCs w:val="28"/>
        </w:rPr>
        <w:t>9961.02</w:t>
      </w:r>
      <w:r>
        <w:rPr>
          <w:rFonts w:hint="eastAsia" w:ascii="仿宋_GB2312" w:eastAsia="仿宋_GB2312"/>
          <w:sz w:val="28"/>
          <w:szCs w:val="28"/>
        </w:rPr>
        <w:t>万元，占收入合计的99.95%；政府性基金预算财政拨款收入</w:t>
      </w:r>
      <w:r>
        <w:rPr>
          <w:rFonts w:ascii="仿宋_GB2312" w:eastAsia="仿宋_GB2312"/>
          <w:sz w:val="28"/>
          <w:szCs w:val="28"/>
        </w:rPr>
        <w:t>5</w:t>
      </w:r>
      <w:r>
        <w:rPr>
          <w:rFonts w:hint="eastAsia" w:ascii="仿宋_GB2312" w:eastAsia="仿宋_GB2312"/>
          <w:sz w:val="28"/>
          <w:szCs w:val="28"/>
        </w:rPr>
        <w:t>万元，占收入合计的0.05%；国有资本经营预算财政拨款收入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546BE71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4A8E622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535886D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063934E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5BAE689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367392FE">
      <w:pPr>
        <w:pStyle w:val="2"/>
        <w:jc w:val="center"/>
      </w:pPr>
      <w:r>
        <w:rPr>
          <w:rFonts w:hint="eastAsia" w:ascii="仿宋_GB2312" w:eastAsia="仿宋_GB2312"/>
          <w:color w:val="000000"/>
          <w:sz w:val="32"/>
        </w:rPr>
        <w:t>图1：收入决算</w:t>
      </w:r>
    </w:p>
    <w:p w14:paraId="0ADAF46A">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CDF4DB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DB4483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9966.02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250.04万元，增长2.57%，其中：基本支出</w:t>
      </w:r>
      <w:r>
        <w:rPr>
          <w:rFonts w:ascii="仿宋_GB2312" w:eastAsia="仿宋_GB2312"/>
          <w:sz w:val="28"/>
          <w:szCs w:val="28"/>
        </w:rPr>
        <w:t>8964.36</w:t>
      </w:r>
      <w:r>
        <w:rPr>
          <w:rFonts w:hint="eastAsia" w:ascii="仿宋_GB2312" w:eastAsia="仿宋_GB2312"/>
          <w:sz w:val="28"/>
          <w:szCs w:val="28"/>
        </w:rPr>
        <w:t>万元，占支出合计的89.95%；项目支出</w:t>
      </w:r>
      <w:r>
        <w:rPr>
          <w:rFonts w:ascii="仿宋_GB2312" w:eastAsia="仿宋_GB2312"/>
          <w:sz w:val="28"/>
          <w:szCs w:val="28"/>
        </w:rPr>
        <w:t>1001.66</w:t>
      </w:r>
      <w:r>
        <w:rPr>
          <w:rFonts w:hint="eastAsia" w:ascii="仿宋_GB2312" w:eastAsia="仿宋_GB2312"/>
          <w:sz w:val="28"/>
          <w:szCs w:val="28"/>
        </w:rPr>
        <w:t>万元，占支出合计的10.05%;上缴上级支出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9F0A2D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FA44B7B">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F06FD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EFF9A3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9966.02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250.04万元，增长2.57%。主要原因：扩班新增学生及设备。</w:t>
      </w:r>
    </w:p>
    <w:p w14:paraId="1ECC2DC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1A0550E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58FCD846">
      <w:pPr>
        <w:ind w:firstLine="560" w:firstLineChars="200"/>
        <w:jc w:val="left"/>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9961.02</w:t>
      </w:r>
      <w:r>
        <w:rPr>
          <w:rFonts w:hint="eastAsia" w:ascii="仿宋_GB2312" w:eastAsia="仿宋_GB2312"/>
          <w:sz w:val="28"/>
          <w:szCs w:val="28"/>
        </w:rPr>
        <w:t>万元，主要用于以下方面（按大类）：教育支出6963.84万元，占本年财政拨款支出69.91%；社会保障和就业支出1241.01万元，占本年财政拨款支出12.46%；卫生健康支出630.55万元，占本年财政拨款支出6.33%；住房保障支出1125.62万元，占本年财政拨款支出11.30%。</w:t>
      </w:r>
    </w:p>
    <w:p w14:paraId="7701DE0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DAFA24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1、“教育支出”（类）2024年度年初预算6720.07万元，2024年度决算6963.84万元，完成年初预算的103.63%。</w:t>
      </w:r>
    </w:p>
    <w:p w14:paraId="75F0B795">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2EBFC7C4">
      <w:pPr>
        <w:ind w:firstLine="560" w:firstLineChars="200"/>
        <w:jc w:val="left"/>
        <w:rPr>
          <w:rFonts w:ascii="仿宋_GB2312" w:eastAsia="仿宋_GB2312"/>
          <w:sz w:val="28"/>
          <w:szCs w:val="28"/>
        </w:rPr>
      </w:pPr>
      <w:r>
        <w:rPr>
          <w:rFonts w:hint="eastAsia" w:ascii="仿宋_GB2312" w:eastAsia="仿宋_GB2312"/>
          <w:sz w:val="28"/>
          <w:szCs w:val="28"/>
        </w:rPr>
        <w:t>“普通教育”（款）2024年度年初预算6693.57万元，2024年度决算6937.34万元，完成年初预算的103.64%。主要原因：扩班增加学生设备等支出；</w:t>
      </w:r>
    </w:p>
    <w:p w14:paraId="0E5F6EC4">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“进修及培训”（款）2024年度预算16.00万元，2024年度决算16.00万元，完成年初预算的100.00%；</w:t>
      </w:r>
    </w:p>
    <w:p w14:paraId="7E291065">
      <w:pPr>
        <w:spacing w:line="580" w:lineRule="exact"/>
        <w:ind w:firstLine="560" w:firstLineChars="200"/>
        <w:rPr>
          <w:rFonts w:ascii="仿宋_GB2312" w:eastAsia="仿宋_GB2312"/>
          <w:sz w:val="28"/>
          <w:szCs w:val="28"/>
        </w:rPr>
      </w:pPr>
      <w:r>
        <w:rPr>
          <w:rFonts w:hint="eastAsia" w:ascii="仿宋_GB2312" w:eastAsia="仿宋_GB2312"/>
          <w:sz w:val="28"/>
          <w:szCs w:val="28"/>
        </w:rPr>
        <w:t>“教育附加安排的支出”（款）2024年度预算10.50万元，2024年度决算10.50万元，完成年初预算的100.00%。</w:t>
      </w:r>
    </w:p>
    <w:p w14:paraId="0866DF91">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2、“社会保障和就业支出”(类)2024年度年初预算1251.86万元，2024年度决算1241.01万元，完成年初预算的99.13%。其中：</w:t>
      </w:r>
    </w:p>
    <w:p w14:paraId="6D9B6E4D">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“行政事业单位养老支出”（款）2024年度年初预算1251.86万元，2024年度决算1122.87万元，完成年初预算的89.70%。主要原因：根据相关规定核定基数，全年按实际支出养老保险，结余经费已上缴财政。</w:t>
      </w:r>
    </w:p>
    <w:p w14:paraId="7EE37BC0">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“抚恤”（款）2024年度年初预算0万元，2024年度决算118.13万元。主要原因：本年内有去世教师，年中申请追加丧葬抚恤金预算，按上级部门核定的标准支出。</w:t>
      </w:r>
    </w:p>
    <w:p w14:paraId="780F77A6">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3、“卫生健康支出”(类)2024年度年初预算600.19万元，2024年度决算630.55万元，完成年初预算的105.06%。其中：</w:t>
      </w:r>
    </w:p>
    <w:p w14:paraId="046E01BC">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“行政事业单位医疗”（款）2024年度年初预算600.19万元，2024年度决算630.55万元，完成年初预算的105.06%。主要原因：根据相关规定核定本年缴费基数，全年按实际支出，调整了年初预算，追加了医疗经费缺口。</w:t>
      </w:r>
    </w:p>
    <w:p w14:paraId="0B454877">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4、“住房保障支出”(类)2024年度年初预算1104.42万元，2024年度决算1125.62万元，完成年初预算的101.92%。其中：</w:t>
      </w:r>
    </w:p>
    <w:p w14:paraId="66D1312F">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“住房改革支出”（款）2024年度年初预算1104.42万元，2024年度决算1125.62万元，完成年初预算的101.92%。主要原因：根据相关规定核定本年缴费基数，全年按实际支出，调整了年初预算，追加了住房经费缺口。</w:t>
      </w:r>
    </w:p>
    <w:p w14:paraId="35B1F947">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07B4FB2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4514B3C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5</w:t>
      </w:r>
      <w:r>
        <w:rPr>
          <w:rFonts w:hint="eastAsia" w:ascii="仿宋_GB2312" w:eastAsia="仿宋_GB2312"/>
          <w:sz w:val="28"/>
          <w:szCs w:val="28"/>
        </w:rPr>
        <w:t>万元，主要用于以下方面（按大类）：其他支出5万元，占本年财政拨款支出100%。</w:t>
      </w:r>
    </w:p>
    <w:p w14:paraId="4641CF9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65C63FE1">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1、“其他支出”（类）2024年度年初预算5万元，2024年度决算5万元，完成年初预算的100%。其中：</w:t>
      </w:r>
    </w:p>
    <w:p w14:paraId="018D7B06">
      <w:pPr>
        <w:spacing w:line="580" w:lineRule="exact"/>
        <w:ind w:firstLine="560" w:firstLineChars="200"/>
        <w:rPr>
          <w:rFonts w:ascii="仿宋_GB2312" w:eastAsia="仿宋_GB2312"/>
          <w:sz w:val="28"/>
          <w:szCs w:val="28"/>
        </w:rPr>
      </w:pPr>
      <w:r>
        <w:rPr>
          <w:rFonts w:hint="eastAsia" w:ascii="仿宋_GB2312" w:eastAsia="仿宋_GB2312"/>
          <w:sz w:val="28"/>
          <w:szCs w:val="28"/>
        </w:rPr>
        <w:t>“彩票公益金安排的支出”（款）2024年度年初预算5万元，2024年度决算5万元，完成年初预算的100%。</w:t>
      </w:r>
    </w:p>
    <w:p w14:paraId="2BB55851">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709EBAC">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2A31F6F">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46F99D5F">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8964.36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1171A41">
      <w:pPr>
        <w:autoSpaceDE w:val="0"/>
        <w:autoSpaceDN w:val="0"/>
        <w:adjustRightInd w:val="0"/>
        <w:spacing w:line="580" w:lineRule="exact"/>
        <w:rPr>
          <w:rFonts w:hint="eastAsia" w:ascii="宋体" w:hAnsi="宋体"/>
          <w:b/>
          <w:spacing w:val="40"/>
          <w:sz w:val="32"/>
          <w:szCs w:val="32"/>
        </w:rPr>
      </w:pPr>
      <w:r>
        <w:rPr>
          <w:rFonts w:ascii="仿宋_GB2312" w:eastAsia="仿宋_GB2312"/>
          <w:b/>
          <w:sz w:val="32"/>
          <w:szCs w:val="32"/>
        </w:rPr>
        <w:tab/>
      </w:r>
    </w:p>
    <w:p w14:paraId="1E57312B">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1205F459">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97BB6E1">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6A238038">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1.因公出国（境）费用。本单位无此项经费。</w:t>
      </w:r>
    </w:p>
    <w:p w14:paraId="6EFAE42B">
      <w:pPr>
        <w:spacing w:line="560" w:lineRule="exact"/>
        <w:ind w:firstLine="600"/>
        <w:rPr>
          <w:rFonts w:ascii="仿宋_GB2312" w:eastAsia="仿宋_GB2312"/>
          <w:sz w:val="28"/>
          <w:szCs w:val="28"/>
        </w:rPr>
      </w:pPr>
      <w:r>
        <w:rPr>
          <w:rFonts w:hint="eastAsia" w:ascii="仿宋_GB2312" w:eastAsia="仿宋_GB2312"/>
          <w:sz w:val="28"/>
          <w:szCs w:val="28"/>
        </w:rPr>
        <w:t>2.公务接待费。本单位无此项经费。</w:t>
      </w:r>
    </w:p>
    <w:p w14:paraId="2A10412E">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3.公务用车购置及运行维护费。本单位无此项经费。</w:t>
      </w:r>
    </w:p>
    <w:p w14:paraId="4CA1496B">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628A6131">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71BF6E0A">
      <w:pPr>
        <w:ind w:left="540"/>
        <w:rPr>
          <w:rFonts w:ascii="黑体" w:eastAsia="黑体"/>
          <w:sz w:val="28"/>
          <w:szCs w:val="28"/>
        </w:rPr>
      </w:pPr>
      <w:r>
        <w:rPr>
          <w:rFonts w:hint="eastAsia" w:ascii="黑体" w:eastAsia="黑体"/>
          <w:sz w:val="28"/>
          <w:szCs w:val="28"/>
        </w:rPr>
        <w:t>三、政府采购支出情况</w:t>
      </w:r>
    </w:p>
    <w:p w14:paraId="57ED5C49">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489.49</w:t>
      </w:r>
      <w:r>
        <w:rPr>
          <w:rFonts w:hint="eastAsia" w:ascii="仿宋_GB2312" w:eastAsia="仿宋_GB2312"/>
          <w:sz w:val="28"/>
          <w:szCs w:val="28"/>
        </w:rPr>
        <w:t>万元，其中：政府采购货物支出</w:t>
      </w:r>
      <w:r>
        <w:rPr>
          <w:rFonts w:ascii="仿宋_GB2312" w:eastAsia="仿宋_GB2312"/>
          <w:sz w:val="28"/>
          <w:szCs w:val="28"/>
        </w:rPr>
        <w:t>69.22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420.27</w:t>
      </w:r>
      <w:r>
        <w:rPr>
          <w:rFonts w:hint="eastAsia" w:ascii="仿宋_GB2312" w:eastAsia="仿宋_GB2312"/>
          <w:sz w:val="28"/>
          <w:szCs w:val="28"/>
        </w:rPr>
        <w:t>万元。授予中小企业合同金额</w:t>
      </w:r>
      <w:r>
        <w:rPr>
          <w:rFonts w:ascii="仿宋_GB2312" w:eastAsia="仿宋_GB2312"/>
          <w:sz w:val="28"/>
          <w:szCs w:val="28"/>
        </w:rPr>
        <w:t>218.95</w:t>
      </w:r>
      <w:r>
        <w:rPr>
          <w:rFonts w:hint="eastAsia" w:ascii="仿宋_GB2312" w:eastAsia="仿宋_GB2312"/>
          <w:sz w:val="28"/>
          <w:szCs w:val="28"/>
        </w:rPr>
        <w:t>万元，占政府采购支出总额的44.73%，其中：授予小微企业合同金额</w:t>
      </w:r>
      <w:r>
        <w:rPr>
          <w:rFonts w:ascii="仿宋_GB2312" w:eastAsia="仿宋_GB2312"/>
          <w:sz w:val="28"/>
          <w:szCs w:val="28"/>
        </w:rPr>
        <w:t>218.95</w:t>
      </w:r>
      <w:r>
        <w:rPr>
          <w:rFonts w:hint="eastAsia" w:ascii="仿宋_GB2312" w:eastAsia="仿宋_GB2312"/>
          <w:sz w:val="28"/>
          <w:szCs w:val="28"/>
        </w:rPr>
        <w:t>万元，占政府采购支出总额的</w:t>
      </w:r>
      <w:r>
        <w:rPr>
          <w:rFonts w:ascii="仿宋_GB2312" w:eastAsia="仿宋_GB2312"/>
          <w:sz w:val="28"/>
          <w:szCs w:val="28"/>
        </w:rPr>
        <w:t>44.73</w:t>
      </w:r>
      <w:r>
        <w:rPr>
          <w:rFonts w:hint="eastAsia" w:ascii="仿宋_GB2312" w:eastAsia="仿宋_GB2312"/>
          <w:sz w:val="28"/>
          <w:szCs w:val="28"/>
        </w:rPr>
        <w:t>%。</w:t>
      </w:r>
    </w:p>
    <w:p w14:paraId="47FA30AA">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6429C2EC">
      <w:pPr>
        <w:ind w:firstLine="560" w:firstLineChars="200"/>
        <w:rPr>
          <w:rFonts w:ascii="仿宋_GB2312" w:eastAsia="仿宋_GB2312"/>
          <w:sz w:val="32"/>
          <w:szCs w:val="32"/>
        </w:rPr>
      </w:pPr>
      <w:r>
        <w:rPr>
          <w:rFonts w:hint="eastAsia" w:ascii="仿宋_GB2312" w:eastAsia="仿宋_GB2312"/>
          <w:sz w:val="28"/>
          <w:szCs w:val="28"/>
        </w:rPr>
        <w:t>截至12月31日，北京市宣武回民小学共有车辆0台；单位价值100万元（含）以上的设备0台（套）。</w:t>
      </w:r>
    </w:p>
    <w:p w14:paraId="3127B76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BB45BFC">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3139C3C4">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017FB4A">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3100B7F">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995B0CD">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EAC5BA7">
      <w:pPr>
        <w:ind w:firstLine="560" w:firstLineChars="200"/>
        <w:jc w:val="left"/>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544E278">
      <w:pPr>
        <w:ind w:firstLine="700" w:firstLineChars="250"/>
        <w:jc w:val="left"/>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EB0F667">
      <w:pPr>
        <w:ind w:firstLine="560" w:firstLineChars="200"/>
        <w:jc w:val="left"/>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5E99AF7">
      <w:pPr>
        <w:ind w:firstLine="560" w:firstLineChars="200"/>
        <w:jc w:val="left"/>
        <w:rPr>
          <w:rFonts w:ascii="仿宋_GB2312" w:eastAsia="仿宋_GB2312"/>
          <w:sz w:val="28"/>
          <w:szCs w:val="28"/>
        </w:rPr>
      </w:pPr>
      <w:r>
        <w:rPr>
          <w:rFonts w:hint="eastAsia" w:ascii="仿宋_GB2312" w:eastAsia="仿宋_GB2312"/>
          <w:sz w:val="28"/>
          <w:szCs w:val="28"/>
        </w:rPr>
        <w:t>7.教育支出（类）普通教育（款）小学教育（项）：反映本部门举办的小学教育支出。</w:t>
      </w:r>
    </w:p>
    <w:p w14:paraId="1DEAF5DC">
      <w:pPr>
        <w:ind w:firstLine="560" w:firstLineChars="200"/>
        <w:jc w:val="left"/>
        <w:rPr>
          <w:rFonts w:ascii="仿宋_GB2312" w:eastAsia="仿宋_GB2312"/>
          <w:sz w:val="28"/>
          <w:szCs w:val="28"/>
        </w:rPr>
      </w:pPr>
      <w:r>
        <w:rPr>
          <w:rFonts w:hint="eastAsia" w:ascii="仿宋_GB2312" w:eastAsia="仿宋_GB2312"/>
          <w:sz w:val="28"/>
          <w:szCs w:val="28"/>
        </w:rPr>
        <w:t>8.教育支出（类）进修及培训（款）教师进修（项）：反映教师进修、师资培训教育支出。</w:t>
      </w:r>
    </w:p>
    <w:p w14:paraId="59E6C3C6">
      <w:pPr>
        <w:ind w:firstLine="560" w:firstLineChars="200"/>
        <w:jc w:val="left"/>
        <w:rPr>
          <w:rFonts w:ascii="仿宋_GB2312" w:eastAsia="仿宋_GB2312"/>
          <w:sz w:val="28"/>
          <w:szCs w:val="28"/>
        </w:rPr>
      </w:pPr>
      <w:r>
        <w:rPr>
          <w:rFonts w:hint="eastAsia" w:ascii="仿宋_GB2312" w:eastAsia="仿宋_GB2312"/>
          <w:sz w:val="28"/>
          <w:szCs w:val="28"/>
        </w:rPr>
        <w:t>9.教育支出（类）进修及培训（款）培训支出（项）：反映本部门安排的用于培训的支出。</w:t>
      </w:r>
    </w:p>
    <w:p w14:paraId="04F16E61">
      <w:pPr>
        <w:ind w:firstLine="420" w:firstLineChars="150"/>
        <w:rPr>
          <w:rFonts w:ascii="仿宋_GB2312" w:eastAsia="仿宋_GB2312"/>
          <w:sz w:val="28"/>
          <w:szCs w:val="28"/>
        </w:rPr>
      </w:pPr>
      <w:r>
        <w:rPr>
          <w:rFonts w:hint="eastAsia" w:ascii="仿宋_GB2312" w:eastAsia="仿宋_GB2312"/>
          <w:sz w:val="28"/>
          <w:szCs w:val="28"/>
        </w:rPr>
        <w:t>10.教育支出（类）教育费附加安排的支出（款）城市中小学校舍建设（项）：反映教育费附加安排用于城市中小学校舍新建、改建、修缮和维护的支出。</w:t>
      </w:r>
    </w:p>
    <w:p w14:paraId="3D2444D9">
      <w:pPr>
        <w:ind w:firstLine="560" w:firstLineChars="200"/>
        <w:jc w:val="left"/>
        <w:rPr>
          <w:rFonts w:ascii="仿宋_GB2312" w:hAnsi="宋体" w:eastAsia="仿宋_GB2312"/>
          <w:sz w:val="28"/>
          <w:szCs w:val="28"/>
        </w:rPr>
      </w:pPr>
      <w:r>
        <w:rPr>
          <w:rFonts w:hint="eastAsia" w:ascii="仿宋_GB2312" w:eastAsia="仿宋_GB2312"/>
          <w:sz w:val="28"/>
          <w:szCs w:val="28"/>
        </w:rPr>
        <w:t>11.教育支出（类）教育费附加安排的支出（款）城市中小学教学设施（项）：反映教育费附加安排用于改善城市中小学</w:t>
      </w:r>
      <w:r>
        <w:rPr>
          <w:rFonts w:hint="eastAsia" w:ascii="仿宋_GB2312" w:hAnsi="宋体" w:eastAsia="仿宋_GB2312"/>
          <w:sz w:val="28"/>
          <w:szCs w:val="28"/>
        </w:rPr>
        <w:t>教学设施和办学条件的支出。</w:t>
      </w:r>
    </w:p>
    <w:p w14:paraId="337208DB">
      <w:pPr>
        <w:ind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  12.教育支出（类）教育费附加安排的支出（款）其他教育费附加安排的支出（项）：反映除上述项目以外的教育费附加支出。</w:t>
      </w:r>
    </w:p>
    <w:p w14:paraId="38CA9319">
      <w:pPr>
        <w:ind w:firstLine="560" w:firstLineChars="200"/>
        <w:jc w:val="left"/>
        <w:rPr>
          <w:rFonts w:ascii="仿宋_GB2312" w:hAnsi="宋体" w:eastAsia="仿宋_GB2312"/>
          <w:sz w:val="28"/>
          <w:szCs w:val="28"/>
        </w:rPr>
      </w:pPr>
      <w:r>
        <w:rPr>
          <w:rFonts w:hint="eastAsia" w:ascii="仿宋_GB2312" w:hAnsi="宋体" w:eastAsia="仿宋_GB2312"/>
          <w:sz w:val="28"/>
          <w:szCs w:val="28"/>
        </w:rPr>
        <w:t>13.社会保障和就业支出（类）行政事业单位养老支出（款）事业单位离退休（项）：反映事业单位开支的离退休经费。</w:t>
      </w:r>
    </w:p>
    <w:p w14:paraId="4E7A023E">
      <w:pPr>
        <w:ind w:firstLine="560" w:firstLineChars="200"/>
        <w:jc w:val="left"/>
        <w:rPr>
          <w:rFonts w:ascii="仿宋_GB2312" w:hAnsi="宋体" w:eastAsia="仿宋_GB2312"/>
          <w:sz w:val="28"/>
          <w:szCs w:val="28"/>
        </w:rPr>
      </w:pPr>
      <w:r>
        <w:rPr>
          <w:rFonts w:hint="eastAsia" w:ascii="仿宋_GB2312" w:hAnsi="宋体" w:eastAsia="仿宋_GB2312"/>
          <w:sz w:val="28"/>
          <w:szCs w:val="28"/>
        </w:rPr>
        <w:t>14.社会保障和就业支出（类）行政事业单位养老支出（款）机关事业单位基本养老保险缴费支出（项）：反映机关事业单位实施养老保险制度由单位缴纳的基本养老保险费支出。</w:t>
      </w:r>
    </w:p>
    <w:p w14:paraId="39B4EE66">
      <w:pPr>
        <w:ind w:firstLine="560" w:firstLineChars="200"/>
        <w:jc w:val="left"/>
        <w:rPr>
          <w:rFonts w:ascii="仿宋_GB2312" w:hAnsi="宋体" w:eastAsia="仿宋_GB2312"/>
          <w:sz w:val="28"/>
          <w:szCs w:val="28"/>
        </w:rPr>
      </w:pPr>
      <w:r>
        <w:rPr>
          <w:rFonts w:hint="eastAsia" w:ascii="仿宋_GB2312" w:hAnsi="宋体" w:eastAsia="仿宋_GB2312"/>
          <w:sz w:val="28"/>
          <w:szCs w:val="28"/>
        </w:rPr>
        <w:t>15.社会保障和就业支出（类）行政事业单位养老支出（款）机关事业单位职业年金缴费支出（项）：反映机关事业单位实施养老保险制度由单位实际缴纳的职业年金支出。</w:t>
      </w:r>
    </w:p>
    <w:p w14:paraId="6D2A8BC7">
      <w:pPr>
        <w:ind w:firstLine="560" w:firstLineChars="200"/>
        <w:jc w:val="left"/>
        <w:rPr>
          <w:rFonts w:ascii="仿宋_GB2312" w:hAnsi="宋体" w:eastAsia="仿宋_GB2312"/>
          <w:sz w:val="28"/>
          <w:szCs w:val="28"/>
        </w:rPr>
      </w:pPr>
      <w:r>
        <w:rPr>
          <w:rFonts w:hint="eastAsia" w:ascii="仿宋_GB2312" w:hAnsi="宋体" w:eastAsia="仿宋_GB2312"/>
          <w:sz w:val="28"/>
          <w:szCs w:val="28"/>
        </w:rPr>
        <w:t>16.社会保障和就业支出（类）抚恤（款）死亡抚恤（项）：反映按规定用于烈士和牺牲、病故人员家属的一次性和定期抚恤金、丧葬补助费以及烈士褒扬金。</w:t>
      </w:r>
    </w:p>
    <w:p w14:paraId="14415180">
      <w:pPr>
        <w:ind w:firstLine="560" w:firstLineChars="200"/>
        <w:jc w:val="left"/>
        <w:rPr>
          <w:rFonts w:ascii="仿宋_GB2312" w:hAnsi="宋体" w:eastAsia="仿宋_GB2312"/>
          <w:sz w:val="28"/>
          <w:szCs w:val="28"/>
        </w:rPr>
      </w:pPr>
      <w:r>
        <w:rPr>
          <w:rFonts w:hint="eastAsia" w:ascii="仿宋_GB2312" w:hAnsi="宋体" w:eastAsia="仿宋_GB2312"/>
          <w:sz w:val="28"/>
          <w:szCs w:val="28"/>
        </w:rPr>
        <w:t>17.卫生健康支出（类）行政事业单位医疗（款）事业单位医疗（项）：反映财政部门安排的事业单位基本医疗保险缴费经费，未参加医疗保险的事业单位的公费医疗经费，按国家规定享受离休人员待遇的医疗经费。</w:t>
      </w:r>
    </w:p>
    <w:p w14:paraId="28E046E3">
      <w:pPr>
        <w:ind w:firstLine="560" w:firstLineChars="200"/>
        <w:jc w:val="left"/>
        <w:rPr>
          <w:rFonts w:ascii="仿宋_GB2312" w:hAnsi="宋体" w:eastAsia="仿宋_GB2312"/>
          <w:sz w:val="28"/>
          <w:szCs w:val="28"/>
        </w:rPr>
      </w:pPr>
      <w:r>
        <w:rPr>
          <w:rFonts w:hint="eastAsia" w:ascii="仿宋_GB2312" w:hAnsi="宋体" w:eastAsia="仿宋_GB2312"/>
          <w:sz w:val="28"/>
          <w:szCs w:val="28"/>
        </w:rPr>
        <w:t>18.住房保障支出（类）住房改革支出（款）住房公积金（项）：反映行政事业单位按人力资源和社会保障部、财政部规定的基本工资和津贴补贴以及规定比例为职工缴纳的住房公积金。</w:t>
      </w:r>
    </w:p>
    <w:p w14:paraId="3F0C2C76">
      <w:pPr>
        <w:ind w:firstLine="560" w:firstLineChars="200"/>
        <w:jc w:val="left"/>
        <w:rPr>
          <w:rFonts w:ascii="仿宋_GB2312" w:hAnsi="宋体" w:eastAsia="仿宋_GB2312"/>
          <w:sz w:val="28"/>
          <w:szCs w:val="28"/>
        </w:rPr>
      </w:pPr>
      <w:r>
        <w:rPr>
          <w:rFonts w:hint="eastAsia" w:ascii="仿宋_GB2312" w:hAnsi="宋体" w:eastAsia="仿宋_GB2312"/>
          <w:sz w:val="28"/>
          <w:szCs w:val="28"/>
        </w:rPr>
        <w:t>19.其他支出（类）彩票公益金安排的支出（款）用于体育事业的彩票公益金支出（项）：反映用于体育事业的彩票公益金支出。</w:t>
      </w:r>
    </w:p>
    <w:p w14:paraId="511274F8">
      <w:pPr>
        <w:rPr>
          <w:rFonts w:ascii="黑体" w:eastAsia="黑体"/>
          <w:sz w:val="32"/>
          <w:szCs w:val="32"/>
        </w:rPr>
      </w:pPr>
    </w:p>
    <w:p w14:paraId="4C1E4095">
      <w:pPr>
        <w:rPr>
          <w:rFonts w:ascii="黑体" w:eastAsia="黑体"/>
          <w:sz w:val="32"/>
          <w:szCs w:val="32"/>
        </w:rPr>
      </w:pPr>
    </w:p>
    <w:p w14:paraId="3FA082F3">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0BCC708F">
      <w:pPr>
        <w:ind w:firstLine="560" w:firstLineChars="200"/>
        <w:rPr>
          <w:rFonts w:ascii="黑体" w:eastAsia="黑体"/>
          <w:sz w:val="28"/>
          <w:szCs w:val="28"/>
          <w:highlight w:val="yellow"/>
        </w:rPr>
      </w:pPr>
    </w:p>
    <w:p w14:paraId="3D06CDFB">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4918DA38">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59786D7C">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7C0D1166">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1C6170B7">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612DDD4B">
      <w:pPr>
        <w:spacing w:line="480" w:lineRule="exact"/>
        <w:rPr>
          <w:rFonts w:ascii="仿宋_GB2312" w:hAnsi="仿宋_GB2312" w:eastAsia="仿宋_GB2312" w:cs="仿宋_GB2312"/>
          <w:sz w:val="32"/>
          <w:szCs w:val="32"/>
        </w:rPr>
      </w:pPr>
    </w:p>
    <w:p w14:paraId="378F64A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0EAD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F7F1BD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0605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41CEE9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6B2C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B96197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99D"/>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44D3"/>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4C8B"/>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3A0D"/>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77068"/>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E704E0"/>
    <w:rsid w:val="04C3537C"/>
    <w:rsid w:val="075C1AB8"/>
    <w:rsid w:val="079004AC"/>
    <w:rsid w:val="0BA148CA"/>
    <w:rsid w:val="0C1165C4"/>
    <w:rsid w:val="0D6D544B"/>
    <w:rsid w:val="0DD136FE"/>
    <w:rsid w:val="0EC266B0"/>
    <w:rsid w:val="0F613929"/>
    <w:rsid w:val="0F8E2C57"/>
    <w:rsid w:val="1059665E"/>
    <w:rsid w:val="10AC13BA"/>
    <w:rsid w:val="13934C02"/>
    <w:rsid w:val="145A6C1B"/>
    <w:rsid w:val="14B73493"/>
    <w:rsid w:val="167A2FF9"/>
    <w:rsid w:val="18581C69"/>
    <w:rsid w:val="1AD429A9"/>
    <w:rsid w:val="1AEC0734"/>
    <w:rsid w:val="1D037201"/>
    <w:rsid w:val="1DEF20B0"/>
    <w:rsid w:val="202E527E"/>
    <w:rsid w:val="214243FA"/>
    <w:rsid w:val="21AD613C"/>
    <w:rsid w:val="22467189"/>
    <w:rsid w:val="257A14F5"/>
    <w:rsid w:val="266A5519"/>
    <w:rsid w:val="27196C26"/>
    <w:rsid w:val="27E3389B"/>
    <w:rsid w:val="29EF086F"/>
    <w:rsid w:val="2D073FD7"/>
    <w:rsid w:val="2D662895"/>
    <w:rsid w:val="2E54554C"/>
    <w:rsid w:val="2EFFE297"/>
    <w:rsid w:val="301437CA"/>
    <w:rsid w:val="31A63175"/>
    <w:rsid w:val="322A618B"/>
    <w:rsid w:val="33722AEB"/>
    <w:rsid w:val="349D1F0A"/>
    <w:rsid w:val="34DD0473"/>
    <w:rsid w:val="35062E44"/>
    <w:rsid w:val="3949339B"/>
    <w:rsid w:val="39CB1838"/>
    <w:rsid w:val="3C684897"/>
    <w:rsid w:val="3CE96BAC"/>
    <w:rsid w:val="3D656AC3"/>
    <w:rsid w:val="3EF335E1"/>
    <w:rsid w:val="3FBE76DB"/>
    <w:rsid w:val="41AA5C4C"/>
    <w:rsid w:val="433E495C"/>
    <w:rsid w:val="456B17F7"/>
    <w:rsid w:val="489F2FD7"/>
    <w:rsid w:val="4AC27CB3"/>
    <w:rsid w:val="4B6939AC"/>
    <w:rsid w:val="4BF72BEF"/>
    <w:rsid w:val="4FA90297"/>
    <w:rsid w:val="4FC41A43"/>
    <w:rsid w:val="51DB3C59"/>
    <w:rsid w:val="53ED0E1F"/>
    <w:rsid w:val="550C0952"/>
    <w:rsid w:val="55611B79"/>
    <w:rsid w:val="55762E42"/>
    <w:rsid w:val="57A7B272"/>
    <w:rsid w:val="58470068"/>
    <w:rsid w:val="58747CAC"/>
    <w:rsid w:val="58DE6E1D"/>
    <w:rsid w:val="5A1720F9"/>
    <w:rsid w:val="5B9C37C2"/>
    <w:rsid w:val="5BA7C654"/>
    <w:rsid w:val="60A54109"/>
    <w:rsid w:val="61D01CDF"/>
    <w:rsid w:val="626F1C43"/>
    <w:rsid w:val="64C0607C"/>
    <w:rsid w:val="65756C86"/>
    <w:rsid w:val="666F658D"/>
    <w:rsid w:val="674D385B"/>
    <w:rsid w:val="676F09E1"/>
    <w:rsid w:val="6CFC4BE2"/>
    <w:rsid w:val="6D050DAB"/>
    <w:rsid w:val="6F8A1A3C"/>
    <w:rsid w:val="70C779ED"/>
    <w:rsid w:val="71793A80"/>
    <w:rsid w:val="7357290B"/>
    <w:rsid w:val="79345C92"/>
    <w:rsid w:val="798524E4"/>
    <w:rsid w:val="7A7F1C49"/>
    <w:rsid w:val="7B5B7AE6"/>
    <w:rsid w:val="7B7B6628"/>
    <w:rsid w:val="7BA7071E"/>
    <w:rsid w:val="7BDF6DA8"/>
    <w:rsid w:val="7C7EDC1A"/>
    <w:rsid w:val="7CCED98D"/>
    <w:rsid w:val="7D08410F"/>
    <w:rsid w:val="7DB96DED"/>
    <w:rsid w:val="7DC7081A"/>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9966.02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4dae037-d28f-4b9c-9dab-d62e0ccbb8da}"/>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8964.36</c:v>
                </c:pt>
                <c:pt idx="1">
                  <c:v>1001.66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8d37287-d465-440e-945e-65f8b499f0d0}"/>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4254</Words>
  <Characters>4825</Characters>
  <Lines>35</Lines>
  <Paragraphs>9</Paragraphs>
  <TotalTime>43</TotalTime>
  <ScaleCrop>false</ScaleCrop>
  <LinksUpToDate>false</LinksUpToDate>
  <CharactersWithSpaces>4848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牛奶咖啡豆</cp:lastModifiedBy>
  <cp:lastPrinted>2020-08-07T11:39:00Z</cp:lastPrinted>
  <dcterms:modified xsi:type="dcterms:W3CDTF">2025-08-27T08:48:52Z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BCA6434C748A4211AA557B6D4AB1AB10_13</vt:lpwstr>
  </property>
  <property fmtid="{D5CDD505-2E9C-101B-9397-08002B2CF9AE}" pid="4" name="KSOTemplateDocerSaveRecord">
    <vt:lpwstr>eyJoZGlkIjoiMmI1NWQ0NDBmNTkyZmZhYjk1ZTE2OWIxNzU5ZDljNjEiLCJ1c2VySWQiOiI1MzAwMjAyMjIifQ==</vt:lpwstr>
  </property>
</Properties>
</file>