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B55" w:rsidRDefault="00204B55">
      <w:pPr>
        <w:jc w:val="center"/>
        <w:rPr>
          <w:rFonts w:ascii="仿宋_GB2312" w:eastAsia="仿宋_GB2312"/>
          <w:b/>
          <w:sz w:val="32"/>
          <w:szCs w:val="32"/>
        </w:rPr>
      </w:pPr>
    </w:p>
    <w:p w:rsidR="00204B55" w:rsidRDefault="00204B55">
      <w:pPr>
        <w:jc w:val="center"/>
        <w:rPr>
          <w:rFonts w:ascii="黑体" w:eastAsia="黑体"/>
          <w:sz w:val="72"/>
          <w:szCs w:val="72"/>
        </w:rPr>
      </w:pPr>
    </w:p>
    <w:p w:rsidR="00204B55" w:rsidRDefault="00204B55">
      <w:pPr>
        <w:jc w:val="center"/>
        <w:rPr>
          <w:rFonts w:ascii="黑体" w:eastAsia="黑体"/>
          <w:sz w:val="72"/>
          <w:szCs w:val="72"/>
        </w:rPr>
      </w:pPr>
    </w:p>
    <w:p w:rsidR="00204B55" w:rsidRDefault="00204B55">
      <w:pPr>
        <w:jc w:val="center"/>
        <w:rPr>
          <w:rFonts w:ascii="黑体" w:eastAsia="黑体"/>
          <w:sz w:val="72"/>
          <w:szCs w:val="72"/>
        </w:rPr>
      </w:pPr>
    </w:p>
    <w:p w:rsidR="00204B55" w:rsidRDefault="00204B55">
      <w:pPr>
        <w:jc w:val="center"/>
        <w:rPr>
          <w:rFonts w:ascii="黑体" w:eastAsia="黑体"/>
          <w:sz w:val="72"/>
          <w:szCs w:val="72"/>
        </w:rPr>
      </w:pPr>
    </w:p>
    <w:p w:rsidR="00204B55" w:rsidRDefault="00DC02ED">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204B55" w:rsidRDefault="00204B55">
      <w:pPr>
        <w:jc w:val="center"/>
        <w:rPr>
          <w:rFonts w:ascii="黑体" w:eastAsia="黑体"/>
          <w:sz w:val="52"/>
          <w:szCs w:val="52"/>
        </w:rPr>
      </w:pPr>
    </w:p>
    <w:p w:rsidR="00204B55" w:rsidRDefault="00204B55">
      <w:pPr>
        <w:jc w:val="center"/>
        <w:rPr>
          <w:rFonts w:ascii="黑体" w:eastAsia="黑体"/>
          <w:sz w:val="52"/>
          <w:szCs w:val="52"/>
        </w:rPr>
      </w:pPr>
    </w:p>
    <w:p w:rsidR="00204B55" w:rsidRDefault="00204B55">
      <w:pPr>
        <w:jc w:val="center"/>
        <w:rPr>
          <w:rFonts w:ascii="黑体" w:eastAsia="黑体"/>
          <w:sz w:val="52"/>
          <w:szCs w:val="52"/>
        </w:rPr>
      </w:pPr>
    </w:p>
    <w:p w:rsidR="00204B55" w:rsidRDefault="00204B55">
      <w:pPr>
        <w:jc w:val="center"/>
        <w:rPr>
          <w:rFonts w:ascii="黑体" w:eastAsia="黑体"/>
          <w:sz w:val="52"/>
          <w:szCs w:val="52"/>
        </w:rPr>
      </w:pPr>
    </w:p>
    <w:p w:rsidR="00204B55" w:rsidRDefault="00204B55">
      <w:pPr>
        <w:jc w:val="center"/>
        <w:rPr>
          <w:rFonts w:ascii="黑体" w:eastAsia="黑体"/>
          <w:sz w:val="32"/>
          <w:szCs w:val="32"/>
        </w:rPr>
      </w:pPr>
    </w:p>
    <w:p w:rsidR="00204B55" w:rsidRDefault="00DC02E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204B55" w:rsidRDefault="00204B55">
      <w:pPr>
        <w:spacing w:line="500" w:lineRule="exact"/>
        <w:ind w:firstLine="645"/>
        <w:jc w:val="center"/>
        <w:rPr>
          <w:rFonts w:ascii="宋体" w:hAnsi="宋体" w:cs="宋体"/>
          <w:b/>
          <w:bCs/>
          <w:kern w:val="0"/>
          <w:sz w:val="36"/>
          <w:szCs w:val="36"/>
        </w:rPr>
      </w:pPr>
    </w:p>
    <w:p w:rsidR="00204B55" w:rsidRDefault="00DC02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204B55" w:rsidRDefault="00DC02E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04B55" w:rsidRDefault="00DC02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204B55" w:rsidRDefault="00DC02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204B55" w:rsidRDefault="00DC02E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204B55" w:rsidRDefault="00DC02E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204B55" w:rsidRDefault="00204B55">
      <w:pPr>
        <w:tabs>
          <w:tab w:val="center" w:pos="6979"/>
        </w:tabs>
        <w:spacing w:beforeLines="50" w:before="156" w:afterLines="50" w:after="156"/>
        <w:jc w:val="center"/>
        <w:rPr>
          <w:rFonts w:ascii="宋体" w:hAnsi="宋体" w:cs="宋体"/>
          <w:b/>
          <w:bCs/>
          <w:spacing w:val="40"/>
          <w:kern w:val="0"/>
          <w:sz w:val="32"/>
          <w:szCs w:val="32"/>
        </w:rPr>
      </w:pPr>
    </w:p>
    <w:p w:rsidR="00204B55" w:rsidRDefault="00204B55">
      <w:pPr>
        <w:tabs>
          <w:tab w:val="center" w:pos="6979"/>
        </w:tabs>
        <w:spacing w:beforeLines="50" w:before="156" w:afterLines="50" w:after="156"/>
        <w:jc w:val="center"/>
        <w:rPr>
          <w:rFonts w:ascii="宋体" w:hAnsi="宋体" w:cs="宋体"/>
          <w:b/>
          <w:bCs/>
          <w:spacing w:val="40"/>
          <w:kern w:val="0"/>
          <w:sz w:val="32"/>
          <w:szCs w:val="32"/>
        </w:rPr>
      </w:pPr>
    </w:p>
    <w:p w:rsidR="00204B55" w:rsidRDefault="00204B55">
      <w:pPr>
        <w:tabs>
          <w:tab w:val="center" w:pos="6979"/>
        </w:tabs>
        <w:spacing w:beforeLines="50" w:before="156" w:afterLines="50" w:after="156"/>
        <w:jc w:val="center"/>
        <w:rPr>
          <w:rFonts w:ascii="宋体" w:hAnsi="宋体" w:cs="宋体"/>
          <w:b/>
          <w:bCs/>
          <w:spacing w:val="40"/>
          <w:kern w:val="0"/>
          <w:sz w:val="32"/>
          <w:szCs w:val="32"/>
        </w:rPr>
      </w:pPr>
    </w:p>
    <w:p w:rsidR="00204B55" w:rsidRDefault="00204B55">
      <w:pPr>
        <w:tabs>
          <w:tab w:val="center" w:pos="6979"/>
        </w:tabs>
        <w:spacing w:beforeLines="50" w:before="156" w:afterLines="50" w:after="156"/>
        <w:jc w:val="center"/>
        <w:rPr>
          <w:rFonts w:ascii="宋体" w:hAnsi="宋体" w:cs="宋体"/>
          <w:b/>
          <w:bCs/>
          <w:spacing w:val="40"/>
          <w:kern w:val="0"/>
          <w:sz w:val="32"/>
          <w:szCs w:val="32"/>
        </w:rPr>
      </w:pPr>
    </w:p>
    <w:p w:rsidR="00204B55" w:rsidRDefault="00204B55">
      <w:pPr>
        <w:tabs>
          <w:tab w:val="center" w:pos="6979"/>
        </w:tabs>
        <w:spacing w:beforeLines="50" w:before="156" w:afterLines="50" w:after="156"/>
        <w:jc w:val="center"/>
        <w:rPr>
          <w:rFonts w:ascii="宋体" w:hAnsi="宋体" w:cs="宋体"/>
          <w:b/>
          <w:bCs/>
          <w:spacing w:val="40"/>
          <w:kern w:val="0"/>
          <w:sz w:val="32"/>
          <w:szCs w:val="32"/>
        </w:rPr>
      </w:pPr>
    </w:p>
    <w:p w:rsidR="00204B55" w:rsidRDefault="00DC02E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204B55" w:rsidRDefault="00DC02ED">
      <w:pPr>
        <w:pStyle w:val="2"/>
        <w:rPr>
          <w:b w:val="0"/>
          <w:bCs w:val="0"/>
        </w:rPr>
        <w:sectPr w:rsidR="00204B5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04B55" w:rsidRDefault="00DC02E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204B55" w:rsidRDefault="00DC02E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我校属于西城区教育委会主办的教育事业单位。主要职责是：</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．全面贯彻教育工作的路线、方针、政策</w:t>
      </w:r>
      <w:r>
        <w:rPr>
          <w:rFonts w:ascii="仿宋_GB2312" w:eastAsia="仿宋_GB2312" w:hint="eastAsia"/>
          <w:sz w:val="28"/>
          <w:szCs w:val="28"/>
        </w:rPr>
        <w:t>,</w:t>
      </w:r>
      <w:r>
        <w:rPr>
          <w:rFonts w:ascii="仿宋_GB2312" w:eastAsia="仿宋_GB2312" w:hint="eastAsia"/>
          <w:sz w:val="28"/>
          <w:szCs w:val="28"/>
        </w:rPr>
        <w:t>全面推进素质教育和现代化教育。</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．制定学校中长期发展规划和年度计划，并组织实施；负责指导高学历人才培养工作。</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．把德育放在首位，坚持教书育人、管理育人、服务育人、环境育人。制定德育工作计划，建设德育工作骨干队伍，采取切实措施，坚持不懈地加强对学生的思想、政治、品德教育。</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．坚持以教学为主，认真履行与教育主管部门签订的教育教学质量目标责任书。遵循教学规律组织教学，建立和完善教学管理制度，搞好教学常规管理。</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．组织和领导体育、卫生、美育、劳动教育工作及课外教育活动</w:t>
      </w:r>
      <w:r>
        <w:rPr>
          <w:rFonts w:ascii="仿宋_GB2312" w:eastAsia="仿宋_GB2312" w:hint="eastAsia"/>
          <w:sz w:val="28"/>
          <w:szCs w:val="28"/>
        </w:rPr>
        <w:t>。</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．贯彻勤俭办学原则，严格管理校产和财务，搞好校园建设，关心学生和教职工的生活，逐步改善办学条件。</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机构设置：本单位下设教导处、总务处两个部门。</w:t>
      </w:r>
    </w:p>
    <w:p w:rsidR="00204B55" w:rsidRDefault="00DC02E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年度收、支总计</w:t>
      </w:r>
      <w:r>
        <w:rPr>
          <w:rFonts w:ascii="仿宋_GB2312" w:eastAsia="仿宋_GB2312" w:hint="eastAsia"/>
          <w:sz w:val="28"/>
          <w:szCs w:val="28"/>
        </w:rPr>
        <w:t>4064.1</w:t>
      </w:r>
      <w:r>
        <w:rPr>
          <w:rFonts w:ascii="仿宋_GB2312" w:eastAsia="仿宋_GB2312" w:hint="eastAsia"/>
          <w:sz w:val="28"/>
          <w:szCs w:val="28"/>
        </w:rPr>
        <w:t>万元，比上年增加</w:t>
      </w:r>
      <w:r>
        <w:rPr>
          <w:rFonts w:ascii="仿宋_GB2312" w:eastAsia="仿宋_GB2312" w:hint="eastAsia"/>
          <w:sz w:val="28"/>
          <w:szCs w:val="28"/>
        </w:rPr>
        <w:t>194.75</w:t>
      </w:r>
      <w:r>
        <w:rPr>
          <w:rFonts w:ascii="仿宋_GB2312" w:eastAsia="仿宋_GB2312" w:hint="eastAsia"/>
          <w:sz w:val="28"/>
          <w:szCs w:val="28"/>
        </w:rPr>
        <w:t>万元，增长</w:t>
      </w:r>
      <w:r>
        <w:rPr>
          <w:rFonts w:ascii="仿宋_GB2312" w:eastAsia="仿宋_GB2312" w:hint="eastAsia"/>
          <w:sz w:val="28"/>
          <w:szCs w:val="28"/>
        </w:rPr>
        <w:t>5.03%</w:t>
      </w:r>
      <w:r>
        <w:rPr>
          <w:rFonts w:ascii="仿宋_GB2312" w:eastAsia="仿宋_GB2312" w:hint="eastAsia"/>
          <w:sz w:val="28"/>
          <w:szCs w:val="28"/>
        </w:rPr>
        <w:t>。</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4064.1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194.75</w:t>
      </w:r>
      <w:r>
        <w:rPr>
          <w:rFonts w:ascii="仿宋_GB2312" w:eastAsia="仿宋_GB2312" w:hint="eastAsia"/>
          <w:sz w:val="28"/>
          <w:szCs w:val="28"/>
        </w:rPr>
        <w:t>万元，增长</w:t>
      </w:r>
      <w:r>
        <w:rPr>
          <w:rFonts w:ascii="仿宋_GB2312" w:eastAsia="仿宋_GB2312" w:hAnsi="仿宋" w:hint="eastAsia"/>
          <w:sz w:val="32"/>
          <w:szCs w:val="32"/>
        </w:rPr>
        <w:t>5.03</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财政拨款收入</w:t>
      </w:r>
      <w:r>
        <w:rPr>
          <w:rFonts w:ascii="仿宋_GB2312" w:eastAsia="仿宋_GB2312"/>
          <w:sz w:val="28"/>
          <w:szCs w:val="28"/>
        </w:rPr>
        <w:t>4064.1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4064.1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204B55" w:rsidRDefault="00DC02ED">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4064.1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194.75</w:t>
      </w:r>
      <w:r>
        <w:rPr>
          <w:rFonts w:ascii="仿宋_GB2312" w:eastAsia="仿宋_GB2312" w:hint="eastAsia"/>
          <w:sz w:val="28"/>
          <w:szCs w:val="28"/>
        </w:rPr>
        <w:t>万元，增长</w:t>
      </w:r>
      <w:r>
        <w:rPr>
          <w:rFonts w:ascii="仿宋_GB2312" w:eastAsia="仿宋_GB2312" w:hAnsi="仿宋" w:hint="eastAsia"/>
          <w:sz w:val="32"/>
          <w:szCs w:val="32"/>
        </w:rPr>
        <w:t>5.03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3535.2</w:t>
      </w:r>
      <w:r>
        <w:rPr>
          <w:rFonts w:ascii="仿宋_GB2312" w:eastAsia="仿宋_GB2312" w:hint="eastAsia"/>
          <w:sz w:val="28"/>
          <w:szCs w:val="28"/>
        </w:rPr>
        <w:t>万元，占支出合计的</w:t>
      </w:r>
      <w:r>
        <w:rPr>
          <w:rFonts w:ascii="仿宋_GB2312" w:eastAsia="仿宋_GB2312" w:hint="eastAsia"/>
          <w:sz w:val="28"/>
          <w:szCs w:val="28"/>
        </w:rPr>
        <w:t>86.99</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528.9</w:t>
      </w:r>
      <w:r>
        <w:rPr>
          <w:rFonts w:ascii="仿宋_GB2312" w:eastAsia="仿宋_GB2312" w:hint="eastAsia"/>
          <w:sz w:val="28"/>
          <w:szCs w:val="28"/>
        </w:rPr>
        <w:t>万元，占支出合计的</w:t>
      </w:r>
      <w:r>
        <w:rPr>
          <w:rFonts w:ascii="仿宋_GB2312" w:eastAsia="仿宋_GB2312" w:hint="eastAsia"/>
          <w:sz w:val="28"/>
          <w:szCs w:val="28"/>
        </w:rPr>
        <w:t>13.01</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04B55" w:rsidRDefault="00DC02ED">
      <w:pPr>
        <w:pStyle w:val="2"/>
        <w:ind w:firstLine="642"/>
        <w:jc w:val="center"/>
        <w:rPr>
          <w:rFonts w:ascii="仿宋_GB2312" w:eastAsia="仿宋_GB2312"/>
          <w:color w:val="000000"/>
          <w:sz w:val="32"/>
        </w:rPr>
      </w:pPr>
      <w:bookmarkStart w:id="0" w:name="_GoBack"/>
      <w:bookmarkEnd w:id="0"/>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204B55" w:rsidRDefault="00DC02E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04B55" w:rsidRDefault="00DC02E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04B55" w:rsidRDefault="00DC02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4064.1</w:t>
      </w:r>
      <w:r>
        <w:rPr>
          <w:rFonts w:ascii="仿宋_GB2312" w:eastAsia="仿宋_GB2312" w:hint="eastAsia"/>
          <w:sz w:val="28"/>
          <w:szCs w:val="28"/>
        </w:rPr>
        <w:t>万元，</w:t>
      </w:r>
      <w:r>
        <w:rPr>
          <w:rFonts w:ascii="仿宋_GB2312" w:eastAsia="仿宋_GB2312" w:hint="eastAsia"/>
          <w:sz w:val="28"/>
          <w:szCs w:val="28"/>
        </w:rPr>
        <w:t>比上年</w:t>
      </w:r>
      <w:r>
        <w:rPr>
          <w:rFonts w:ascii="仿宋_GB2312" w:eastAsia="仿宋_GB2312"/>
          <w:sz w:val="28"/>
          <w:szCs w:val="28"/>
        </w:rPr>
        <w:t>增加</w:t>
      </w:r>
      <w:r>
        <w:rPr>
          <w:rFonts w:ascii="仿宋_GB2312" w:eastAsia="仿宋_GB2312" w:hint="eastAsia"/>
          <w:sz w:val="28"/>
          <w:szCs w:val="28"/>
        </w:rPr>
        <w:t>194.75</w:t>
      </w:r>
      <w:r>
        <w:rPr>
          <w:rFonts w:ascii="仿宋_GB2312" w:eastAsia="仿宋_GB2312" w:hint="eastAsia"/>
          <w:sz w:val="28"/>
          <w:szCs w:val="28"/>
        </w:rPr>
        <w:t>万元，增长</w:t>
      </w:r>
      <w:r>
        <w:rPr>
          <w:rFonts w:ascii="仿宋_GB2312" w:eastAsia="仿宋_GB2312" w:hint="eastAsia"/>
          <w:sz w:val="28"/>
          <w:szCs w:val="28"/>
        </w:rPr>
        <w:t>5.03%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Ansi="仿宋" w:hint="eastAsia"/>
          <w:sz w:val="32"/>
          <w:szCs w:val="32"/>
        </w:rPr>
        <w:t>本年度收入金额</w:t>
      </w:r>
      <w:r>
        <w:rPr>
          <w:rFonts w:ascii="仿宋_GB2312" w:eastAsia="仿宋_GB2312" w:hAnsi="仿宋" w:hint="eastAsia"/>
          <w:sz w:val="32"/>
          <w:szCs w:val="32"/>
        </w:rPr>
        <w:lastRenderedPageBreak/>
        <w:t>中比去年金额多的部分是在职统发工资金额增多，在职人员社会保险金额增多。</w:t>
      </w:r>
      <w:r>
        <w:rPr>
          <w:rFonts w:ascii="仿宋_GB2312" w:eastAsia="仿宋_GB2312" w:hint="eastAsia"/>
          <w:sz w:val="28"/>
          <w:szCs w:val="28"/>
        </w:rPr>
        <w:t>本年度新增华康里校址，该校址投入的弱电改造和技防建设经费数额较大。</w:t>
      </w:r>
    </w:p>
    <w:p w:rsidR="00204B55" w:rsidRDefault="00DC02E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04B55" w:rsidRDefault="00DC02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04B55" w:rsidRDefault="00DC02ED">
      <w:pPr>
        <w:tabs>
          <w:tab w:val="center" w:pos="6979"/>
        </w:tabs>
        <w:spacing w:line="580" w:lineRule="exact"/>
        <w:ind w:firstLineChars="400" w:firstLine="112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4064.1</w:t>
      </w:r>
      <w:r>
        <w:rPr>
          <w:rFonts w:ascii="仿宋_GB2312" w:eastAsia="仿宋_GB2312" w:hint="eastAsia"/>
          <w:sz w:val="28"/>
          <w:szCs w:val="28"/>
        </w:rPr>
        <w:t>万元，主要用于以下方面（按大类）：</w:t>
      </w:r>
    </w:p>
    <w:p w:rsidR="00204B55" w:rsidRDefault="00DC02ED">
      <w:pPr>
        <w:tabs>
          <w:tab w:val="center" w:pos="6979"/>
        </w:tabs>
        <w:spacing w:line="580" w:lineRule="exact"/>
        <w:ind w:firstLineChars="400" w:firstLine="1120"/>
        <w:rPr>
          <w:rFonts w:ascii="仿宋_GB2312" w:eastAsia="仿宋_GB2312"/>
          <w:sz w:val="28"/>
          <w:szCs w:val="28"/>
        </w:rPr>
      </w:pP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2744.18</w:t>
      </w:r>
      <w:r>
        <w:rPr>
          <w:rFonts w:ascii="仿宋_GB2312" w:eastAsia="仿宋_GB2312" w:hint="eastAsia"/>
          <w:sz w:val="28"/>
          <w:szCs w:val="28"/>
        </w:rPr>
        <w:t>万元，占本年财政拨款支出</w:t>
      </w:r>
      <w:r>
        <w:rPr>
          <w:rFonts w:ascii="仿宋_GB2312" w:eastAsia="仿宋_GB2312" w:hint="eastAsia"/>
          <w:sz w:val="28"/>
          <w:szCs w:val="28"/>
        </w:rPr>
        <w:t>67.52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w:t>
      </w:r>
      <w:r>
        <w:rPr>
          <w:rFonts w:ascii="仿宋_GB2312" w:eastAsia="仿宋_GB2312" w:hint="eastAsia"/>
          <w:sz w:val="28"/>
          <w:szCs w:val="28"/>
        </w:rPr>
        <w:t>支出</w:t>
      </w:r>
      <w:r>
        <w:rPr>
          <w:rFonts w:ascii="仿宋_GB2312" w:eastAsia="仿宋_GB2312" w:hint="eastAsia"/>
          <w:sz w:val="28"/>
          <w:szCs w:val="28"/>
        </w:rPr>
        <w:t>589.83</w:t>
      </w:r>
      <w:r>
        <w:rPr>
          <w:rFonts w:ascii="仿宋_GB2312" w:eastAsia="仿宋_GB2312" w:hint="eastAsia"/>
          <w:sz w:val="28"/>
          <w:szCs w:val="28"/>
        </w:rPr>
        <w:t>万元，占本年财政拨款支出</w:t>
      </w:r>
      <w:r>
        <w:rPr>
          <w:rFonts w:ascii="仿宋_GB2312" w:eastAsia="仿宋_GB2312" w:hint="eastAsia"/>
          <w:sz w:val="28"/>
          <w:szCs w:val="28"/>
        </w:rPr>
        <w:t>14.51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卫生健康</w:t>
      </w:r>
      <w:r>
        <w:rPr>
          <w:rFonts w:ascii="仿宋_GB2312" w:eastAsia="仿宋_GB2312" w:hint="eastAsia"/>
          <w:sz w:val="28"/>
          <w:szCs w:val="28"/>
        </w:rPr>
        <w:t>支出</w:t>
      </w:r>
      <w:r>
        <w:rPr>
          <w:rFonts w:ascii="仿宋_GB2312" w:eastAsia="仿宋_GB2312" w:hint="eastAsia"/>
          <w:sz w:val="28"/>
          <w:szCs w:val="28"/>
        </w:rPr>
        <w:t>251.16</w:t>
      </w:r>
      <w:r>
        <w:rPr>
          <w:rFonts w:ascii="仿宋_GB2312" w:eastAsia="仿宋_GB2312" w:hint="eastAsia"/>
          <w:sz w:val="28"/>
          <w:szCs w:val="28"/>
        </w:rPr>
        <w:t>万元，占本年财政拨款支出</w:t>
      </w:r>
      <w:r>
        <w:rPr>
          <w:rFonts w:ascii="仿宋_GB2312" w:eastAsia="仿宋_GB2312" w:hint="eastAsia"/>
          <w:sz w:val="28"/>
          <w:szCs w:val="28"/>
        </w:rPr>
        <w:t>6.18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住房保障</w:t>
      </w:r>
      <w:r>
        <w:rPr>
          <w:rFonts w:ascii="仿宋_GB2312" w:eastAsia="仿宋_GB2312" w:hint="eastAsia"/>
          <w:sz w:val="28"/>
          <w:szCs w:val="28"/>
        </w:rPr>
        <w:t>支出</w:t>
      </w:r>
      <w:r>
        <w:rPr>
          <w:rFonts w:ascii="仿宋_GB2312" w:eastAsia="仿宋_GB2312" w:hint="eastAsia"/>
          <w:sz w:val="28"/>
          <w:szCs w:val="28"/>
        </w:rPr>
        <w:t>478.93</w:t>
      </w:r>
      <w:r>
        <w:rPr>
          <w:rFonts w:ascii="仿宋_GB2312" w:eastAsia="仿宋_GB2312" w:hint="eastAsia"/>
          <w:sz w:val="28"/>
          <w:szCs w:val="28"/>
        </w:rPr>
        <w:t>万元，占本年财政拨款支出</w:t>
      </w:r>
      <w:r>
        <w:rPr>
          <w:rFonts w:ascii="仿宋_GB2312" w:eastAsia="仿宋_GB2312" w:hint="eastAsia"/>
          <w:sz w:val="28"/>
          <w:szCs w:val="28"/>
        </w:rPr>
        <w:t>11.79</w:t>
      </w:r>
      <w:r>
        <w:rPr>
          <w:rFonts w:ascii="仿宋_GB2312" w:eastAsia="仿宋_GB2312" w:hint="eastAsia"/>
          <w:sz w:val="28"/>
          <w:szCs w:val="28"/>
        </w:rPr>
        <w:t>%</w:t>
      </w:r>
      <w:r>
        <w:rPr>
          <w:rFonts w:ascii="仿宋_GB2312" w:eastAsia="仿宋_GB2312" w:hint="eastAsia"/>
          <w:sz w:val="28"/>
          <w:szCs w:val="28"/>
        </w:rPr>
        <w:t>。</w:t>
      </w:r>
    </w:p>
    <w:p w:rsidR="00204B55" w:rsidRDefault="00DC02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万元。本单位无此项经费。</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w:t>
      </w:r>
      <w:r>
        <w:rPr>
          <w:rFonts w:ascii="仿宋_GB2312" w:eastAsia="仿宋_GB2312" w:hint="eastAsia"/>
          <w:sz w:val="28"/>
          <w:szCs w:val="28"/>
        </w:rPr>
        <w:t>预算</w:t>
      </w:r>
      <w:r>
        <w:rPr>
          <w:rFonts w:ascii="仿宋_GB2312" w:eastAsia="仿宋_GB2312" w:hint="eastAsia"/>
          <w:sz w:val="28"/>
          <w:szCs w:val="28"/>
        </w:rPr>
        <w:t xml:space="preserve">2,470.56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2,744.18 </w:t>
      </w:r>
      <w:r>
        <w:rPr>
          <w:rFonts w:ascii="仿宋_GB2312" w:eastAsia="仿宋_GB2312" w:hint="eastAsia"/>
          <w:sz w:val="28"/>
          <w:szCs w:val="28"/>
        </w:rPr>
        <w:t>万元，完成年初预算的</w:t>
      </w:r>
      <w:r>
        <w:rPr>
          <w:rFonts w:ascii="仿宋_GB2312" w:eastAsia="仿宋_GB2312" w:hint="eastAsia"/>
          <w:sz w:val="28"/>
          <w:szCs w:val="28"/>
        </w:rPr>
        <w:t>111.08%</w:t>
      </w:r>
      <w:r>
        <w:rPr>
          <w:rFonts w:ascii="仿宋_GB2312" w:eastAsia="仿宋_GB2312" w:hint="eastAsia"/>
          <w:sz w:val="28"/>
          <w:szCs w:val="28"/>
        </w:rPr>
        <w:t>。其中：</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2,460.91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2,740.61 </w:t>
      </w:r>
      <w:r>
        <w:rPr>
          <w:rFonts w:ascii="仿宋_GB2312" w:eastAsia="仿宋_GB2312" w:hint="eastAsia"/>
          <w:sz w:val="28"/>
          <w:szCs w:val="28"/>
        </w:rPr>
        <w:t>万元，完成年初预算的</w:t>
      </w:r>
      <w:r>
        <w:rPr>
          <w:rFonts w:ascii="仿宋_GB2312" w:eastAsia="仿宋_GB2312" w:hint="eastAsia"/>
          <w:sz w:val="28"/>
          <w:szCs w:val="28"/>
        </w:rPr>
        <w:t>111.37%</w:t>
      </w:r>
      <w:r>
        <w:rPr>
          <w:rFonts w:ascii="仿宋_GB2312" w:eastAsia="仿宋_GB2312" w:hint="eastAsia"/>
          <w:sz w:val="28"/>
          <w:szCs w:val="28"/>
        </w:rPr>
        <w:t>。主要原因：</w:t>
      </w:r>
      <w:r>
        <w:rPr>
          <w:rFonts w:ascii="仿宋_GB2312" w:eastAsia="仿宋_GB2312" w:hAnsi="仿宋" w:hint="eastAsia"/>
          <w:sz w:val="28"/>
          <w:szCs w:val="28"/>
        </w:rPr>
        <w:t>本年度收入金额中比去年金额多的部分是在职统发工资金额增多</w:t>
      </w:r>
      <w:r>
        <w:rPr>
          <w:rFonts w:ascii="仿宋_GB2312" w:eastAsia="仿宋_GB2312" w:hint="eastAsia"/>
          <w:sz w:val="28"/>
          <w:szCs w:val="28"/>
        </w:rPr>
        <w:t>。</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3.57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3.57 </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。主要原因：根据年度特殊教育经费预算批复情况，结合学校实际工作，本单位平稳有序开展各项教育教学活动，保障资金发挥实效。</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“进修及培训”（款）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6.08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万元，完成年初预算的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。主要原因：根据学校年度重点工作任务及培训计划，组织教师培训数量及参与人数均有所减少，结余资金已上缴财政。</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524.69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589.83 </w:t>
      </w:r>
      <w:r>
        <w:rPr>
          <w:rFonts w:ascii="仿宋_GB2312" w:eastAsia="仿宋_GB2312" w:hint="eastAsia"/>
          <w:sz w:val="28"/>
          <w:szCs w:val="28"/>
        </w:rPr>
        <w:t>万元，完成年初预算的</w:t>
      </w:r>
      <w:r>
        <w:rPr>
          <w:rFonts w:ascii="仿宋_GB2312" w:eastAsia="仿宋_GB2312" w:hint="eastAsia"/>
          <w:sz w:val="28"/>
          <w:szCs w:val="28"/>
        </w:rPr>
        <w:t>112.41%</w:t>
      </w:r>
      <w:r>
        <w:rPr>
          <w:rFonts w:ascii="仿宋_GB2312" w:eastAsia="仿宋_GB2312" w:hint="eastAsia"/>
          <w:sz w:val="28"/>
          <w:szCs w:val="28"/>
        </w:rPr>
        <w:t>。其中：</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w:t>
      </w:r>
      <w:r>
        <w:rPr>
          <w:rFonts w:ascii="仿宋_GB2312" w:eastAsia="仿宋_GB2312" w:hint="eastAsia"/>
          <w:sz w:val="28"/>
          <w:szCs w:val="28"/>
        </w:rPr>
        <w:t>位养老支出”（款）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524.69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589.83 </w:t>
      </w:r>
      <w:r>
        <w:rPr>
          <w:rFonts w:ascii="仿宋_GB2312" w:eastAsia="仿宋_GB2312" w:hint="eastAsia"/>
          <w:sz w:val="28"/>
          <w:szCs w:val="28"/>
        </w:rPr>
        <w:t>万元，完成年初预算的</w:t>
      </w:r>
      <w:r>
        <w:rPr>
          <w:rFonts w:ascii="仿宋_GB2312" w:eastAsia="仿宋_GB2312" w:hint="eastAsia"/>
          <w:sz w:val="28"/>
          <w:szCs w:val="28"/>
        </w:rPr>
        <w:t>112.41%</w:t>
      </w:r>
      <w:r>
        <w:rPr>
          <w:rFonts w:ascii="仿宋_GB2312" w:eastAsia="仿宋_GB2312" w:hint="eastAsia"/>
          <w:sz w:val="28"/>
          <w:szCs w:val="28"/>
        </w:rPr>
        <w:t>。主要原因：追加一次性退休补贴</w:t>
      </w:r>
      <w:r>
        <w:rPr>
          <w:rFonts w:ascii="仿宋_GB2312" w:eastAsia="仿宋_GB2312" w:hint="eastAsia"/>
          <w:sz w:val="28"/>
          <w:szCs w:val="28"/>
        </w:rPr>
        <w:t>和</w:t>
      </w:r>
      <w:r>
        <w:rPr>
          <w:rFonts w:ascii="仿宋_GB2312" w:eastAsia="仿宋_GB2312" w:hint="eastAsia"/>
          <w:sz w:val="28"/>
          <w:szCs w:val="28"/>
        </w:rPr>
        <w:t>在职人员养老保险及职业年金</w:t>
      </w:r>
      <w:r>
        <w:rPr>
          <w:rFonts w:ascii="仿宋_GB2312" w:eastAsia="仿宋_GB2312" w:hint="eastAsia"/>
          <w:sz w:val="28"/>
          <w:szCs w:val="28"/>
        </w:rPr>
        <w:t>。</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224.20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251.16 </w:t>
      </w:r>
      <w:r>
        <w:rPr>
          <w:rFonts w:ascii="仿宋_GB2312" w:eastAsia="仿宋_GB2312" w:hint="eastAsia"/>
          <w:sz w:val="28"/>
          <w:szCs w:val="28"/>
        </w:rPr>
        <w:t>万元，完成年初预算的</w:t>
      </w:r>
      <w:r>
        <w:rPr>
          <w:rFonts w:ascii="仿宋_GB2312" w:eastAsia="仿宋_GB2312" w:hint="eastAsia"/>
          <w:sz w:val="28"/>
          <w:szCs w:val="28"/>
        </w:rPr>
        <w:t>112.03%</w:t>
      </w:r>
      <w:r>
        <w:rPr>
          <w:rFonts w:ascii="仿宋_GB2312" w:eastAsia="仿宋_GB2312" w:hint="eastAsia"/>
          <w:sz w:val="28"/>
          <w:szCs w:val="28"/>
        </w:rPr>
        <w:t>。其中：</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224.20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251.16 </w:t>
      </w:r>
      <w:r>
        <w:rPr>
          <w:rFonts w:ascii="仿宋_GB2312" w:eastAsia="仿宋_GB2312" w:hint="eastAsia"/>
          <w:sz w:val="28"/>
          <w:szCs w:val="28"/>
        </w:rPr>
        <w:t>万元，完成年初预算的</w:t>
      </w:r>
      <w:r>
        <w:rPr>
          <w:rFonts w:ascii="仿宋_GB2312" w:eastAsia="仿宋_GB2312" w:hint="eastAsia"/>
          <w:sz w:val="28"/>
          <w:szCs w:val="28"/>
        </w:rPr>
        <w:t>112.03%</w:t>
      </w:r>
      <w:r>
        <w:rPr>
          <w:rFonts w:ascii="仿宋_GB2312" w:eastAsia="仿宋_GB2312" w:hint="eastAsia"/>
          <w:sz w:val="28"/>
          <w:szCs w:val="28"/>
        </w:rPr>
        <w:t>。主要原因：追加在职人员医疗保险。</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474.42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478.93 </w:t>
      </w:r>
      <w:r>
        <w:rPr>
          <w:rFonts w:ascii="仿宋_GB2312" w:eastAsia="仿宋_GB2312" w:hint="eastAsia"/>
          <w:sz w:val="28"/>
          <w:szCs w:val="28"/>
        </w:rPr>
        <w:t>万元，完成年初预算的</w:t>
      </w:r>
      <w:r>
        <w:rPr>
          <w:rFonts w:ascii="仿宋_GB2312" w:eastAsia="仿宋_GB2312" w:hint="eastAsia"/>
          <w:sz w:val="28"/>
          <w:szCs w:val="28"/>
        </w:rPr>
        <w:t>100.95%</w:t>
      </w:r>
      <w:r>
        <w:rPr>
          <w:rFonts w:ascii="仿宋_GB2312" w:eastAsia="仿宋_GB2312" w:hint="eastAsia"/>
          <w:sz w:val="28"/>
          <w:szCs w:val="28"/>
        </w:rPr>
        <w:t>。其中：</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 xml:space="preserve">474.42 </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 xml:space="preserve">478.93 </w:t>
      </w:r>
      <w:r>
        <w:rPr>
          <w:rFonts w:ascii="仿宋_GB2312" w:eastAsia="仿宋_GB2312" w:hint="eastAsia"/>
          <w:sz w:val="28"/>
          <w:szCs w:val="28"/>
        </w:rPr>
        <w:t>万元，完成年初预算的</w:t>
      </w:r>
      <w:r>
        <w:rPr>
          <w:rFonts w:ascii="仿宋_GB2312" w:eastAsia="仿宋_GB2312" w:hint="eastAsia"/>
          <w:sz w:val="28"/>
          <w:szCs w:val="28"/>
        </w:rPr>
        <w:t>100.95%</w:t>
      </w:r>
      <w:r>
        <w:rPr>
          <w:rFonts w:ascii="仿宋_GB2312" w:eastAsia="仿宋_GB2312" w:hint="eastAsia"/>
          <w:sz w:val="28"/>
          <w:szCs w:val="28"/>
        </w:rPr>
        <w:t>。主要原因：</w:t>
      </w:r>
      <w:r>
        <w:rPr>
          <w:rFonts w:ascii="仿宋_GB2312" w:eastAsia="仿宋_GB2312" w:hint="eastAsia"/>
          <w:sz w:val="28"/>
          <w:szCs w:val="28"/>
        </w:rPr>
        <w:t>追加</w:t>
      </w:r>
      <w:r>
        <w:rPr>
          <w:rFonts w:ascii="仿宋_GB2312" w:eastAsia="仿宋_GB2312" w:hint="eastAsia"/>
          <w:sz w:val="28"/>
          <w:szCs w:val="28"/>
        </w:rPr>
        <w:t>住房公积金。</w:t>
      </w:r>
    </w:p>
    <w:p w:rsidR="00204B55" w:rsidRDefault="00DC02E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204B55" w:rsidRDefault="00DC02ED">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204B55" w:rsidRDefault="00DC02ED">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rsidR="00204B55" w:rsidRDefault="00DC02ED">
      <w:pPr>
        <w:ind w:firstLineChars="192" w:firstLine="538"/>
        <w:rPr>
          <w:rFonts w:ascii="仿宋_GB2312" w:eastAsia="仿宋_GB2312"/>
          <w:sz w:val="28"/>
          <w:szCs w:val="28"/>
        </w:rPr>
      </w:pPr>
      <w:r>
        <w:rPr>
          <w:rFonts w:ascii="仿宋_GB2312" w:eastAsia="仿宋_GB2312" w:hint="eastAsia"/>
          <w:sz w:val="28"/>
          <w:szCs w:val="28"/>
        </w:rPr>
        <w:t>本单位无此项经费。</w:t>
      </w:r>
    </w:p>
    <w:p w:rsidR="00204B55" w:rsidRDefault="00DC02E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04B55" w:rsidRDefault="00DC02E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3535.2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204B55" w:rsidRDefault="00DC02E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204B55" w:rsidRDefault="00DC02E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204B55" w:rsidRDefault="00DC02E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04B55" w:rsidRDefault="00DC02ED">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204B55" w:rsidRDefault="00DC02E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04B55" w:rsidRDefault="00DC02ED">
      <w:pPr>
        <w:ind w:left="540"/>
        <w:rPr>
          <w:rFonts w:ascii="仿宋_GB2312" w:eastAsia="仿宋_GB2312"/>
          <w:sz w:val="28"/>
          <w:szCs w:val="28"/>
        </w:rPr>
      </w:pPr>
      <w:r>
        <w:rPr>
          <w:rFonts w:ascii="仿宋_GB2312" w:eastAsia="仿宋_GB2312" w:hint="eastAsia"/>
          <w:sz w:val="28"/>
          <w:szCs w:val="28"/>
        </w:rPr>
        <w:t>本单位无此项经费。</w:t>
      </w:r>
    </w:p>
    <w:p w:rsidR="00204B55" w:rsidRDefault="00DC02ED">
      <w:pPr>
        <w:ind w:left="540"/>
        <w:rPr>
          <w:rFonts w:ascii="黑体" w:eastAsia="黑体"/>
          <w:sz w:val="28"/>
          <w:szCs w:val="28"/>
        </w:rPr>
      </w:pPr>
      <w:r>
        <w:rPr>
          <w:rFonts w:ascii="黑体" w:eastAsia="黑体" w:hint="eastAsia"/>
          <w:sz w:val="28"/>
          <w:szCs w:val="28"/>
        </w:rPr>
        <w:lastRenderedPageBreak/>
        <w:t>三、政府采购支出情况</w:t>
      </w:r>
    </w:p>
    <w:p w:rsidR="00204B55" w:rsidRDefault="00DC02ED">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131.8</w:t>
      </w:r>
      <w:r>
        <w:rPr>
          <w:rFonts w:ascii="仿宋_GB2312" w:eastAsia="仿宋_GB2312" w:hint="eastAsia"/>
          <w:sz w:val="28"/>
          <w:szCs w:val="28"/>
        </w:rPr>
        <w:t>万元，其中：政府采购货物支出</w:t>
      </w:r>
      <w:r>
        <w:rPr>
          <w:rFonts w:ascii="仿宋_GB2312" w:eastAsia="仿宋_GB2312"/>
          <w:sz w:val="28"/>
          <w:szCs w:val="28"/>
        </w:rPr>
        <w:t>110.4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21.39</w:t>
      </w:r>
      <w:r>
        <w:rPr>
          <w:rFonts w:ascii="仿宋_GB2312" w:eastAsia="仿宋_GB2312" w:hint="eastAsia"/>
          <w:sz w:val="28"/>
          <w:szCs w:val="28"/>
        </w:rPr>
        <w:t>万元。授予中小企业合同金额</w:t>
      </w:r>
      <w:r>
        <w:rPr>
          <w:rFonts w:ascii="仿宋_GB2312" w:eastAsia="仿宋_GB2312"/>
          <w:sz w:val="28"/>
          <w:szCs w:val="28"/>
        </w:rPr>
        <w:t>131.8</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131.8</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204B55" w:rsidRDefault="00DC02E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04B55" w:rsidRDefault="00DC02ED">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日，北京市西城区香厂路小学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204B55" w:rsidRDefault="00DC02E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04B55" w:rsidRDefault="00DC02ED">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204B55" w:rsidRDefault="00DC02E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04B55" w:rsidRDefault="00DC02ED">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204B55" w:rsidRDefault="00DC02ED">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204B55" w:rsidRDefault="00DC02ED">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04B55" w:rsidRDefault="00DC02ED">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int="eastAsia"/>
          <w:sz w:val="28"/>
          <w:szCs w:val="28"/>
        </w:rPr>
        <w:t>：</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04B55" w:rsidRDefault="00DC02E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04B55" w:rsidRDefault="00DC02ED">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04B55" w:rsidRDefault="00DC02ED">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w:t>
      </w:r>
      <w:r>
        <w:rPr>
          <w:rFonts w:ascii="仿宋_GB2312" w:eastAsia="仿宋_GB2312" w:hint="eastAsia"/>
          <w:b/>
          <w:color w:val="000000"/>
          <w:spacing w:val="-2"/>
          <w:sz w:val="32"/>
          <w:szCs w:val="32"/>
        </w:rPr>
        <w:t>各</w:t>
      </w:r>
      <w:r>
        <w:rPr>
          <w:rFonts w:ascii="仿宋_GB2312" w:eastAsia="仿宋_GB2312" w:hint="eastAsia"/>
          <w:b/>
          <w:color w:val="000000"/>
          <w:spacing w:val="-2"/>
          <w:sz w:val="32"/>
          <w:szCs w:val="32"/>
        </w:rPr>
        <w:t>单位</w:t>
      </w:r>
      <w:r>
        <w:rPr>
          <w:rFonts w:ascii="仿宋_GB2312" w:eastAsia="仿宋_GB2312" w:hint="eastAsia"/>
          <w:b/>
          <w:color w:val="000000"/>
          <w:spacing w:val="-2"/>
          <w:sz w:val="32"/>
          <w:szCs w:val="32"/>
        </w:rPr>
        <w:t>需根据自身业务职能</w:t>
      </w:r>
      <w:r>
        <w:rPr>
          <w:rFonts w:ascii="仿宋_GB2312" w:eastAsia="仿宋_GB2312" w:hint="eastAsia"/>
          <w:b/>
          <w:color w:val="000000"/>
          <w:spacing w:val="-2"/>
          <w:sz w:val="32"/>
          <w:szCs w:val="32"/>
        </w:rPr>
        <w:t>，</w:t>
      </w:r>
      <w:r>
        <w:rPr>
          <w:rFonts w:ascii="仿宋_GB2312" w:eastAsia="仿宋_GB2312" w:hint="eastAsia"/>
          <w:b/>
          <w:color w:val="000000"/>
          <w:spacing w:val="-2"/>
          <w:sz w:val="32"/>
          <w:szCs w:val="32"/>
        </w:rPr>
        <w:t>补充当年</w:t>
      </w:r>
      <w:r>
        <w:rPr>
          <w:rFonts w:ascii="仿宋_GB2312" w:eastAsia="仿宋_GB2312" w:hint="eastAsia"/>
          <w:b/>
          <w:color w:val="000000"/>
          <w:spacing w:val="-2"/>
          <w:sz w:val="32"/>
          <w:szCs w:val="32"/>
        </w:rPr>
        <w:t>使用的所有</w:t>
      </w:r>
      <w:r>
        <w:rPr>
          <w:rFonts w:ascii="仿宋_GB2312" w:eastAsia="仿宋_GB2312" w:hint="eastAsia"/>
          <w:b/>
          <w:color w:val="000000"/>
          <w:spacing w:val="-2"/>
          <w:sz w:val="32"/>
          <w:szCs w:val="32"/>
        </w:rPr>
        <w:t>支出功能分类项级科目名词解释，例如：</w:t>
      </w:r>
    </w:p>
    <w:p w:rsidR="00204B55" w:rsidRDefault="00DC02ED">
      <w:pPr>
        <w:ind w:firstLineChars="200" w:firstLine="634"/>
        <w:rPr>
          <w:rFonts w:ascii="黑体" w:eastAsia="黑体"/>
          <w:sz w:val="32"/>
          <w:szCs w:val="32"/>
        </w:rPr>
      </w:pPr>
      <w:r>
        <w:rPr>
          <w:rFonts w:ascii="仿宋_GB2312" w:eastAsia="仿宋_GB2312" w:hint="eastAsia"/>
          <w:b/>
          <w:color w:val="000000"/>
          <w:spacing w:val="-2"/>
          <w:sz w:val="32"/>
          <w:szCs w:val="32"/>
        </w:rPr>
        <w:t>一般公共服务支出（类）人大事务（款）行政运行（项）：反映行政单位（包括实行公务员管理的事业单位）的基本支出</w:t>
      </w:r>
      <w:r>
        <w:rPr>
          <w:rFonts w:ascii="仿宋_GB2312" w:eastAsia="仿宋_GB2312" w:hint="eastAsia"/>
          <w:sz w:val="28"/>
          <w:szCs w:val="28"/>
        </w:rPr>
        <w:t>。</w:t>
      </w:r>
    </w:p>
    <w:p w:rsidR="00204B55" w:rsidRDefault="00204B55">
      <w:pPr>
        <w:ind w:firstLineChars="200" w:firstLine="640"/>
        <w:jc w:val="center"/>
        <w:rPr>
          <w:rFonts w:ascii="黑体" w:eastAsia="黑体"/>
          <w:sz w:val="32"/>
          <w:szCs w:val="32"/>
        </w:rPr>
      </w:pPr>
    </w:p>
    <w:p w:rsidR="00204B55" w:rsidRDefault="00DC02ED">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204B55" w:rsidRDefault="00204B55">
      <w:pPr>
        <w:ind w:firstLineChars="200" w:firstLine="560"/>
        <w:rPr>
          <w:rFonts w:ascii="黑体" w:eastAsia="黑体"/>
          <w:sz w:val="28"/>
          <w:szCs w:val="28"/>
          <w:highlight w:val="yellow"/>
        </w:rPr>
      </w:pPr>
    </w:p>
    <w:p w:rsidR="00204B55" w:rsidRDefault="00DC02ED">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204B55" w:rsidRDefault="00DC02ED">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204B55" w:rsidRDefault="00DC02ED">
      <w:pPr>
        <w:numPr>
          <w:ilvl w:val="0"/>
          <w:numId w:val="1"/>
        </w:numPr>
        <w:ind w:firstLineChars="200" w:firstLine="560"/>
        <w:rPr>
          <w:rFonts w:ascii="黑体" w:eastAsia="黑体"/>
          <w:sz w:val="28"/>
          <w:szCs w:val="28"/>
        </w:rPr>
      </w:pPr>
      <w:r>
        <w:rPr>
          <w:rFonts w:ascii="黑体" w:eastAsia="黑体" w:hint="eastAsia"/>
          <w:sz w:val="28"/>
          <w:szCs w:val="28"/>
        </w:rPr>
        <w:lastRenderedPageBreak/>
        <w:t>项目</w:t>
      </w:r>
      <w:r>
        <w:rPr>
          <w:rFonts w:ascii="黑体" w:eastAsia="黑体"/>
          <w:sz w:val="28"/>
          <w:szCs w:val="28"/>
        </w:rPr>
        <w:t>支出绩效自评表</w:t>
      </w:r>
      <w:r>
        <w:rPr>
          <w:rFonts w:ascii="黑体" w:eastAsia="黑体" w:hint="eastAsia"/>
          <w:sz w:val="28"/>
          <w:szCs w:val="28"/>
        </w:rPr>
        <w:t>（格式详见附件）</w:t>
      </w:r>
    </w:p>
    <w:p w:rsidR="00204B55" w:rsidRDefault="00DC02ED">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204B55" w:rsidRDefault="00DC02ED">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204B55" w:rsidRDefault="00204B55">
      <w:pPr>
        <w:spacing w:line="480" w:lineRule="exact"/>
        <w:rPr>
          <w:rFonts w:ascii="仿宋_GB2312" w:eastAsia="仿宋_GB2312" w:hAnsi="仿宋_GB2312" w:cs="仿宋_GB2312"/>
          <w:sz w:val="32"/>
          <w:szCs w:val="32"/>
        </w:rPr>
      </w:pPr>
    </w:p>
    <w:p w:rsidR="00204B55" w:rsidRDefault="00204B55">
      <w:pPr>
        <w:spacing w:line="480" w:lineRule="exact"/>
      </w:pPr>
    </w:p>
    <w:sectPr w:rsidR="00204B5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C02ED">
      <w:r>
        <w:separator/>
      </w:r>
    </w:p>
  </w:endnote>
  <w:endnote w:type="continuationSeparator" w:id="0">
    <w:p w:rsidR="00000000" w:rsidRDefault="00DC0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B55" w:rsidRDefault="00DC02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204B55" w:rsidRDefault="00204B5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B55" w:rsidRDefault="00DC02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204B55" w:rsidRDefault="00204B5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B55" w:rsidRDefault="00DC02E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204B55" w:rsidRDefault="00204B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C02ED">
      <w:r>
        <w:separator/>
      </w:r>
    </w:p>
  </w:footnote>
  <w:footnote w:type="continuationSeparator" w:id="0">
    <w:p w:rsidR="00000000" w:rsidRDefault="00DC02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RiNGM3Njk1MGIwZGYwZjU2OTIxYzFlOTViMjNkYj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4B55"/>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02ED"/>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9D330C"/>
    <w:rsid w:val="07C025C7"/>
    <w:rsid w:val="0BA148CA"/>
    <w:rsid w:val="0C1165C4"/>
    <w:rsid w:val="0D6D544B"/>
    <w:rsid w:val="0DD136FE"/>
    <w:rsid w:val="0F8E2C57"/>
    <w:rsid w:val="1059665E"/>
    <w:rsid w:val="10AC13BA"/>
    <w:rsid w:val="145A6C1B"/>
    <w:rsid w:val="14B73493"/>
    <w:rsid w:val="167A2FF9"/>
    <w:rsid w:val="175D49F3"/>
    <w:rsid w:val="18581C69"/>
    <w:rsid w:val="1AEC0734"/>
    <w:rsid w:val="1DEF20B0"/>
    <w:rsid w:val="214243FA"/>
    <w:rsid w:val="21AD613C"/>
    <w:rsid w:val="22467189"/>
    <w:rsid w:val="257A14F5"/>
    <w:rsid w:val="27196C26"/>
    <w:rsid w:val="29EF086F"/>
    <w:rsid w:val="2EFFE297"/>
    <w:rsid w:val="301437CA"/>
    <w:rsid w:val="349D1F0A"/>
    <w:rsid w:val="34DD0473"/>
    <w:rsid w:val="36FA25D0"/>
    <w:rsid w:val="3C684897"/>
    <w:rsid w:val="3C9F07CB"/>
    <w:rsid w:val="433E495C"/>
    <w:rsid w:val="44AD0C81"/>
    <w:rsid w:val="489F2FD7"/>
    <w:rsid w:val="4AC27CB3"/>
    <w:rsid w:val="4BF72BEF"/>
    <w:rsid w:val="4FA90297"/>
    <w:rsid w:val="4FC41A43"/>
    <w:rsid w:val="51DB3C59"/>
    <w:rsid w:val="54BE47E5"/>
    <w:rsid w:val="550C0952"/>
    <w:rsid w:val="55762E42"/>
    <w:rsid w:val="57A7B272"/>
    <w:rsid w:val="58470068"/>
    <w:rsid w:val="58747CAC"/>
    <w:rsid w:val="5A1720F9"/>
    <w:rsid w:val="5B9C37C2"/>
    <w:rsid w:val="5BA7C654"/>
    <w:rsid w:val="5BE34B31"/>
    <w:rsid w:val="5C1F025F"/>
    <w:rsid w:val="60A54109"/>
    <w:rsid w:val="61D01CDF"/>
    <w:rsid w:val="64C0607C"/>
    <w:rsid w:val="65756C86"/>
    <w:rsid w:val="674D385B"/>
    <w:rsid w:val="676F09E1"/>
    <w:rsid w:val="696C03D9"/>
    <w:rsid w:val="71793A80"/>
    <w:rsid w:val="7357290B"/>
    <w:rsid w:val="798524E4"/>
    <w:rsid w:val="7A7F1C49"/>
    <w:rsid w:val="7B5B7AE6"/>
    <w:rsid w:val="7B7B6628"/>
    <w:rsid w:val="7BA7071E"/>
    <w:rsid w:val="7BDF6DA8"/>
    <w:rsid w:val="7BED5331"/>
    <w:rsid w:val="7C7EDC1A"/>
    <w:rsid w:val="7CCED98D"/>
    <w:rsid w:val="7D08410F"/>
    <w:rsid w:val="7DB96DED"/>
    <w:rsid w:val="7DD3AD81"/>
    <w:rsid w:val="7EC1070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8EF849-189A-4D45-891B-79FCDBEC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7705-4074-A8B7-396775045A12}"/>
              </c:ext>
            </c:extLst>
          </c:dPt>
          <c:dPt>
            <c:idx val="1"/>
            <c:bubble3D val="0"/>
            <c:extLst>
              <c:ext xmlns:c16="http://schemas.microsoft.com/office/drawing/2014/chart" uri="{C3380CC4-5D6E-409C-BE32-E72D297353CC}">
                <c16:uniqueId val="{00000001-7705-4074-A8B7-396775045A12}"/>
              </c:ext>
            </c:extLst>
          </c:dPt>
          <c:dPt>
            <c:idx val="2"/>
            <c:bubble3D val="0"/>
            <c:extLst>
              <c:ext xmlns:c16="http://schemas.microsoft.com/office/drawing/2014/chart" uri="{C3380CC4-5D6E-409C-BE32-E72D297353CC}">
                <c16:uniqueId val="{00000002-7705-4074-A8B7-396775045A12}"/>
              </c:ext>
            </c:extLst>
          </c:dPt>
          <c:dPt>
            <c:idx val="3"/>
            <c:bubble3D val="0"/>
            <c:extLst>
              <c:ext xmlns:c16="http://schemas.microsoft.com/office/drawing/2014/chart" uri="{C3380CC4-5D6E-409C-BE32-E72D297353CC}">
                <c16:uniqueId val="{00000003-7705-4074-A8B7-396775045A12}"/>
              </c:ext>
            </c:extLst>
          </c:dPt>
          <c:dPt>
            <c:idx val="4"/>
            <c:bubble3D val="0"/>
            <c:extLst>
              <c:ext xmlns:c16="http://schemas.microsoft.com/office/drawing/2014/chart" uri="{C3380CC4-5D6E-409C-BE32-E72D297353CC}">
                <c16:uniqueId val="{00000004-7705-4074-A8B7-396775045A12}"/>
              </c:ext>
            </c:extLst>
          </c:dPt>
          <c:dPt>
            <c:idx val="5"/>
            <c:bubble3D val="0"/>
            <c:extLst>
              <c:ext xmlns:c16="http://schemas.microsoft.com/office/drawing/2014/chart" uri="{C3380CC4-5D6E-409C-BE32-E72D297353CC}">
                <c16:uniqueId val="{00000005-7705-4074-A8B7-396775045A12}"/>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4064.1</c:v>
                </c:pt>
                <c:pt idx="1">
                  <c:v>0</c:v>
                </c:pt>
                <c:pt idx="2">
                  <c:v>0</c:v>
                </c:pt>
                <c:pt idx="3">
                  <c:v>0</c:v>
                </c:pt>
                <c:pt idx="4">
                  <c:v>0</c:v>
                </c:pt>
                <c:pt idx="5">
                  <c:v>0</c:v>
                </c:pt>
              </c:numCache>
            </c:numRef>
          </c:val>
          <c:extLst>
            <c:ext xmlns:c16="http://schemas.microsoft.com/office/drawing/2014/chart" uri="{C3380CC4-5D6E-409C-BE32-E72D297353CC}">
              <c16:uniqueId val="{00000006-7705-4074-A8B7-396775045A12}"/>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E8E-4D63-91B0-F2647598E90D}"/>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E8E-4D63-91B0-F2647598E90D}"/>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E8E-4D63-91B0-F2647598E90D}"/>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CE8E-4D63-91B0-F2647598E90D}"/>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CE8E-4D63-91B0-F2647598E90D}"/>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E8E-4D63-91B0-F2647598E90D}"/>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E8E-4D63-91B0-F2647598E90D}"/>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3535.2</c:v>
                </c:pt>
                <c:pt idx="1">
                  <c:v>528.9</c:v>
                </c:pt>
                <c:pt idx="2">
                  <c:v>0</c:v>
                </c:pt>
                <c:pt idx="3">
                  <c:v>0</c:v>
                </c:pt>
                <c:pt idx="4">
                  <c:v>0</c:v>
                </c:pt>
              </c:numCache>
            </c:numRef>
          </c:val>
          <c:extLst>
            <c:ext xmlns:c16="http://schemas.microsoft.com/office/drawing/2014/chart" uri="{C3380CC4-5D6E-409C-BE32-E72D297353CC}">
              <c16:uniqueId val="{0000000A-CE8E-4D63-91B0-F2647598E90D}"/>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625</Words>
  <Characters>3566</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24A58E03BD394ABCAF8715921EDECFA5_13</vt:lpwstr>
  </property>
  <property fmtid="{D5CDD505-2E9C-101B-9397-08002B2CF9AE}" pid="4" name="KSOTemplateDocerSaveRecord">
    <vt:lpwstr>eyJoZGlkIjoiMThiOWFmYjM4ZmU1Y2RhMTBjYmY0NDgwNGI1MTEwNzYifQ==</vt:lpwstr>
  </property>
</Properties>
</file>