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99AA2" w14:textId="77777777" w:rsidR="005A011F" w:rsidRDefault="005A011F">
      <w:pPr>
        <w:jc w:val="center"/>
        <w:rPr>
          <w:rFonts w:ascii="仿宋_GB2312" w:eastAsia="仿宋_GB2312"/>
          <w:b/>
          <w:sz w:val="32"/>
          <w:szCs w:val="32"/>
        </w:rPr>
      </w:pPr>
    </w:p>
    <w:p w14:paraId="202E1910" w14:textId="77777777" w:rsidR="005A011F" w:rsidRDefault="005A011F">
      <w:pPr>
        <w:jc w:val="center"/>
        <w:rPr>
          <w:rFonts w:ascii="黑体" w:eastAsia="黑体"/>
          <w:sz w:val="72"/>
          <w:szCs w:val="72"/>
        </w:rPr>
      </w:pPr>
    </w:p>
    <w:p w14:paraId="238436FB" w14:textId="77777777" w:rsidR="005A011F" w:rsidRDefault="005A011F">
      <w:pPr>
        <w:jc w:val="center"/>
        <w:rPr>
          <w:rFonts w:ascii="黑体" w:eastAsia="黑体"/>
          <w:sz w:val="72"/>
          <w:szCs w:val="72"/>
        </w:rPr>
      </w:pPr>
    </w:p>
    <w:p w14:paraId="223E0F8E" w14:textId="77777777" w:rsidR="005A011F" w:rsidRDefault="005A011F">
      <w:pPr>
        <w:jc w:val="center"/>
        <w:rPr>
          <w:rFonts w:ascii="黑体" w:eastAsia="黑体"/>
          <w:sz w:val="72"/>
          <w:szCs w:val="72"/>
        </w:rPr>
      </w:pPr>
    </w:p>
    <w:p w14:paraId="41E7824B" w14:textId="77777777" w:rsidR="005A011F" w:rsidRDefault="005A011F">
      <w:pPr>
        <w:jc w:val="center"/>
        <w:rPr>
          <w:rFonts w:ascii="黑体" w:eastAsia="黑体"/>
          <w:sz w:val="72"/>
          <w:szCs w:val="72"/>
        </w:rPr>
      </w:pPr>
    </w:p>
    <w:p w14:paraId="697E4A90" w14:textId="77777777" w:rsidR="005A011F" w:rsidRDefault="00D85B3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2CFF75EB" w14:textId="77777777" w:rsidR="005A011F" w:rsidRDefault="005A011F">
      <w:pPr>
        <w:jc w:val="center"/>
        <w:rPr>
          <w:rFonts w:ascii="黑体" w:eastAsia="黑体"/>
          <w:sz w:val="52"/>
          <w:szCs w:val="52"/>
        </w:rPr>
      </w:pPr>
    </w:p>
    <w:p w14:paraId="5F5B78A8" w14:textId="77777777" w:rsidR="005A011F" w:rsidRDefault="005A011F">
      <w:pPr>
        <w:jc w:val="center"/>
        <w:rPr>
          <w:rFonts w:ascii="黑体" w:eastAsia="黑体"/>
          <w:sz w:val="52"/>
          <w:szCs w:val="52"/>
        </w:rPr>
      </w:pPr>
    </w:p>
    <w:p w14:paraId="5330BF63" w14:textId="77777777" w:rsidR="005A011F" w:rsidRDefault="005A011F">
      <w:pPr>
        <w:jc w:val="center"/>
        <w:rPr>
          <w:rFonts w:ascii="黑体" w:eastAsia="黑体"/>
          <w:sz w:val="52"/>
          <w:szCs w:val="52"/>
        </w:rPr>
      </w:pPr>
    </w:p>
    <w:p w14:paraId="102B2A8F" w14:textId="77777777" w:rsidR="005A011F" w:rsidRDefault="005A011F">
      <w:pPr>
        <w:jc w:val="center"/>
        <w:rPr>
          <w:rFonts w:ascii="黑体" w:eastAsia="黑体"/>
          <w:sz w:val="52"/>
          <w:szCs w:val="52"/>
        </w:rPr>
      </w:pPr>
    </w:p>
    <w:p w14:paraId="630C7182" w14:textId="77777777" w:rsidR="005A011F" w:rsidRDefault="005A011F">
      <w:pPr>
        <w:jc w:val="center"/>
        <w:rPr>
          <w:rFonts w:ascii="黑体" w:eastAsia="黑体"/>
          <w:sz w:val="32"/>
          <w:szCs w:val="32"/>
        </w:rPr>
      </w:pPr>
    </w:p>
    <w:p w14:paraId="6F6B85F4" w14:textId="77777777" w:rsidR="005A011F" w:rsidRDefault="00D85B3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AFED9E7" w14:textId="77777777" w:rsidR="005A011F" w:rsidRDefault="005A011F">
      <w:pPr>
        <w:spacing w:line="500" w:lineRule="exact"/>
        <w:ind w:firstLine="645"/>
        <w:jc w:val="center"/>
        <w:rPr>
          <w:rFonts w:ascii="宋体" w:hAnsi="宋体" w:cs="宋体" w:hint="eastAsia"/>
          <w:b/>
          <w:bCs/>
          <w:kern w:val="0"/>
          <w:sz w:val="36"/>
          <w:szCs w:val="36"/>
        </w:rPr>
      </w:pPr>
    </w:p>
    <w:p w14:paraId="6DFA3AEC" w14:textId="77777777" w:rsidR="005A011F" w:rsidRDefault="00D85B3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33B35EEE" w14:textId="77777777" w:rsidR="005A011F" w:rsidRDefault="00D85B3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034D9938"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52FBBB21"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1E46CD44"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D3D5FE1"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5693FABA"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606900F"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4D144CC"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B492C8A"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13E6939"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4257874C"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2EE556A" w14:textId="77777777" w:rsidR="005A011F" w:rsidRDefault="00D85B3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C4F7F13" w14:textId="77777777" w:rsidR="005A011F" w:rsidRDefault="00D85B3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0CAE541" w14:textId="77777777" w:rsidR="005A011F" w:rsidRDefault="00D85B3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52C9B113" w14:textId="77777777" w:rsidR="005A011F" w:rsidRDefault="00D85B3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1E9B042A" w14:textId="77777777" w:rsidR="005A011F" w:rsidRDefault="005A011F">
      <w:pPr>
        <w:tabs>
          <w:tab w:val="center" w:pos="6979"/>
        </w:tabs>
        <w:spacing w:beforeLines="50" w:before="156" w:afterLines="50" w:after="156"/>
        <w:jc w:val="center"/>
        <w:rPr>
          <w:rFonts w:ascii="宋体" w:hAnsi="宋体" w:cs="宋体" w:hint="eastAsia"/>
          <w:b/>
          <w:bCs/>
          <w:spacing w:val="40"/>
          <w:kern w:val="0"/>
          <w:sz w:val="32"/>
          <w:szCs w:val="32"/>
        </w:rPr>
      </w:pPr>
    </w:p>
    <w:p w14:paraId="3BFB8611" w14:textId="77777777" w:rsidR="005A011F" w:rsidRDefault="005A011F">
      <w:pPr>
        <w:tabs>
          <w:tab w:val="center" w:pos="6979"/>
        </w:tabs>
        <w:spacing w:beforeLines="50" w:before="156" w:afterLines="50" w:after="156"/>
        <w:jc w:val="center"/>
        <w:rPr>
          <w:rFonts w:ascii="宋体" w:hAnsi="宋体" w:cs="宋体" w:hint="eastAsia"/>
          <w:b/>
          <w:bCs/>
          <w:spacing w:val="40"/>
          <w:kern w:val="0"/>
          <w:sz w:val="32"/>
          <w:szCs w:val="32"/>
        </w:rPr>
      </w:pPr>
    </w:p>
    <w:p w14:paraId="3B53069A" w14:textId="77777777" w:rsidR="005A011F" w:rsidRDefault="005A011F">
      <w:pPr>
        <w:tabs>
          <w:tab w:val="center" w:pos="6979"/>
        </w:tabs>
        <w:spacing w:beforeLines="50" w:before="156" w:afterLines="50" w:after="156"/>
        <w:jc w:val="center"/>
        <w:rPr>
          <w:rFonts w:ascii="宋体" w:hAnsi="宋体" w:cs="宋体" w:hint="eastAsia"/>
          <w:b/>
          <w:bCs/>
          <w:spacing w:val="40"/>
          <w:kern w:val="0"/>
          <w:sz w:val="32"/>
          <w:szCs w:val="32"/>
        </w:rPr>
      </w:pPr>
    </w:p>
    <w:p w14:paraId="7B312645" w14:textId="77777777" w:rsidR="005A011F" w:rsidRDefault="005A011F">
      <w:pPr>
        <w:tabs>
          <w:tab w:val="center" w:pos="6979"/>
        </w:tabs>
        <w:spacing w:beforeLines="50" w:before="156" w:afterLines="50" w:after="156"/>
        <w:jc w:val="center"/>
        <w:rPr>
          <w:rFonts w:ascii="宋体" w:hAnsi="宋体" w:cs="宋体" w:hint="eastAsia"/>
          <w:b/>
          <w:bCs/>
          <w:spacing w:val="40"/>
          <w:kern w:val="0"/>
          <w:sz w:val="32"/>
          <w:szCs w:val="32"/>
        </w:rPr>
      </w:pPr>
    </w:p>
    <w:p w14:paraId="27962D96" w14:textId="77777777" w:rsidR="005A011F" w:rsidRDefault="005A011F">
      <w:pPr>
        <w:tabs>
          <w:tab w:val="center" w:pos="6979"/>
        </w:tabs>
        <w:spacing w:beforeLines="50" w:before="156" w:afterLines="50" w:after="156"/>
        <w:jc w:val="center"/>
        <w:rPr>
          <w:rFonts w:ascii="宋体" w:hAnsi="宋体" w:cs="宋体" w:hint="eastAsia"/>
          <w:b/>
          <w:bCs/>
          <w:spacing w:val="40"/>
          <w:kern w:val="0"/>
          <w:sz w:val="32"/>
          <w:szCs w:val="32"/>
        </w:rPr>
      </w:pPr>
    </w:p>
    <w:p w14:paraId="475FAB88" w14:textId="77777777" w:rsidR="005A011F" w:rsidRDefault="00D85B3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3C446AA8" w14:textId="77777777" w:rsidR="005A011F" w:rsidRDefault="00D85B30">
      <w:pPr>
        <w:pStyle w:val="2"/>
        <w:rPr>
          <w:b w:val="0"/>
          <w:bCs w:val="0"/>
        </w:rPr>
        <w:sectPr w:rsidR="005A011F">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7BC783D" w14:textId="77777777" w:rsidR="005A011F" w:rsidRDefault="00D85B3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45D8166" w14:textId="77777777" w:rsidR="005A011F" w:rsidRDefault="00D85B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1239D33D" w14:textId="5189C9C9" w:rsidR="005A011F" w:rsidRDefault="00D85B3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北京市西城区</w:t>
      </w:r>
      <w:proofErr w:type="gramStart"/>
      <w:r>
        <w:rPr>
          <w:rFonts w:ascii="仿宋_GB2312" w:eastAsia="仿宋_GB2312" w:hint="eastAsia"/>
          <w:sz w:val="28"/>
          <w:szCs w:val="28"/>
        </w:rPr>
        <w:t>育翔小学</w:t>
      </w:r>
      <w:proofErr w:type="gramEnd"/>
      <w:r>
        <w:rPr>
          <w:rFonts w:ascii="仿宋_GB2312" w:eastAsia="仿宋_GB2312" w:hint="eastAsia"/>
          <w:sz w:val="28"/>
          <w:szCs w:val="28"/>
        </w:rPr>
        <w:t>分校（以下简称“本单位”）是一所全日制公办小学，2021年5月由北京市西城区政府批准创办，隶属北京市西城区教育委员会的全额财政拨款事业单位。本单位为财务独立核算单位，执行政府会计准则制度，地址位于北京市西城区安德路街小市口胡同8号院。</w:t>
      </w:r>
    </w:p>
    <w:p w14:paraId="4F6992F1" w14:textId="77777777" w:rsidR="005A011F" w:rsidRDefault="00D85B3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本单位以“</w:t>
      </w:r>
      <w:r w:rsidR="002834C2">
        <w:rPr>
          <w:rFonts w:ascii="仿宋_GB2312" w:eastAsia="仿宋_GB2312" w:hint="eastAsia"/>
          <w:sz w:val="28"/>
          <w:szCs w:val="28"/>
        </w:rPr>
        <w:t>阳光教育</w:t>
      </w:r>
      <w:r>
        <w:rPr>
          <w:rFonts w:ascii="仿宋_GB2312" w:eastAsia="仿宋_GB2312" w:hint="eastAsia"/>
          <w:sz w:val="28"/>
          <w:szCs w:val="28"/>
        </w:rPr>
        <w:t>”为办学理念，努力打造具有鲜明办学特色的优质义务教育品牌学校。围绕培养“品行端、身心健、志向远、学思博”的阳光少年的育人目标，</w:t>
      </w:r>
      <w:proofErr w:type="gramStart"/>
      <w:r>
        <w:rPr>
          <w:rFonts w:ascii="仿宋_GB2312" w:eastAsia="仿宋_GB2312" w:hint="eastAsia"/>
          <w:sz w:val="28"/>
          <w:szCs w:val="28"/>
        </w:rPr>
        <w:t>构建育翔分校</w:t>
      </w:r>
      <w:proofErr w:type="gramEnd"/>
      <w:r>
        <w:rPr>
          <w:rFonts w:ascii="仿宋_GB2312" w:eastAsia="仿宋_GB2312" w:hint="eastAsia"/>
          <w:sz w:val="28"/>
          <w:szCs w:val="28"/>
        </w:rPr>
        <w:t>“五育并举”课内课后一体化课程体系。</w:t>
      </w:r>
    </w:p>
    <w:p w14:paraId="203701D7" w14:textId="77777777" w:rsidR="005A011F" w:rsidRDefault="00D85B3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94E6A39" w14:textId="77777777" w:rsidR="005A011F" w:rsidRDefault="00D85B3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1748.73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213.95万元，增长</w:t>
      </w:r>
      <w:r>
        <w:rPr>
          <w:rFonts w:ascii="仿宋_GB2312" w:eastAsia="仿宋_GB2312" w:hAnsi="仿宋" w:cs="仿宋" w:hint="eastAsia"/>
          <w:color w:val="000000"/>
          <w:sz w:val="32"/>
          <w:szCs w:val="32"/>
          <w:lang w:bidi="ar"/>
        </w:rPr>
        <w:t>13.94</w:t>
      </w:r>
      <w:r>
        <w:rPr>
          <w:rFonts w:ascii="仿宋_GB2312" w:eastAsia="仿宋_GB2312" w:hint="eastAsia"/>
          <w:sz w:val="28"/>
          <w:szCs w:val="28"/>
        </w:rPr>
        <w:t>%。</w:t>
      </w:r>
    </w:p>
    <w:p w14:paraId="504DF3BC" w14:textId="77777777" w:rsidR="005A011F" w:rsidRDefault="00D85B3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98C43D8" w14:textId="2C37B7BF" w:rsidR="005A011F" w:rsidRDefault="00D85B3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1748.73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213.95万元，增长</w:t>
      </w:r>
      <w:r>
        <w:rPr>
          <w:rFonts w:ascii="仿宋_GB2312" w:eastAsia="仿宋_GB2312" w:hAnsi="仿宋" w:cs="仿宋" w:hint="eastAsia"/>
          <w:color w:val="000000"/>
          <w:sz w:val="32"/>
          <w:szCs w:val="32"/>
          <w:lang w:bidi="ar"/>
        </w:rPr>
        <w:t>13.94</w:t>
      </w:r>
      <w:r>
        <w:rPr>
          <w:rFonts w:ascii="仿宋_GB2312" w:eastAsia="仿宋_GB2312" w:hint="eastAsia"/>
          <w:sz w:val="28"/>
          <w:szCs w:val="28"/>
        </w:rPr>
        <w:t>%</w:t>
      </w:r>
      <w:r w:rsidR="005116E1">
        <w:rPr>
          <w:rFonts w:ascii="仿宋_GB2312" w:eastAsia="仿宋_GB2312" w:hint="eastAsia"/>
          <w:sz w:val="28"/>
          <w:szCs w:val="28"/>
        </w:rPr>
        <w:t>。</w:t>
      </w:r>
    </w:p>
    <w:p w14:paraId="7513996C" w14:textId="77777777" w:rsidR="005A011F" w:rsidRDefault="00D85B3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1748.73</w:t>
      </w:r>
      <w:r>
        <w:rPr>
          <w:rFonts w:ascii="仿宋_GB2312" w:eastAsia="仿宋_GB2312" w:hint="eastAsia"/>
          <w:sz w:val="28"/>
          <w:szCs w:val="28"/>
        </w:rPr>
        <w:t>万元，占收入合计的100%。其中：一般公共预算财政拨款收入</w:t>
      </w:r>
      <w:r>
        <w:rPr>
          <w:rFonts w:ascii="仿宋_GB2312" w:eastAsia="仿宋_GB2312"/>
          <w:sz w:val="28"/>
          <w:szCs w:val="28"/>
        </w:rPr>
        <w:t>1748.73</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BF1A9EA" w14:textId="77777777" w:rsidR="005A011F" w:rsidRDefault="00D85B3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51103C37" w14:textId="77777777" w:rsidR="005A011F" w:rsidRDefault="00D85B3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76E2EB62" w14:textId="77777777" w:rsidR="005A011F" w:rsidRDefault="00D85B3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7A6D13E5" w14:textId="77777777" w:rsidR="005A011F" w:rsidRDefault="00D85B3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45A13DCA" w14:textId="77777777" w:rsidR="005A011F" w:rsidRDefault="00D85B30">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55CC4320" w14:textId="77777777" w:rsidR="005A011F" w:rsidRDefault="00D85B30">
      <w:pPr>
        <w:pStyle w:val="2"/>
        <w:jc w:val="center"/>
      </w:pPr>
      <w:r>
        <w:rPr>
          <w:rFonts w:ascii="仿宋_GB2312" w:eastAsia="仿宋_GB2312" w:hint="eastAsia"/>
          <w:color w:val="000000"/>
          <w:sz w:val="32"/>
        </w:rPr>
        <w:t>图1：收入决算</w:t>
      </w:r>
    </w:p>
    <w:p w14:paraId="18380D2D" w14:textId="77777777" w:rsidR="005A011F" w:rsidRDefault="00D85B30">
      <w:pPr>
        <w:pStyle w:val="a3"/>
        <w:ind w:firstLine="420"/>
        <w:jc w:val="center"/>
      </w:pPr>
      <w:r>
        <w:rPr>
          <w:noProof/>
        </w:rPr>
        <w:drawing>
          <wp:inline distT="0" distB="0" distL="0" distR="0" wp14:anchorId="43FF901B" wp14:editId="3E48472E">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95E3610" w14:textId="77777777" w:rsidR="005A011F" w:rsidRDefault="00D85B3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E4CDEEC" w14:textId="77777777" w:rsidR="005A011F" w:rsidRDefault="00D85B3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1748.73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213.95万元，增长</w:t>
      </w:r>
      <w:r>
        <w:rPr>
          <w:rFonts w:ascii="仿宋_GB2312" w:eastAsia="仿宋_GB2312" w:hAnsi="仿宋" w:cs="仿宋" w:hint="eastAsia"/>
          <w:color w:val="000000"/>
          <w:sz w:val="32"/>
          <w:szCs w:val="32"/>
          <w:lang w:bidi="ar"/>
        </w:rPr>
        <w:t>13.94</w:t>
      </w:r>
      <w:r>
        <w:rPr>
          <w:rFonts w:ascii="仿宋_GB2312" w:eastAsia="仿宋_GB2312" w:hint="eastAsia"/>
          <w:sz w:val="28"/>
          <w:szCs w:val="28"/>
        </w:rPr>
        <w:t>%，其中：基本支出</w:t>
      </w:r>
      <w:r>
        <w:rPr>
          <w:rFonts w:ascii="仿宋_GB2312" w:eastAsia="仿宋_GB2312"/>
          <w:sz w:val="28"/>
          <w:szCs w:val="28"/>
        </w:rPr>
        <w:t>1492.52</w:t>
      </w:r>
      <w:r>
        <w:rPr>
          <w:rFonts w:ascii="仿宋_GB2312" w:eastAsia="仿宋_GB2312" w:hint="eastAsia"/>
          <w:sz w:val="28"/>
          <w:szCs w:val="28"/>
        </w:rPr>
        <w:t>万元，占支出合计的85.35%；项目支出</w:t>
      </w:r>
      <w:r>
        <w:rPr>
          <w:rFonts w:ascii="仿宋_GB2312" w:eastAsia="仿宋_GB2312"/>
          <w:sz w:val="28"/>
          <w:szCs w:val="28"/>
        </w:rPr>
        <w:t>256.21</w:t>
      </w:r>
      <w:r>
        <w:rPr>
          <w:rFonts w:ascii="仿宋_GB2312" w:eastAsia="仿宋_GB2312" w:hint="eastAsia"/>
          <w:sz w:val="28"/>
          <w:szCs w:val="28"/>
        </w:rPr>
        <w:t>万元，占支出合计的14.65%;上缴上级支出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1610FF25" w14:textId="77777777" w:rsidR="005A011F" w:rsidRDefault="00D85B3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2518E837" w14:textId="77777777" w:rsidR="005A011F" w:rsidRDefault="00D85B30">
      <w:pPr>
        <w:jc w:val="center"/>
        <w:rPr>
          <w:rFonts w:ascii="黑体" w:eastAsia="黑体"/>
          <w:b/>
          <w:sz w:val="28"/>
          <w:szCs w:val="28"/>
        </w:rPr>
      </w:pPr>
      <w:r>
        <w:rPr>
          <w:noProof/>
        </w:rPr>
        <w:drawing>
          <wp:inline distT="0" distB="0" distL="114300" distR="114300" wp14:anchorId="75DF94B6" wp14:editId="1D5904A1">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7913B2E" w14:textId="77777777" w:rsidR="005A011F" w:rsidRDefault="00D85B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9982C34" w14:textId="0D63AFD0" w:rsidR="005A011F" w:rsidRDefault="00D85B30">
      <w:pPr>
        <w:tabs>
          <w:tab w:val="center" w:pos="6979"/>
        </w:tabs>
        <w:spacing w:line="580" w:lineRule="exact"/>
        <w:ind w:firstLineChars="196" w:firstLine="549"/>
        <w:rPr>
          <w:rFonts w:ascii="仿宋_GB2312" w:eastAsia="仿宋_GB2312"/>
          <w:sz w:val="28"/>
          <w:szCs w:val="28"/>
          <w:lang w:bidi="ar"/>
        </w:rPr>
      </w:pPr>
      <w:r>
        <w:rPr>
          <w:rFonts w:ascii="仿宋_GB2312" w:eastAsia="仿宋_GB2312" w:hint="eastAsia"/>
          <w:sz w:val="28"/>
          <w:szCs w:val="28"/>
          <w:lang w:bidi="ar"/>
        </w:rPr>
        <w:t>2024年度财政拨款收、支总计1748.73万元，比上年增加213,95万元，增长13.94%。主要原因：我校2021年5月新建校，2023年仅有3个年级，本年末现有4</w:t>
      </w:r>
      <w:r w:rsidR="00A61752">
        <w:rPr>
          <w:rFonts w:ascii="仿宋_GB2312" w:eastAsia="仿宋_GB2312" w:hint="eastAsia"/>
          <w:sz w:val="28"/>
          <w:szCs w:val="28"/>
          <w:lang w:bidi="ar"/>
        </w:rPr>
        <w:t>个年级</w:t>
      </w:r>
      <w:r>
        <w:rPr>
          <w:rFonts w:ascii="仿宋_GB2312" w:eastAsia="仿宋_GB2312" w:hint="eastAsia"/>
          <w:sz w:val="28"/>
          <w:szCs w:val="28"/>
          <w:lang w:bidi="ar"/>
        </w:rPr>
        <w:t>。</w:t>
      </w:r>
      <w:bookmarkStart w:id="0" w:name="_Hlk204242537"/>
      <w:r>
        <w:rPr>
          <w:rFonts w:ascii="仿宋_GB2312" w:eastAsia="仿宋_GB2312" w:hint="eastAsia"/>
          <w:sz w:val="28"/>
          <w:szCs w:val="28"/>
          <w:lang w:bidi="ar"/>
        </w:rPr>
        <w:t>由于扩班因素影响，根据学校教育教学需要，我</w:t>
      </w:r>
      <w:proofErr w:type="gramStart"/>
      <w:r>
        <w:rPr>
          <w:rFonts w:ascii="仿宋_GB2312" w:eastAsia="仿宋_GB2312" w:hint="eastAsia"/>
          <w:sz w:val="28"/>
          <w:szCs w:val="28"/>
          <w:lang w:bidi="ar"/>
        </w:rPr>
        <w:t>校本年</w:t>
      </w:r>
      <w:bookmarkEnd w:id="0"/>
      <w:proofErr w:type="gramEnd"/>
      <w:r w:rsidR="00A61752">
        <w:rPr>
          <w:rFonts w:ascii="仿宋_GB2312" w:eastAsia="仿宋_GB2312" w:hint="eastAsia"/>
          <w:sz w:val="28"/>
          <w:szCs w:val="28"/>
          <w:lang w:bidi="ar"/>
        </w:rPr>
        <w:t>教师人数也有所增长，</w:t>
      </w:r>
      <w:r>
        <w:rPr>
          <w:rFonts w:ascii="仿宋_GB2312" w:eastAsia="仿宋_GB2312" w:hint="eastAsia"/>
          <w:sz w:val="28"/>
          <w:szCs w:val="28"/>
          <w:lang w:bidi="ar"/>
        </w:rPr>
        <w:t>人员经费和项目经费均较上年度有所提高，故本年财政拨款收入数较上年增长较大。财政拨款支出：本年基本支出、人员经费、公用经费较上年分别增长10.66%，10.96%，7.95%，项目支出较上年</w:t>
      </w:r>
      <w:proofErr w:type="gramStart"/>
      <w:r>
        <w:rPr>
          <w:rFonts w:ascii="仿宋_GB2312" w:eastAsia="仿宋_GB2312" w:hint="eastAsia"/>
          <w:sz w:val="28"/>
          <w:szCs w:val="28"/>
          <w:lang w:bidi="ar"/>
        </w:rPr>
        <w:t>增长增长</w:t>
      </w:r>
      <w:proofErr w:type="gramEnd"/>
      <w:r>
        <w:rPr>
          <w:rFonts w:ascii="仿宋_GB2312" w:eastAsia="仿宋_GB2312" w:hint="eastAsia"/>
          <w:sz w:val="28"/>
          <w:szCs w:val="28"/>
          <w:lang w:bidi="ar"/>
        </w:rPr>
        <w:t>37.70%。增减变动原因主要系</w:t>
      </w:r>
      <w:r w:rsidR="00157297">
        <w:rPr>
          <w:rFonts w:ascii="仿宋_GB2312" w:eastAsia="仿宋_GB2312" w:hint="eastAsia"/>
          <w:sz w:val="28"/>
          <w:szCs w:val="28"/>
          <w:lang w:bidi="ar"/>
        </w:rPr>
        <w:t>扩班原因导致的</w:t>
      </w:r>
      <w:r>
        <w:rPr>
          <w:rFonts w:ascii="仿宋_GB2312" w:eastAsia="仿宋_GB2312" w:hint="eastAsia"/>
          <w:sz w:val="28"/>
          <w:szCs w:val="28"/>
          <w:lang w:bidi="ar"/>
        </w:rPr>
        <w:t>人员</w:t>
      </w:r>
      <w:r w:rsidR="00157297">
        <w:rPr>
          <w:rFonts w:ascii="仿宋_GB2312" w:eastAsia="仿宋_GB2312" w:hint="eastAsia"/>
          <w:sz w:val="28"/>
          <w:szCs w:val="28"/>
          <w:lang w:bidi="ar"/>
        </w:rPr>
        <w:t>增加，</w:t>
      </w:r>
      <w:proofErr w:type="gramStart"/>
      <w:r w:rsidR="00157297">
        <w:rPr>
          <w:rFonts w:ascii="仿宋_GB2312" w:eastAsia="仿宋_GB2312" w:hint="eastAsia"/>
          <w:sz w:val="28"/>
          <w:szCs w:val="28"/>
          <w:lang w:bidi="ar"/>
        </w:rPr>
        <w:t>故项目</w:t>
      </w:r>
      <w:proofErr w:type="gramEnd"/>
      <w:r w:rsidR="00157297">
        <w:rPr>
          <w:rFonts w:ascii="仿宋_GB2312" w:eastAsia="仿宋_GB2312" w:hint="eastAsia"/>
          <w:sz w:val="28"/>
          <w:szCs w:val="28"/>
          <w:lang w:bidi="ar"/>
        </w:rPr>
        <w:t>支出有所</w:t>
      </w:r>
      <w:r>
        <w:rPr>
          <w:rFonts w:ascii="仿宋_GB2312" w:eastAsia="仿宋_GB2312" w:hint="eastAsia"/>
          <w:sz w:val="28"/>
          <w:szCs w:val="28"/>
          <w:lang w:bidi="ar"/>
        </w:rPr>
        <w:t>增长。</w:t>
      </w:r>
    </w:p>
    <w:p w14:paraId="4DE48E39" w14:textId="77777777" w:rsidR="005A011F" w:rsidRDefault="00D85B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430F78C" w14:textId="77777777" w:rsidR="005A011F" w:rsidRDefault="00D85B3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14:paraId="7595A3B4" w14:textId="77777777" w:rsidR="005A011F" w:rsidRDefault="00D85B30">
      <w:pPr>
        <w:autoSpaceDE w:val="0"/>
        <w:autoSpaceDN w:val="0"/>
        <w:adjustRightInd w:val="0"/>
        <w:spacing w:line="580" w:lineRule="exact"/>
        <w:ind w:firstLineChars="200" w:firstLine="560"/>
        <w:jc w:val="left"/>
        <w:rPr>
          <w:rFonts w:ascii="仿宋_GB2312" w:eastAsia="仿宋_GB2312"/>
          <w:sz w:val="28"/>
          <w:szCs w:val="28"/>
          <w:lang w:bidi="ar"/>
        </w:rPr>
      </w:pPr>
      <w:r>
        <w:rPr>
          <w:rFonts w:ascii="仿宋_GB2312" w:eastAsia="仿宋_GB2312" w:hint="eastAsia"/>
          <w:sz w:val="28"/>
          <w:szCs w:val="28"/>
          <w:lang w:bidi="ar"/>
        </w:rPr>
        <w:t>2024年度一般公共预算财政拨款支出1748.73万元，主要用于以下方面（按大类）：教育支出1286.79万元，占本年财政拨款支出73.58%；社会保障和就业支出179.87万元，占本年财政拨款支出10.29%；卫生健康支出95.93万元，占本年财政拨款支出5.49%；</w:t>
      </w:r>
      <w:bookmarkStart w:id="1" w:name="OLE_LINK9"/>
      <w:bookmarkStart w:id="2" w:name="OLE_LINK8"/>
      <w:r>
        <w:rPr>
          <w:rFonts w:ascii="仿宋_GB2312" w:eastAsia="仿宋_GB2312" w:hint="eastAsia"/>
          <w:sz w:val="28"/>
          <w:szCs w:val="28"/>
          <w:lang w:bidi="ar"/>
        </w:rPr>
        <w:t>住房保障支出</w:t>
      </w:r>
      <w:bookmarkEnd w:id="1"/>
      <w:bookmarkEnd w:id="2"/>
      <w:r>
        <w:rPr>
          <w:rFonts w:ascii="仿宋_GB2312" w:eastAsia="仿宋_GB2312" w:hint="eastAsia"/>
          <w:sz w:val="28"/>
          <w:szCs w:val="28"/>
          <w:lang w:bidi="ar"/>
        </w:rPr>
        <w:t>186.14万元，占本年财政拨款支出10.64%。</w:t>
      </w:r>
    </w:p>
    <w:p w14:paraId="08B6152C" w14:textId="77777777" w:rsidR="005A011F" w:rsidRDefault="00D85B3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4C56F84C" w14:textId="7E85E825" w:rsidR="005A011F" w:rsidRDefault="00D85B30">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hint="eastAsia"/>
          <w:sz w:val="28"/>
          <w:szCs w:val="28"/>
        </w:rPr>
        <w:t>1、</w:t>
      </w:r>
      <w:bookmarkStart w:id="3" w:name="OLE_LINK2"/>
      <w:bookmarkStart w:id="4" w:name="OLE_LINK1"/>
      <w:r>
        <w:rPr>
          <w:rFonts w:ascii="仿宋_GB2312" w:eastAsia="仿宋_GB2312" w:cs="仿宋_GB2312" w:hint="eastAsia"/>
          <w:sz w:val="28"/>
          <w:szCs w:val="28"/>
          <w:lang w:bidi="ar"/>
        </w:rPr>
        <w:t>“教育支出”（类）2024年度决算1286.79万元，完成年初预算比例119.07%</w:t>
      </w:r>
      <w:r w:rsidR="006B4651">
        <w:rPr>
          <w:rFonts w:ascii="仿宋_GB2312" w:eastAsia="仿宋_GB2312" w:cs="仿宋_GB2312" w:hint="eastAsia"/>
          <w:sz w:val="28"/>
          <w:szCs w:val="28"/>
          <w:lang w:bidi="ar"/>
        </w:rPr>
        <w:t>，</w:t>
      </w:r>
      <w:r>
        <w:rPr>
          <w:rFonts w:ascii="仿宋_GB2312" w:eastAsia="仿宋_GB2312" w:cs="仿宋_GB2312" w:hint="eastAsia"/>
          <w:sz w:val="28"/>
          <w:szCs w:val="28"/>
          <w:lang w:bidi="ar"/>
        </w:rPr>
        <w:t>其中“普通教育”（款）2024年度决算1284.07万元，完成年初预算比例119.12%；“进修及培训”（款）2024年度决算2.72万元，完成年初预算比例100%。</w:t>
      </w:r>
    </w:p>
    <w:p w14:paraId="3F80681B" w14:textId="1C8BFB31" w:rsidR="005A011F" w:rsidRDefault="00D85B30">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2、“社会保障和就业支出”（类）2024年度决算179.87万元，完成年初预算比例104.63%，其中“行政事业单位养老支出”（款）2024年度决算179.87万元，完成年初预算比例104.63%。</w:t>
      </w:r>
    </w:p>
    <w:p w14:paraId="3C26AE3F" w14:textId="3261B2DE" w:rsidR="005A011F" w:rsidRDefault="00D85B30">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3、“卫生健康支出”（类）2024年度决算95.93万元，完成年初预算比例102.81%，其中“行政事业单位医疗”（款）2024年度决算95.93万元，完成年初预算比例102.81%。</w:t>
      </w:r>
    </w:p>
    <w:p w14:paraId="5D73C155" w14:textId="470BD551" w:rsidR="005A011F" w:rsidRPr="001F1187" w:rsidRDefault="00D85B30" w:rsidP="001F1187">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4、“住房保障支出”（类）2024年度决算186.14万元，完成年初预算比例96.68%，其中“住房改革支出”（款）2024年度决算186.14万元，完成年初预算比例96.68%。</w:t>
      </w:r>
      <w:r>
        <w:rPr>
          <w:rFonts w:ascii="仿宋_GB2312" w:eastAsia="仿宋_GB2312" w:hint="eastAsia"/>
          <w:sz w:val="28"/>
          <w:szCs w:val="28"/>
          <w:lang w:bidi="ar"/>
        </w:rPr>
        <w:t>主要原因为：2024年年</w:t>
      </w:r>
      <w:proofErr w:type="gramStart"/>
      <w:r>
        <w:rPr>
          <w:rFonts w:ascii="仿宋_GB2312" w:eastAsia="仿宋_GB2312" w:hint="eastAsia"/>
          <w:sz w:val="28"/>
          <w:szCs w:val="28"/>
          <w:lang w:bidi="ar"/>
        </w:rPr>
        <w:t>末学校</w:t>
      </w:r>
      <w:proofErr w:type="gramEnd"/>
      <w:r w:rsidR="006B4651">
        <w:rPr>
          <w:rFonts w:ascii="仿宋_GB2312" w:eastAsia="仿宋_GB2312" w:hint="eastAsia"/>
          <w:sz w:val="28"/>
          <w:szCs w:val="28"/>
          <w:lang w:bidi="ar"/>
        </w:rPr>
        <w:t>教师人数及职级变化影响导致</w:t>
      </w:r>
      <w:r>
        <w:rPr>
          <w:rFonts w:ascii="仿宋_GB2312" w:eastAsia="仿宋_GB2312" w:hint="eastAsia"/>
          <w:sz w:val="28"/>
          <w:szCs w:val="28"/>
          <w:lang w:bidi="ar"/>
        </w:rPr>
        <w:t>。2024年预算数为根据上年9月预估数据，本年由于扩班因素影响</w:t>
      </w:r>
      <w:r w:rsidR="006B4651">
        <w:rPr>
          <w:rFonts w:ascii="仿宋_GB2312" w:eastAsia="仿宋_GB2312" w:hint="eastAsia"/>
          <w:sz w:val="28"/>
          <w:szCs w:val="28"/>
          <w:lang w:bidi="ar"/>
        </w:rPr>
        <w:t>，根据学校教育教学需要，本年人员经费和项目经费均较年初预算有所变化</w:t>
      </w:r>
      <w:r>
        <w:rPr>
          <w:rFonts w:ascii="仿宋_GB2312" w:eastAsia="仿宋_GB2312" w:hint="eastAsia"/>
          <w:sz w:val="28"/>
          <w:szCs w:val="28"/>
          <w:lang w:bidi="ar"/>
        </w:rPr>
        <w:t>，故本年教育支出、社会保障和就业支出、卫生健康支出、住房保障支出决算数</w:t>
      </w:r>
      <w:proofErr w:type="gramStart"/>
      <w:r>
        <w:rPr>
          <w:rFonts w:ascii="仿宋_GB2312" w:eastAsia="仿宋_GB2312" w:hint="eastAsia"/>
          <w:sz w:val="28"/>
          <w:szCs w:val="28"/>
          <w:lang w:bidi="ar"/>
        </w:rPr>
        <w:t>较预算</w:t>
      </w:r>
      <w:proofErr w:type="gramEnd"/>
      <w:r>
        <w:rPr>
          <w:rFonts w:ascii="仿宋_GB2312" w:eastAsia="仿宋_GB2312" w:hint="eastAsia"/>
          <w:sz w:val="28"/>
          <w:szCs w:val="28"/>
          <w:lang w:bidi="ar"/>
        </w:rPr>
        <w:t>数均有所变动。</w:t>
      </w:r>
      <w:bookmarkEnd w:id="3"/>
      <w:bookmarkEnd w:id="4"/>
    </w:p>
    <w:p w14:paraId="3CCCD177" w14:textId="77777777" w:rsidR="005A011F" w:rsidRDefault="00D85B3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188C982D" w14:textId="77777777" w:rsidR="005A011F" w:rsidRDefault="00D85B3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（一）政府性基金预算财政拨款支出决算总体情况</w:t>
      </w:r>
    </w:p>
    <w:p w14:paraId="61ADD316" w14:textId="77777777" w:rsidR="001F1187" w:rsidRDefault="001F1187" w:rsidP="001F1187">
      <w:pPr>
        <w:autoSpaceDE w:val="0"/>
        <w:autoSpaceDN w:val="0"/>
        <w:adjustRightInd w:val="0"/>
        <w:spacing w:line="580" w:lineRule="exact"/>
        <w:ind w:firstLineChars="400" w:firstLine="1120"/>
        <w:jc w:val="left"/>
        <w:rPr>
          <w:rFonts w:ascii="仿宋_GB2312" w:eastAsia="仿宋_GB2312"/>
          <w:sz w:val="28"/>
          <w:szCs w:val="28"/>
        </w:rPr>
      </w:pPr>
      <w:r>
        <w:rPr>
          <w:rFonts w:ascii="仿宋_GB2312" w:eastAsia="仿宋_GB2312" w:hint="eastAsia"/>
          <w:sz w:val="28"/>
          <w:szCs w:val="28"/>
        </w:rPr>
        <w:t>本单位无此项经费。</w:t>
      </w:r>
    </w:p>
    <w:p w14:paraId="5094DEB1" w14:textId="587027A5" w:rsidR="005A011F" w:rsidRDefault="00D85B3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150877F8" w14:textId="77777777" w:rsidR="001F1187" w:rsidRDefault="001F1187" w:rsidP="001F1187">
      <w:pPr>
        <w:spacing w:line="580" w:lineRule="exact"/>
        <w:ind w:firstLineChars="400" w:firstLine="1120"/>
        <w:rPr>
          <w:rFonts w:ascii="仿宋_GB2312" w:eastAsia="仿宋_GB2312"/>
          <w:sz w:val="28"/>
          <w:szCs w:val="28"/>
        </w:rPr>
      </w:pPr>
      <w:r>
        <w:rPr>
          <w:rFonts w:ascii="仿宋_GB2312" w:eastAsia="仿宋_GB2312" w:hint="eastAsia"/>
          <w:sz w:val="28"/>
          <w:szCs w:val="28"/>
        </w:rPr>
        <w:t>本单位无此项经费。</w:t>
      </w:r>
    </w:p>
    <w:p w14:paraId="207F3835" w14:textId="5EE512A0" w:rsidR="005A011F" w:rsidRDefault="00D85B3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B9C129C" w14:textId="77777777" w:rsidR="005A011F" w:rsidRDefault="00D85B30">
      <w:pPr>
        <w:ind w:firstLineChars="192" w:firstLine="538"/>
        <w:rPr>
          <w:rFonts w:ascii="仿宋_GB2312" w:eastAsia="仿宋_GB2312"/>
          <w:sz w:val="28"/>
          <w:szCs w:val="28"/>
        </w:rPr>
      </w:pPr>
      <w:r>
        <w:rPr>
          <w:rFonts w:ascii="仿宋_GB2312" w:eastAsia="仿宋_GB2312" w:hint="eastAsia"/>
          <w:sz w:val="28"/>
          <w:szCs w:val="28"/>
          <w:lang w:bidi="ar"/>
        </w:rPr>
        <w:t>2024年度国有资本经营预算财政拨款收入总计0万元，国有资本经营预算财政拨款支出总计0万元</w:t>
      </w:r>
      <w:r>
        <w:rPr>
          <w:rFonts w:ascii="仿宋_GB2312" w:eastAsia="仿宋_GB2312" w:hint="eastAsia"/>
          <w:sz w:val="28"/>
          <w:szCs w:val="28"/>
        </w:rPr>
        <w:t>。</w:t>
      </w:r>
    </w:p>
    <w:p w14:paraId="3D82BDD8" w14:textId="77777777" w:rsidR="005A011F" w:rsidRDefault="00D85B3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BB9D2C5" w14:textId="77777777" w:rsidR="005A011F" w:rsidRDefault="00D85B3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1492.52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2D7BE77" w14:textId="77777777" w:rsidR="005A011F" w:rsidRDefault="00D85B3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29B2881D" w14:textId="77777777" w:rsidR="005A011F" w:rsidRDefault="00D85B3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411C92CF" w14:textId="77777777" w:rsidR="005A011F" w:rsidRDefault="00D85B30">
      <w:pPr>
        <w:spacing w:line="560" w:lineRule="exact"/>
        <w:ind w:firstLineChars="200" w:firstLine="560"/>
        <w:rPr>
          <w:rFonts w:ascii="黑体" w:eastAsia="黑体"/>
          <w:sz w:val="28"/>
          <w:szCs w:val="28"/>
        </w:rPr>
      </w:pPr>
      <w:r>
        <w:rPr>
          <w:rFonts w:ascii="黑体" w:eastAsia="黑体" w:hint="eastAsia"/>
          <w:sz w:val="28"/>
          <w:szCs w:val="28"/>
        </w:rPr>
        <w:lastRenderedPageBreak/>
        <w:t>一、“三公”经费财政拨款决算情况</w:t>
      </w:r>
    </w:p>
    <w:p w14:paraId="0038EA9E" w14:textId="77777777" w:rsidR="005A011F" w:rsidRDefault="00D85B3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14:paraId="228D5397" w14:textId="796D80A9" w:rsidR="005A011F" w:rsidRDefault="00D85B30">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r w:rsidR="001F1187">
        <w:rPr>
          <w:rFonts w:ascii="仿宋_GB2312" w:eastAsia="仿宋_GB2312" w:hint="eastAsia"/>
          <w:sz w:val="28"/>
          <w:szCs w:val="28"/>
        </w:rPr>
        <w:t>本单位无此项经费。</w:t>
      </w:r>
    </w:p>
    <w:p w14:paraId="22CC976F" w14:textId="53FE673B" w:rsidR="005A011F" w:rsidRDefault="00D85B30">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1F1187">
        <w:rPr>
          <w:rFonts w:ascii="仿宋_GB2312" w:eastAsia="仿宋_GB2312" w:hint="eastAsia"/>
          <w:sz w:val="28"/>
          <w:szCs w:val="28"/>
        </w:rPr>
        <w:t>本单位无此项经费。</w:t>
      </w:r>
    </w:p>
    <w:p w14:paraId="1DDA3B71" w14:textId="4433AB1D" w:rsidR="005A011F" w:rsidRDefault="00D85B3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w:t>
      </w:r>
      <w:r w:rsidR="001F1187">
        <w:rPr>
          <w:rFonts w:ascii="仿宋_GB2312" w:eastAsia="仿宋_GB2312" w:hint="eastAsia"/>
          <w:sz w:val="28"/>
          <w:szCs w:val="28"/>
        </w:rPr>
        <w:t>本单位无此项经费。</w:t>
      </w:r>
    </w:p>
    <w:p w14:paraId="582727C7" w14:textId="77777777" w:rsidR="005A011F" w:rsidRDefault="00D85B3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240E86B7" w14:textId="77777777" w:rsidR="001F1187" w:rsidRDefault="001F1187" w:rsidP="001F1187">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0ADBD467" w14:textId="77777777" w:rsidR="005A011F" w:rsidRDefault="00D85B30">
      <w:pPr>
        <w:ind w:left="540"/>
        <w:rPr>
          <w:rFonts w:ascii="黑体" w:eastAsia="黑体"/>
          <w:sz w:val="28"/>
          <w:szCs w:val="28"/>
        </w:rPr>
      </w:pPr>
      <w:r>
        <w:rPr>
          <w:rFonts w:ascii="黑体" w:eastAsia="黑体" w:hint="eastAsia"/>
          <w:sz w:val="28"/>
          <w:szCs w:val="28"/>
        </w:rPr>
        <w:t>三、政府采购支出情况</w:t>
      </w:r>
    </w:p>
    <w:p w14:paraId="2E70179C" w14:textId="77777777" w:rsidR="005A011F" w:rsidRDefault="00D85B3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30.94</w:t>
      </w:r>
      <w:r>
        <w:rPr>
          <w:rFonts w:ascii="仿宋_GB2312" w:eastAsia="仿宋_GB2312" w:hint="eastAsia"/>
          <w:sz w:val="28"/>
          <w:szCs w:val="28"/>
        </w:rPr>
        <w:t>万元，其中：政府采购货物支出</w:t>
      </w:r>
      <w:r>
        <w:rPr>
          <w:rFonts w:ascii="仿宋_GB2312" w:eastAsia="仿宋_GB2312"/>
          <w:sz w:val="28"/>
          <w:szCs w:val="28"/>
        </w:rPr>
        <w:t>30.94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30.94</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30.94</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14:paraId="1D468B40" w14:textId="77777777" w:rsidR="005A011F" w:rsidRDefault="00D85B3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658C5FB" w14:textId="77777777" w:rsidR="005A011F" w:rsidRDefault="00D85B30">
      <w:pPr>
        <w:ind w:firstLineChars="200" w:firstLine="560"/>
        <w:rPr>
          <w:rFonts w:ascii="仿宋_GB2312" w:eastAsia="仿宋_GB2312"/>
          <w:sz w:val="32"/>
          <w:szCs w:val="32"/>
        </w:rPr>
      </w:pPr>
      <w:r>
        <w:rPr>
          <w:rFonts w:ascii="仿宋_GB2312" w:eastAsia="仿宋_GB2312" w:hint="eastAsia"/>
          <w:sz w:val="28"/>
          <w:szCs w:val="28"/>
        </w:rPr>
        <w:t>截至12月31日，北京市西城区</w:t>
      </w:r>
      <w:proofErr w:type="gramStart"/>
      <w:r>
        <w:rPr>
          <w:rFonts w:ascii="仿宋_GB2312" w:eastAsia="仿宋_GB2312" w:hint="eastAsia"/>
          <w:sz w:val="28"/>
          <w:szCs w:val="28"/>
        </w:rPr>
        <w:t>育翔小学</w:t>
      </w:r>
      <w:proofErr w:type="gramEnd"/>
      <w:r>
        <w:rPr>
          <w:rFonts w:ascii="仿宋_GB2312" w:eastAsia="仿宋_GB2312" w:hint="eastAsia"/>
          <w:sz w:val="28"/>
          <w:szCs w:val="28"/>
        </w:rPr>
        <w:t>分校共有车辆0台；单位价值100万元（含）以上的设备0台（套）。</w:t>
      </w:r>
    </w:p>
    <w:p w14:paraId="06AFFCB6" w14:textId="77777777" w:rsidR="005A011F" w:rsidRDefault="00D85B3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87E9362" w14:textId="77777777" w:rsidR="005A011F" w:rsidRDefault="00D85B3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1AE8D219" w14:textId="77777777" w:rsidR="005A011F" w:rsidRDefault="00D85B30">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14:paraId="70D0C519"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14263CE2"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19FA53B0" w14:textId="77777777" w:rsidR="005A011F" w:rsidRDefault="00D85B3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33695982" w14:textId="77777777" w:rsidR="005A011F" w:rsidRDefault="00D85B3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6B9BB082" w14:textId="77777777" w:rsidR="005A011F" w:rsidRDefault="00D85B3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4ECF54BA" w14:textId="77777777" w:rsidR="005A011F" w:rsidRDefault="00D85B3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2F233D3" w14:textId="77777777" w:rsidR="005A011F" w:rsidRPr="001F1187" w:rsidRDefault="00D85B30">
      <w:pPr>
        <w:ind w:firstLineChars="200" w:firstLine="560"/>
        <w:rPr>
          <w:rFonts w:ascii="仿宋_GB2312" w:eastAsia="仿宋_GB2312"/>
          <w:sz w:val="28"/>
          <w:szCs w:val="28"/>
        </w:rPr>
      </w:pPr>
      <w:r w:rsidRPr="001F1187">
        <w:rPr>
          <w:rFonts w:ascii="仿宋_GB2312" w:eastAsia="仿宋_GB2312" w:hint="eastAsia"/>
          <w:sz w:val="28"/>
          <w:szCs w:val="28"/>
        </w:rPr>
        <w:t>7.各单位需根据自身业务职能，补充当年使用的所有支出功能分类项级科目名词解释，例如：</w:t>
      </w:r>
    </w:p>
    <w:p w14:paraId="387F5750"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lastRenderedPageBreak/>
        <w:t>教育支出（类）普通教育（款）小学教育（项）：反映本部门举办的小学教育支出。</w:t>
      </w:r>
    </w:p>
    <w:p w14:paraId="615CECAD"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3D31FD7A"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41D61101"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781EEB37"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EBCC8BE"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407DD8AA" w14:textId="77777777" w:rsidR="005A011F" w:rsidRDefault="00D85B30">
      <w:pPr>
        <w:ind w:firstLineChars="200" w:firstLine="560"/>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7F5F7CF7" w14:textId="389CD639" w:rsidR="005A011F" w:rsidRDefault="005A011F">
      <w:pPr>
        <w:ind w:firstLineChars="200" w:firstLine="560"/>
        <w:rPr>
          <w:rFonts w:ascii="仿宋_GB2312" w:eastAsia="仿宋_GB2312"/>
          <w:sz w:val="28"/>
          <w:szCs w:val="28"/>
        </w:rPr>
      </w:pPr>
    </w:p>
    <w:p w14:paraId="73D3229E" w14:textId="77777777" w:rsidR="00DA46FC" w:rsidRPr="00DA46FC" w:rsidRDefault="00DA46FC" w:rsidP="00DA46FC">
      <w:pPr>
        <w:pStyle w:val="2"/>
      </w:pPr>
    </w:p>
    <w:p w14:paraId="77740639" w14:textId="77777777" w:rsidR="001F1187" w:rsidRDefault="001F1187">
      <w:pPr>
        <w:ind w:firstLineChars="200" w:firstLine="640"/>
        <w:jc w:val="center"/>
        <w:rPr>
          <w:rFonts w:ascii="黑体" w:eastAsia="黑体"/>
          <w:sz w:val="32"/>
          <w:szCs w:val="32"/>
        </w:rPr>
      </w:pPr>
    </w:p>
    <w:p w14:paraId="0D4A0D17" w14:textId="57190F7D" w:rsidR="005A011F" w:rsidRDefault="00D85B3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CE4DA7C" w14:textId="77777777" w:rsidR="005A011F" w:rsidRDefault="005A011F">
      <w:pPr>
        <w:ind w:firstLineChars="200" w:firstLine="560"/>
        <w:rPr>
          <w:rFonts w:ascii="黑体" w:eastAsia="黑体"/>
          <w:sz w:val="28"/>
          <w:szCs w:val="28"/>
          <w:highlight w:val="yellow"/>
        </w:rPr>
      </w:pPr>
    </w:p>
    <w:p w14:paraId="229EAA8E" w14:textId="77777777" w:rsidR="005A011F" w:rsidRDefault="00D85B3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3C01C574" w14:textId="77777777" w:rsidR="005A011F" w:rsidRDefault="00D85B3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2B00D200" w14:textId="77777777" w:rsidR="005A011F" w:rsidRDefault="00D85B3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9852230" w14:textId="77777777" w:rsidR="005A011F" w:rsidRDefault="00D85B3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37D839F" w14:textId="77777777" w:rsidR="005A011F" w:rsidRDefault="00D85B3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612F5216" w14:textId="77777777" w:rsidR="005A011F" w:rsidRDefault="005A011F">
      <w:pPr>
        <w:spacing w:line="480" w:lineRule="exact"/>
        <w:rPr>
          <w:rFonts w:ascii="仿宋_GB2312" w:eastAsia="仿宋_GB2312" w:hAnsi="仿宋_GB2312" w:cs="仿宋_GB2312" w:hint="eastAsia"/>
          <w:sz w:val="32"/>
          <w:szCs w:val="32"/>
        </w:rPr>
      </w:pPr>
    </w:p>
    <w:p w14:paraId="6F6D0256" w14:textId="77777777" w:rsidR="005A011F" w:rsidRDefault="005A011F">
      <w:pPr>
        <w:spacing w:line="480" w:lineRule="exact"/>
      </w:pPr>
    </w:p>
    <w:sectPr w:rsidR="005A011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B62D8" w14:textId="77777777" w:rsidR="004F2420" w:rsidRDefault="004F2420">
      <w:r>
        <w:separator/>
      </w:r>
    </w:p>
  </w:endnote>
  <w:endnote w:type="continuationSeparator" w:id="0">
    <w:p w14:paraId="50C5C8D1" w14:textId="77777777" w:rsidR="004F2420" w:rsidRDefault="004F2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11653" w14:textId="01E1CE9C" w:rsidR="005A011F" w:rsidRDefault="00D85B30">
    <w:pPr>
      <w:pStyle w:val="a7"/>
      <w:framePr w:wrap="around" w:vAnchor="text" w:hAnchor="margin" w:xAlign="center" w:y="1"/>
      <w:rPr>
        <w:rStyle w:val="ad"/>
      </w:rPr>
    </w:pPr>
    <w:r>
      <w:fldChar w:fldCharType="begin"/>
    </w:r>
    <w:r>
      <w:rPr>
        <w:rStyle w:val="ad"/>
      </w:rPr>
      <w:instrText xml:space="preserve">PAGE  </w:instrText>
    </w:r>
    <w:r>
      <w:fldChar w:fldCharType="separate"/>
    </w:r>
    <w:r w:rsidR="00157297">
      <w:rPr>
        <w:rStyle w:val="ad"/>
        <w:noProof/>
      </w:rPr>
      <w:t>3</w:t>
    </w:r>
    <w:r>
      <w:fldChar w:fldCharType="end"/>
    </w:r>
  </w:p>
  <w:p w14:paraId="67A247B1" w14:textId="77777777" w:rsidR="005A011F" w:rsidRDefault="005A011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F1BD" w14:textId="77777777" w:rsidR="005A011F" w:rsidRDefault="00D85B3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5BFD2C0" w14:textId="77777777" w:rsidR="005A011F" w:rsidRDefault="005A01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1787" w14:textId="4593F016" w:rsidR="005A011F" w:rsidRDefault="00D85B30">
    <w:pPr>
      <w:pStyle w:val="a7"/>
      <w:framePr w:wrap="around" w:vAnchor="text" w:hAnchor="margin" w:xAlign="center" w:y="1"/>
      <w:rPr>
        <w:rStyle w:val="ad"/>
      </w:rPr>
    </w:pPr>
    <w:r>
      <w:fldChar w:fldCharType="begin"/>
    </w:r>
    <w:r>
      <w:rPr>
        <w:rStyle w:val="ad"/>
      </w:rPr>
      <w:instrText xml:space="preserve">PAGE  </w:instrText>
    </w:r>
    <w:r>
      <w:fldChar w:fldCharType="separate"/>
    </w:r>
    <w:r w:rsidR="00157297">
      <w:rPr>
        <w:rStyle w:val="ad"/>
        <w:noProof/>
      </w:rPr>
      <w:t>6</w:t>
    </w:r>
    <w:r>
      <w:fldChar w:fldCharType="end"/>
    </w:r>
  </w:p>
  <w:p w14:paraId="07CD6F70" w14:textId="77777777" w:rsidR="005A011F" w:rsidRDefault="005A01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09928" w14:textId="77777777" w:rsidR="004F2420" w:rsidRDefault="004F2420">
      <w:r>
        <w:separator/>
      </w:r>
    </w:p>
  </w:footnote>
  <w:footnote w:type="continuationSeparator" w:id="0">
    <w:p w14:paraId="29FED6C7" w14:textId="77777777" w:rsidR="004F2420" w:rsidRDefault="004F2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10565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3901"/>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297"/>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1187"/>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34C2"/>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3A77"/>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420"/>
    <w:rsid w:val="004F2C5B"/>
    <w:rsid w:val="004F641B"/>
    <w:rsid w:val="004F71F3"/>
    <w:rsid w:val="005052FA"/>
    <w:rsid w:val="005069E1"/>
    <w:rsid w:val="00507E59"/>
    <w:rsid w:val="005116E1"/>
    <w:rsid w:val="005122B5"/>
    <w:rsid w:val="0052381C"/>
    <w:rsid w:val="0052778D"/>
    <w:rsid w:val="005346B3"/>
    <w:rsid w:val="0054051C"/>
    <w:rsid w:val="00546A84"/>
    <w:rsid w:val="00547BE2"/>
    <w:rsid w:val="0055353D"/>
    <w:rsid w:val="0056187C"/>
    <w:rsid w:val="00576B03"/>
    <w:rsid w:val="00581E1A"/>
    <w:rsid w:val="00591655"/>
    <w:rsid w:val="00591BEC"/>
    <w:rsid w:val="005940EA"/>
    <w:rsid w:val="00594448"/>
    <w:rsid w:val="005A011F"/>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4651"/>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1752"/>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5B30"/>
    <w:rsid w:val="00D87DAF"/>
    <w:rsid w:val="00D92EBC"/>
    <w:rsid w:val="00D9446D"/>
    <w:rsid w:val="00DA2994"/>
    <w:rsid w:val="00DA46FC"/>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36897"/>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0FB85F80"/>
    <w:rsid w:val="1059665E"/>
    <w:rsid w:val="10AC13BA"/>
    <w:rsid w:val="145A6C1B"/>
    <w:rsid w:val="14B73493"/>
    <w:rsid w:val="167A2FF9"/>
    <w:rsid w:val="18581C69"/>
    <w:rsid w:val="1AEC0734"/>
    <w:rsid w:val="1DEF20B0"/>
    <w:rsid w:val="214243FA"/>
    <w:rsid w:val="21AD613C"/>
    <w:rsid w:val="22467189"/>
    <w:rsid w:val="257A14F5"/>
    <w:rsid w:val="27196C26"/>
    <w:rsid w:val="29EF086F"/>
    <w:rsid w:val="2A3D48D9"/>
    <w:rsid w:val="2EFFE297"/>
    <w:rsid w:val="301437CA"/>
    <w:rsid w:val="349D1F0A"/>
    <w:rsid w:val="34DD0473"/>
    <w:rsid w:val="3C684897"/>
    <w:rsid w:val="3FEC6C32"/>
    <w:rsid w:val="433E495C"/>
    <w:rsid w:val="489F2FD7"/>
    <w:rsid w:val="4AC27CB3"/>
    <w:rsid w:val="4BF72BEF"/>
    <w:rsid w:val="4FA90297"/>
    <w:rsid w:val="4FC41A43"/>
    <w:rsid w:val="51DB3C59"/>
    <w:rsid w:val="550C0952"/>
    <w:rsid w:val="55762E42"/>
    <w:rsid w:val="57A7B272"/>
    <w:rsid w:val="58470068"/>
    <w:rsid w:val="58747CAC"/>
    <w:rsid w:val="59DA442C"/>
    <w:rsid w:val="5A1720F9"/>
    <w:rsid w:val="5B3A6320"/>
    <w:rsid w:val="5B9C37C2"/>
    <w:rsid w:val="5BA7C654"/>
    <w:rsid w:val="60A54109"/>
    <w:rsid w:val="61D01CDF"/>
    <w:rsid w:val="64C0607C"/>
    <w:rsid w:val="65756C86"/>
    <w:rsid w:val="66B22513"/>
    <w:rsid w:val="674D385B"/>
    <w:rsid w:val="676F09E1"/>
    <w:rsid w:val="6FCE27E8"/>
    <w:rsid w:val="71793A80"/>
    <w:rsid w:val="7357290B"/>
    <w:rsid w:val="798524E4"/>
    <w:rsid w:val="7A7F1C49"/>
    <w:rsid w:val="7B5B7AE6"/>
    <w:rsid w:val="7B7B6628"/>
    <w:rsid w:val="7BA7071E"/>
    <w:rsid w:val="7BDF6DA8"/>
    <w:rsid w:val="7C7EDC1A"/>
    <w:rsid w:val="7CCED98D"/>
    <w:rsid w:val="7D08410F"/>
    <w:rsid w:val="7DB96DED"/>
    <w:rsid w:val="7DD3AD81"/>
    <w:rsid w:val="7E745D9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66D864"/>
  <w15:docId w15:val="{5EA5F168-4811-475D-B3AF-EE8EEA78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等线"/>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20">
    <w:name w:val="标题 2 字符"/>
    <w:basedOn w:val="a0"/>
    <w:link w:val="2"/>
    <w:rPr>
      <w:rFonts w:ascii="Calibri Light" w:eastAsia="宋体" w:hAnsi="Calibri Light"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8409-4E57-9AC9-E961B39269A0}"/>
              </c:ext>
            </c:extLst>
          </c:dPt>
          <c:dPt>
            <c:idx val="1"/>
            <c:bubble3D val="0"/>
            <c:extLst>
              <c:ext xmlns:c16="http://schemas.microsoft.com/office/drawing/2014/chart" uri="{C3380CC4-5D6E-409C-BE32-E72D297353CC}">
                <c16:uniqueId val="{00000001-8409-4E57-9AC9-E961B39269A0}"/>
              </c:ext>
            </c:extLst>
          </c:dPt>
          <c:dPt>
            <c:idx val="2"/>
            <c:bubble3D val="0"/>
            <c:extLst>
              <c:ext xmlns:c16="http://schemas.microsoft.com/office/drawing/2014/chart" uri="{C3380CC4-5D6E-409C-BE32-E72D297353CC}">
                <c16:uniqueId val="{00000002-8409-4E57-9AC9-E961B39269A0}"/>
              </c:ext>
            </c:extLst>
          </c:dPt>
          <c:dPt>
            <c:idx val="3"/>
            <c:bubble3D val="0"/>
            <c:extLst>
              <c:ext xmlns:c16="http://schemas.microsoft.com/office/drawing/2014/chart" uri="{C3380CC4-5D6E-409C-BE32-E72D297353CC}">
                <c16:uniqueId val="{00000003-8409-4E57-9AC9-E961B39269A0}"/>
              </c:ext>
            </c:extLst>
          </c:dPt>
          <c:dPt>
            <c:idx val="4"/>
            <c:bubble3D val="0"/>
            <c:extLst>
              <c:ext xmlns:c16="http://schemas.microsoft.com/office/drawing/2014/chart" uri="{C3380CC4-5D6E-409C-BE32-E72D297353CC}">
                <c16:uniqueId val="{00000004-8409-4E57-9AC9-E961B39269A0}"/>
              </c:ext>
            </c:extLst>
          </c:dPt>
          <c:dPt>
            <c:idx val="5"/>
            <c:bubble3D val="0"/>
            <c:extLst>
              <c:ext xmlns:c16="http://schemas.microsoft.com/office/drawing/2014/chart" uri="{C3380CC4-5D6E-409C-BE32-E72D297353CC}">
                <c16:uniqueId val="{00000005-8409-4E57-9AC9-E961B39269A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1748.73</c:v>
                </c:pt>
                <c:pt idx="1">
                  <c:v>0</c:v>
                </c:pt>
                <c:pt idx="2">
                  <c:v>0</c:v>
                </c:pt>
                <c:pt idx="3">
                  <c:v>0</c:v>
                </c:pt>
                <c:pt idx="4">
                  <c:v>0</c:v>
                </c:pt>
                <c:pt idx="5">
                  <c:v>0</c:v>
                </c:pt>
              </c:numCache>
            </c:numRef>
          </c:val>
          <c:extLst>
            <c:ext xmlns:c16="http://schemas.microsoft.com/office/drawing/2014/chart" uri="{C3380CC4-5D6E-409C-BE32-E72D297353CC}">
              <c16:uniqueId val="{00000006-8409-4E57-9AC9-E961B39269A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6339ec31-9761-4c39-a8a5-c722d766324d}"/>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1947-4FDF-B156-6EF526FE298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1947-4FDF-B156-6EF526FE298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1947-4FDF-B156-6EF526FE298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1947-4FDF-B156-6EF526FE298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1947-4FDF-B156-6EF526FE298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947-4FDF-B156-6EF526FE298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947-4FDF-B156-6EF526FE298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1492.52</c:v>
                </c:pt>
                <c:pt idx="1">
                  <c:v>256.20999999999998</c:v>
                </c:pt>
                <c:pt idx="2">
                  <c:v>0</c:v>
                </c:pt>
                <c:pt idx="3">
                  <c:v>0</c:v>
                </c:pt>
                <c:pt idx="4">
                  <c:v>0</c:v>
                </c:pt>
              </c:numCache>
            </c:numRef>
          </c:val>
          <c:extLst>
            <c:ext xmlns:c16="http://schemas.microsoft.com/office/drawing/2014/chart" uri="{C3380CC4-5D6E-409C-BE32-E72D297353CC}">
              <c16:uniqueId val="{0000000A-1947-4FDF-B156-6EF526FE298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367745d4-5759-4b99-aaee-e18dc5b3fa3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2020-08-07T11:39:00Z</cp:lastPrinted>
  <dcterms:created xsi:type="dcterms:W3CDTF">2025-08-28T06:19:00Z</dcterms:created>
  <dcterms:modified xsi:type="dcterms:W3CDTF">2025-08-28T06:19:00Z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eyJoZGlkIjoiNmY1MjgyMGE4NjkxNDk3YjhiMTk0ODBjYzUyOGVmODIiLCJ1c2VySWQiOiI2MTY2Mzc0MzkifQ==</vt:lpwstr>
  </property>
</Properties>
</file>