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仿宋_GB2312"/>
          <w:b/>
          <w:color w:val="000000"/>
          <w:sz w:val="32"/>
          <w:szCs w:val="32"/>
        </w:rPr>
      </w:pPr>
      <w:r>
        <w:rPr>
          <w:rFonts w:ascii="仿宋_GB2312"/>
          <w:b/>
          <w:color w:val="000000"/>
          <w:sz w:val="32"/>
          <w:szCs w:val="32"/>
        </w:rPr>
        <w:t>部门</w:t>
      </w:r>
      <w:r>
        <w:rPr>
          <w:rFonts w:hint="eastAsia" w:ascii="仿宋_GB2312"/>
          <w:b/>
          <w:color w:val="000000"/>
          <w:sz w:val="32"/>
          <w:szCs w:val="32"/>
        </w:rPr>
        <w:t>决算</w:t>
      </w:r>
      <w:r>
        <w:rPr>
          <w:rFonts w:ascii="仿宋_GB2312"/>
          <w:b/>
          <w:color w:val="000000"/>
          <w:sz w:val="32"/>
          <w:szCs w:val="32"/>
        </w:rPr>
        <w:t>公开目录</w:t>
      </w:r>
    </w:p>
    <w:p>
      <w:pPr>
        <w:spacing w:line="560" w:lineRule="exact"/>
        <w:jc w:val="center"/>
        <w:rPr>
          <w:rFonts w:ascii="仿宋_GB2312"/>
          <w:b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61" w:firstLineChars="10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20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23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年度北京市西城区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广外街道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部门决算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1204" w:firstLineChars="300"/>
        <w:jc w:val="left"/>
        <w:textAlignment w:val="auto"/>
        <w:outlineLvl w:val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40"/>
          <w:kern w:val="0"/>
          <w:sz w:val="32"/>
          <w:szCs w:val="32"/>
        </w:rPr>
        <w:t>第一部分</w:t>
      </w:r>
      <w:r>
        <w:rPr>
          <w:rFonts w:hint="eastAsia" w:ascii="仿宋" w:hAnsi="仿宋" w:eastAsia="仿宋" w:cs="仿宋"/>
          <w:b/>
          <w:bCs/>
          <w:spacing w:val="40"/>
          <w:sz w:val="32"/>
          <w:szCs w:val="32"/>
        </w:rPr>
        <w:t xml:space="preserve"> 2023年度部门决算说明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280" w:firstLineChars="100"/>
        <w:textAlignment w:val="auto"/>
        <w:outlineLvl w:val="1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一、</w:t>
      </w:r>
      <w:bookmarkStart w:id="0" w:name="_Toc5538"/>
      <w:r>
        <w:rPr>
          <w:rFonts w:hint="eastAsia" w:ascii="仿宋" w:hAnsi="仿宋" w:eastAsia="仿宋" w:cs="仿宋"/>
          <w:b/>
          <w:sz w:val="28"/>
          <w:szCs w:val="28"/>
        </w:rPr>
        <w:t>部门/单位基本情况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（一）机构职责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（二）机构设置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textAlignment w:val="auto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1" w:name="_Toc4799"/>
      <w:r>
        <w:rPr>
          <w:rFonts w:hint="eastAsia" w:ascii="仿宋" w:hAnsi="仿宋" w:eastAsia="仿宋" w:cs="仿宋"/>
          <w:b/>
          <w:sz w:val="28"/>
          <w:szCs w:val="28"/>
        </w:rPr>
        <w:t>二、收入支出决算总体情况说明</w:t>
      </w:r>
      <w:bookmarkEnd w:id="1"/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（一）收入决算说明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（二）支出决算说明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textAlignment w:val="auto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2" w:name="_Toc19454"/>
      <w:r>
        <w:rPr>
          <w:rFonts w:hint="eastAsia" w:ascii="仿宋" w:hAnsi="仿宋" w:eastAsia="仿宋" w:cs="仿宋"/>
          <w:b/>
          <w:sz w:val="28"/>
          <w:szCs w:val="28"/>
        </w:rPr>
        <w:t>三、财政拨款收入支出决算总体情况说明</w:t>
      </w:r>
      <w:bookmarkEnd w:id="2"/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textAlignment w:val="auto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3" w:name="_Toc18816"/>
      <w:r>
        <w:rPr>
          <w:rFonts w:hint="eastAsia" w:ascii="仿宋" w:hAnsi="仿宋" w:eastAsia="仿宋" w:cs="仿宋"/>
          <w:b/>
          <w:sz w:val="28"/>
          <w:szCs w:val="28"/>
        </w:rPr>
        <w:t>四、一般公共预算财政拨款支出决算情况说明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（一）一般公共预算财政拨款支出决算总体情况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（二）一般公共预算财政拨款支出决算具体情况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textAlignment w:val="auto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五、政府性基金预算财政拨款支出决算情况说明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（一）政府性基金预算财政拨款支出决算总体情况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（二）政府性基金预算财政拨款支出决算具体情况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1" w:firstLineChars="100"/>
        <w:textAlignment w:val="auto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4" w:name="_Toc27211"/>
      <w:r>
        <w:rPr>
          <w:rFonts w:hint="eastAsia" w:ascii="仿宋" w:hAnsi="仿宋" w:eastAsia="仿宋" w:cs="仿宋"/>
          <w:b/>
          <w:sz w:val="28"/>
          <w:szCs w:val="28"/>
        </w:rPr>
        <w:t>六、国有资本经营预算财政拨款收支情况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textAlignment w:val="auto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5" w:name="_Toc533"/>
      <w:r>
        <w:rPr>
          <w:rFonts w:hint="eastAsia" w:ascii="仿宋" w:hAnsi="仿宋" w:eastAsia="仿宋" w:cs="仿宋"/>
          <w:b/>
          <w:sz w:val="28"/>
          <w:szCs w:val="28"/>
        </w:rPr>
        <w:t>七、财政拨款基本支出决算情况说明</w:t>
      </w:r>
      <w:bookmarkEnd w:id="5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1285" w:firstLineChars="4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6" w:name="_Toc30362"/>
      <w:r>
        <w:rPr>
          <w:rFonts w:hint="eastAsia" w:ascii="仿宋" w:hAnsi="仿宋" w:eastAsia="仿宋" w:cs="仿宋"/>
          <w:b/>
          <w:bCs/>
          <w:sz w:val="32"/>
          <w:szCs w:val="32"/>
        </w:rPr>
        <w:t>第二部分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2023年度其他重要事项的情况说明</w:t>
      </w:r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7" w:name="_Toc3281"/>
      <w:r>
        <w:rPr>
          <w:rFonts w:hint="eastAsia" w:ascii="仿宋" w:hAnsi="仿宋" w:eastAsia="仿宋" w:cs="仿宋"/>
          <w:b/>
          <w:bCs/>
          <w:sz w:val="28"/>
          <w:szCs w:val="28"/>
        </w:rPr>
        <w:t>一、“三公”经费财政拨款决算情况</w:t>
      </w:r>
      <w:bookmarkEnd w:id="7"/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1" w:firstLineChars="100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8" w:name="_Toc14471"/>
      <w:r>
        <w:rPr>
          <w:rFonts w:hint="eastAsia" w:ascii="仿宋" w:hAnsi="仿宋" w:eastAsia="仿宋" w:cs="仿宋"/>
          <w:b/>
          <w:bCs/>
          <w:sz w:val="28"/>
          <w:szCs w:val="28"/>
        </w:rPr>
        <w:t>二、机关运行经费支出情况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9" w:name="_Toc19779"/>
      <w:r>
        <w:rPr>
          <w:rFonts w:hint="eastAsia" w:ascii="仿宋" w:hAnsi="仿宋" w:eastAsia="仿宋" w:cs="仿宋"/>
          <w:b/>
          <w:bCs/>
          <w:sz w:val="28"/>
          <w:szCs w:val="28"/>
        </w:rPr>
        <w:t>三、政府采购支出情况</w:t>
      </w:r>
      <w:bookmarkEnd w:id="9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281" w:firstLineChars="1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0" w:name="_Toc24234"/>
      <w:r>
        <w:rPr>
          <w:rFonts w:hint="eastAsia" w:ascii="仿宋" w:hAnsi="仿宋" w:eastAsia="仿宋" w:cs="仿宋"/>
          <w:b/>
          <w:bCs/>
          <w:sz w:val="28"/>
          <w:szCs w:val="28"/>
        </w:rPr>
        <w:t>四、国有资产占用情况</w:t>
      </w:r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1" w:name="_Toc13840"/>
      <w:r>
        <w:rPr>
          <w:rFonts w:hint="eastAsia" w:ascii="仿宋" w:hAnsi="仿宋" w:eastAsia="仿宋" w:cs="仿宋"/>
          <w:b/>
          <w:bCs/>
          <w:sz w:val="28"/>
          <w:szCs w:val="28"/>
        </w:rPr>
        <w:t>五、政府购买服务支出说明</w:t>
      </w:r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bookmarkStart w:id="12" w:name="_Toc23993"/>
      <w:r>
        <w:rPr>
          <w:rFonts w:hint="eastAsia" w:ascii="仿宋" w:hAnsi="仿宋" w:eastAsia="仿宋" w:cs="仿宋"/>
          <w:b/>
          <w:bCs/>
          <w:sz w:val="28"/>
          <w:szCs w:val="28"/>
        </w:rPr>
        <w:t>六、专业名词解释</w:t>
      </w:r>
      <w:bookmarkEnd w:id="12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1606" w:firstLineChars="5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3" w:name="_Toc11038"/>
      <w:r>
        <w:rPr>
          <w:rFonts w:hint="eastAsia" w:ascii="仿宋" w:hAnsi="仿宋" w:eastAsia="仿宋" w:cs="仿宋"/>
          <w:b/>
          <w:bCs/>
          <w:sz w:val="32"/>
          <w:szCs w:val="32"/>
        </w:rPr>
        <w:t>第三部分  2023年度部门绩效评价情况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281" w:firstLineChars="100"/>
        <w:textAlignment w:val="auto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14" w:name="_Toc19457"/>
      <w:r>
        <w:rPr>
          <w:rFonts w:hint="eastAsia" w:ascii="仿宋" w:hAnsi="仿宋" w:eastAsia="仿宋" w:cs="仿宋"/>
          <w:b/>
          <w:sz w:val="28"/>
          <w:szCs w:val="28"/>
        </w:rPr>
        <w:t>一、预算绩效工作开展情况</w:t>
      </w:r>
      <w:bookmarkEnd w:id="14"/>
    </w:p>
    <w:p>
      <w:pPr>
        <w:ind w:firstLine="281" w:firstLineChars="100"/>
        <w:outlineLvl w:val="1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二、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部门整体绩效报告</w:t>
      </w:r>
    </w:p>
    <w:p>
      <w:pPr>
        <w:pStyle w:val="2"/>
        <w:ind w:firstLine="560"/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  <w:t>（一）部门概况</w:t>
      </w:r>
    </w:p>
    <w:p>
      <w:pPr>
        <w:pStyle w:val="2"/>
        <w:ind w:firstLine="560"/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  <w:t>1</w:t>
      </w:r>
      <w:r>
        <w:rPr>
          <w:rFonts w:hint="eastAsia" w:ascii="仿宋_GB2312" w:hAnsi="Times New Roman" w:cs="宋体"/>
          <w:bCs/>
          <w:snapToGrid w:val="0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  <w:t>机构设置及职责工作任务情况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560" w:firstLineChars="200"/>
        <w:textAlignment w:val="auto"/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  <w:lang w:val="en-US" w:eastAsia="zh-CN"/>
        </w:rPr>
        <w:t>2、</w:t>
      </w: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  <w:t>部门整体绩效目标设立情况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560" w:firstLineChars="200"/>
        <w:textAlignment w:val="auto"/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  <w:t>（二）当年预算执行情况</w:t>
      </w:r>
    </w:p>
    <w:p>
      <w:pPr>
        <w:pStyle w:val="2"/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  <w:t>（三）整体绩效目标实现情况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  <w:t>（四）预算管理情况分析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  <w:t>1</w:t>
      </w: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Times New Roman" w:eastAsia="仿宋_GB2312" w:cs="宋体"/>
          <w:bCs/>
          <w:snapToGrid w:val="0"/>
          <w:kern w:val="0"/>
          <w:sz w:val="28"/>
          <w:szCs w:val="28"/>
        </w:rPr>
        <w:t>财务管理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  <w:t>资产管理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  <w:t>绩效管理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  <w:t>结转结余率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  <w:t>部门预决算差异率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  <w:t>（五）总体评价结论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  <w:t>评价得分情况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  <w:t>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Cs/>
          <w:snapToGrid w:val="0"/>
          <w:kern w:val="0"/>
          <w:sz w:val="28"/>
          <w:szCs w:val="28"/>
        </w:rPr>
        <w:t>措施建议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281" w:firstLineChars="1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bookmarkStart w:id="15" w:name="_Toc2965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8"/>
          <w:szCs w:val="28"/>
        </w:rPr>
        <w:t>、</w:t>
      </w:r>
      <w:bookmarkEnd w:id="15"/>
      <w:r>
        <w:rPr>
          <w:rFonts w:hint="eastAsia" w:ascii="仿宋" w:hAnsi="仿宋" w:eastAsia="仿宋" w:cs="仿宋"/>
          <w:b/>
          <w:sz w:val="28"/>
          <w:szCs w:val="28"/>
        </w:rPr>
        <w:t>京财资环指[2021]1944号广外街道大气污染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防治精细化管理</w:t>
      </w:r>
      <w:r>
        <w:rPr>
          <w:rFonts w:hint="eastAsia" w:ascii="仿宋" w:hAnsi="仿宋" w:eastAsia="仿宋" w:cs="仿宋"/>
          <w:b/>
          <w:sz w:val="28"/>
          <w:szCs w:val="28"/>
        </w:rPr>
        <w:t>项目绩效评价报告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（</w:t>
      </w: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）基本情况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1、项目概况。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项目绩效目标。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（二）绩效评价工作开展情况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1、绩效评价目的、对象和范围。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绩效评价原则、评价指标体系（附表说明）、评价方法、评价标准等。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绩效评价工作过程。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（三）综合评价情况及评价结论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（四）绩效评价指标分析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1、项目决策情况。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项目过程情况。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  <w:lang w:val="en-US" w:eastAsia="zh-CN"/>
        </w:rPr>
        <w:t>主要经验做法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Cs/>
          <w:kern w:val="44"/>
          <w:sz w:val="28"/>
          <w:szCs w:val="28"/>
        </w:rPr>
        <w:t>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napToGrid w:val="0"/>
          <w:kern w:val="0"/>
          <w:sz w:val="28"/>
          <w:szCs w:val="28"/>
        </w:rPr>
        <w:t>（七）其他需要说明的问题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before="156" w:beforeLines="50" w:after="156" w:afterLines="50" w:line="360" w:lineRule="auto"/>
        <w:ind w:firstLine="803" w:firstLineChars="200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40"/>
          <w:kern w:val="0"/>
          <w:sz w:val="32"/>
          <w:szCs w:val="32"/>
        </w:rPr>
        <w:t>第四部分 2023年度部门决算报表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spacing w:val="4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一、收入支出决算总表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二、收入决算表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三、支出决算表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四、财政拨款收入支出决算总表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五、一般公共预算财政拨款收入支出决算表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六、一般公共预算财政拨款支出决算表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七、一般公共预算财政拨款基本支出决算表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八、政府性基金预算财政拨款收入支出决算表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九、政府性基金预算财政拨款基本支出决算表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十、国有资本经营预算财政拨款支出决算表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十一、财政拨款“三公”经费支出决算表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十二、政府采购情况表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360" w:lineRule="auto"/>
        <w:ind w:firstLine="360" w:firstLineChars="100"/>
        <w:jc w:val="left"/>
        <w:textAlignment w:val="auto"/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</w:pPr>
      <w:bookmarkStart w:id="16" w:name="_GoBack"/>
      <w:bookmarkEnd w:id="16"/>
      <w:r>
        <w:rPr>
          <w:rFonts w:hint="eastAsia" w:ascii="仿宋" w:hAnsi="仿宋" w:eastAsia="仿宋" w:cs="仿宋"/>
          <w:bCs/>
          <w:spacing w:val="40"/>
          <w:kern w:val="0"/>
          <w:sz w:val="28"/>
          <w:szCs w:val="28"/>
        </w:rPr>
        <w:t>十三、政府购买服务决算公开情况表</w:t>
      </w:r>
    </w:p>
    <w:p>
      <w:pPr>
        <w:pStyle w:val="2"/>
        <w:rPr>
          <w:rFonts w:hint="eastAsia" w:ascii="仿宋_GB2312" w:eastAsia="仿宋_GB2312" w:cs="宋体"/>
          <w:bCs/>
          <w:snapToGrid w:val="0"/>
          <w:kern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1784FB"/>
    <w:multiLevelType w:val="singleLevel"/>
    <w:tmpl w:val="A61784FB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A77945"/>
    <w:multiLevelType w:val="singleLevel"/>
    <w:tmpl w:val="B1A77945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CC5B291F"/>
    <w:multiLevelType w:val="singleLevel"/>
    <w:tmpl w:val="CC5B291F"/>
    <w:lvl w:ilvl="0" w:tentative="0">
      <w:start w:val="6"/>
      <w:numFmt w:val="chineseCounting"/>
      <w:suff w:val="nothing"/>
      <w:lvlText w:val="（%1）"/>
      <w:lvlJc w:val="left"/>
      <w:rPr>
        <w:rFonts w:hint="eastAsia"/>
        <w:sz w:val="28"/>
        <w:szCs w:val="28"/>
      </w:rPr>
    </w:lvl>
  </w:abstractNum>
  <w:abstractNum w:abstractNumId="3">
    <w:nsid w:val="1419755D"/>
    <w:multiLevelType w:val="singleLevel"/>
    <w:tmpl w:val="1419755D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1F6A8759"/>
    <w:multiLevelType w:val="singleLevel"/>
    <w:tmpl w:val="1F6A875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20F62"/>
    <w:rsid w:val="1EFD25BE"/>
    <w:rsid w:val="233E6CFC"/>
    <w:rsid w:val="3A0F558C"/>
    <w:rsid w:val="3A4A151E"/>
    <w:rsid w:val="3BF20F62"/>
    <w:rsid w:val="47C72296"/>
    <w:rsid w:val="4DB52BE8"/>
    <w:rsid w:val="53445F70"/>
    <w:rsid w:val="64275828"/>
    <w:rsid w:val="6ED65DFC"/>
    <w:rsid w:val="71E1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toc 3"/>
    <w:next w:val="1"/>
    <w:unhideWhenUsed/>
    <w:qFormat/>
    <w:uiPriority w:val="39"/>
    <w:pPr>
      <w:widowControl w:val="0"/>
      <w:spacing w:line="640" w:lineRule="exact"/>
      <w:ind w:firstLine="720" w:firstLineChars="200"/>
      <w:jc w:val="both"/>
    </w:pPr>
    <w:rPr>
      <w:rFonts w:ascii="仿宋_GB2312" w:hAnsi="Times New Roman" w:eastAsia="仿宋_GB2312" w:cs="Times New Roman"/>
      <w:kern w:val="2"/>
      <w:sz w:val="36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2024-08-22T07:48:00Z</dcterms:created>
  <dc:creator>Lenovo</dc:creator>
  <cp:lastModifiedBy>Lenovo</cp:lastModifiedBy>
  <dcterms:modified xsi:type="dcterms:W3CDTF">2024-08-29T02:56:10Z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