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Times New Roman"/>
          <w:sz w:val="44"/>
          <w:szCs w:val="24"/>
        </w:rPr>
      </w:pPr>
      <w:r>
        <w:rPr>
          <w:rFonts w:ascii="方正小标宋简体" w:hAnsi="宋体" w:eastAsia="方正小标宋简体" w:cs="Times New Roman"/>
          <w:sz w:val="44"/>
          <w:szCs w:val="24"/>
        </w:rPr>
        <w:t>20</w:t>
      </w:r>
      <w:r>
        <w:rPr>
          <w:rFonts w:hint="eastAsia" w:ascii="方正小标宋简体" w:hAnsi="宋体" w:eastAsia="方正小标宋简体" w:cs="Times New Roman"/>
          <w:sz w:val="44"/>
          <w:szCs w:val="24"/>
          <w:lang w:val="en-US" w:eastAsia="zh-CN"/>
        </w:rPr>
        <w:t>21</w:t>
      </w:r>
      <w:r>
        <w:rPr>
          <w:rFonts w:ascii="方正小标宋简体" w:hAnsi="宋体" w:eastAsia="方正小标宋简体" w:cs="Times New Roman"/>
          <w:sz w:val="44"/>
          <w:szCs w:val="24"/>
        </w:rPr>
        <w:t>年</w:t>
      </w:r>
      <w:r>
        <w:rPr>
          <w:rFonts w:hint="eastAsia" w:ascii="方正小标宋简体" w:hAnsi="宋体" w:eastAsia="方正小标宋简体" w:cs="Times New Roman"/>
          <w:sz w:val="44"/>
          <w:szCs w:val="24"/>
        </w:rPr>
        <w:t>广外街道部门</w:t>
      </w:r>
      <w:r>
        <w:rPr>
          <w:rFonts w:hint="eastAsia" w:ascii="方正小标宋简体" w:hAnsi="宋体" w:eastAsia="方正小标宋简体" w:cs="Times New Roman"/>
          <w:sz w:val="44"/>
          <w:szCs w:val="24"/>
          <w:lang w:eastAsia="zh-CN"/>
        </w:rPr>
        <w:t>决算</w:t>
      </w:r>
      <w:r>
        <w:rPr>
          <w:rFonts w:hint="eastAsia" w:ascii="方正小标宋简体" w:hAnsi="宋体" w:eastAsia="方正小标宋简体" w:cs="Times New Roman"/>
          <w:sz w:val="44"/>
          <w:szCs w:val="24"/>
        </w:rPr>
        <w:t>编制情况说明</w:t>
      </w:r>
    </w:p>
    <w:p>
      <w:pPr>
        <w:ind w:firstLine="640" w:firstLineChars="200"/>
        <w:rPr>
          <w:rFonts w:ascii="黑体" w:hAnsi="黑体" w:eastAsia="黑体"/>
          <w:sz w:val="32"/>
          <w:szCs w:val="32"/>
        </w:rPr>
      </w:pPr>
      <w:r>
        <w:rPr>
          <w:rFonts w:hint="eastAsia" w:ascii="黑体" w:hAnsi="黑体" w:eastAsia="黑体"/>
          <w:sz w:val="32"/>
          <w:szCs w:val="32"/>
        </w:rPr>
        <w:t>一、部门情况</w:t>
      </w:r>
    </w:p>
    <w:p>
      <w:pPr>
        <w:ind w:firstLine="640" w:firstLineChars="200"/>
        <w:rPr>
          <w:rFonts w:ascii="楷体" w:hAnsi="楷体" w:eastAsia="楷体"/>
          <w:sz w:val="32"/>
          <w:szCs w:val="30"/>
        </w:rPr>
      </w:pPr>
      <w:r>
        <w:rPr>
          <w:rFonts w:hint="eastAsia" w:ascii="楷体" w:hAnsi="楷体" w:eastAsia="楷体"/>
          <w:sz w:val="32"/>
          <w:szCs w:val="30"/>
        </w:rPr>
        <w:t>（一）部门机构设置、职责</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北京市西城区人民政府广安门外街道办事处是西城区政府的派出机构，受西城区委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区政府</w:t>
      </w:r>
      <w:r>
        <w:rPr>
          <w:rFonts w:hint="eastAsia" w:ascii="仿宋_GB2312" w:hAnsi="仿宋_GB2312" w:eastAsia="仿宋_GB2312" w:cs="仿宋_GB2312"/>
          <w:sz w:val="32"/>
          <w:szCs w:val="32"/>
          <w:lang w:eastAsia="zh-CN"/>
        </w:rPr>
        <w:t>、街道工委</w:t>
      </w:r>
      <w:r>
        <w:rPr>
          <w:rFonts w:hint="eastAsia" w:ascii="仿宋_GB2312" w:hAnsi="仿宋_GB2312" w:eastAsia="仿宋_GB2312" w:cs="仿宋_GB2312"/>
          <w:sz w:val="32"/>
          <w:szCs w:val="32"/>
        </w:rPr>
        <w:t>领导。依据法律、法规及受本区政府依托，对本辖区内城市管理、社区服务、经济发展、社会治安、基层党建、精神文明等方面工作行使组织领导、综合协调、监督检查等职能。</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广外街道</w:t>
      </w:r>
      <w:r>
        <w:rPr>
          <w:rFonts w:hint="eastAsia" w:ascii="仿宋_GB2312" w:hAnsi="仿宋_GB2312" w:eastAsia="仿宋_GB2312" w:cs="仿宋_GB2312"/>
          <w:sz w:val="32"/>
          <w:szCs w:val="32"/>
          <w:lang w:eastAsia="zh-CN"/>
        </w:rPr>
        <w:t>内设机构</w:t>
      </w:r>
      <w:r>
        <w:rPr>
          <w:rFonts w:hint="eastAsia" w:ascii="仿宋_GB2312" w:hAnsi="仿宋_GB2312" w:eastAsia="仿宋_GB2312" w:cs="仿宋_GB2312"/>
          <w:sz w:val="32"/>
          <w:szCs w:val="32"/>
        </w:rPr>
        <w:t>“一委七办两队四中心”，“一委”是纪工委（监察组）；“七办”是综合办公室、党群工作办公室、平安建设办公室、城市管理办公室、社区建设办公室、民生保障办公室和地区协调服务办公室；“两队”是综合行政执法一队，综合行政执法二队；“四中心”是党群服务中心、市民服务中心、全响应街区治理中心和马连道街区综合服务中心。另外，</w:t>
      </w:r>
      <w:r>
        <w:rPr>
          <w:rFonts w:hint="eastAsia" w:ascii="仿宋_GB2312" w:hAnsi="仿宋_GB2312" w:eastAsia="仿宋_GB2312" w:cs="仿宋_GB2312"/>
          <w:sz w:val="32"/>
          <w:szCs w:val="32"/>
          <w:lang w:eastAsia="zh-CN"/>
        </w:rPr>
        <w:t>现</w:t>
      </w:r>
      <w:r>
        <w:rPr>
          <w:rFonts w:hint="eastAsia" w:ascii="仿宋_GB2312" w:hAnsi="仿宋_GB2312" w:eastAsia="仿宋_GB2312" w:cs="仿宋_GB2312"/>
          <w:sz w:val="32"/>
          <w:szCs w:val="32"/>
        </w:rPr>
        <w:t>有3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个社区。</w:t>
      </w:r>
    </w:p>
    <w:p>
      <w:pPr>
        <w:ind w:firstLine="640" w:firstLineChars="200"/>
        <w:rPr>
          <w:rFonts w:hint="eastAsia" w:ascii="楷体" w:hAnsi="楷体" w:eastAsia="楷体"/>
          <w:sz w:val="32"/>
          <w:szCs w:val="30"/>
        </w:rPr>
      </w:pPr>
      <w:r>
        <w:rPr>
          <w:rFonts w:hint="eastAsia" w:ascii="楷体" w:hAnsi="楷体" w:eastAsia="楷体"/>
          <w:sz w:val="32"/>
          <w:szCs w:val="30"/>
        </w:rPr>
        <w:t>（二）人员构成情况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北京市西城区</w:t>
      </w:r>
      <w:r>
        <w:rPr>
          <w:rFonts w:hint="eastAsia" w:ascii="仿宋_GB2312" w:hAnsi="仿宋_GB2312" w:eastAsia="仿宋_GB2312" w:cs="仿宋_GB2312"/>
          <w:sz w:val="32"/>
          <w:szCs w:val="32"/>
          <w:lang w:eastAsia="zh-CN"/>
        </w:rPr>
        <w:t>人民政府广安门外街道办事处</w:t>
      </w:r>
      <w:r>
        <w:rPr>
          <w:rFonts w:hint="eastAsia" w:ascii="仿宋_GB2312" w:hAnsi="仿宋_GB2312" w:eastAsia="仿宋_GB2312" w:cs="仿宋_GB2312"/>
          <w:sz w:val="32"/>
          <w:szCs w:val="32"/>
        </w:rPr>
        <w:t>实</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val="en-US" w:eastAsia="zh-CN"/>
        </w:rPr>
        <w:t>264</w:t>
      </w:r>
      <w:r>
        <w:rPr>
          <w:rFonts w:hint="eastAsia" w:ascii="仿宋_GB2312" w:hAnsi="仿宋_GB2312" w:eastAsia="仿宋_GB2312" w:cs="仿宋_GB2312"/>
          <w:sz w:val="32"/>
          <w:szCs w:val="32"/>
        </w:rPr>
        <w:t>人。离退休人员1</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二、收入决算说明</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eastAsia="zh-CN"/>
        </w:rPr>
        <w:t>收入决算数</w:t>
      </w:r>
      <w:r>
        <w:rPr>
          <w:rFonts w:hint="eastAsia" w:ascii="仿宋_GB2312" w:hAnsi="仿宋_GB2312" w:eastAsia="仿宋_GB2312" w:cs="仿宋_GB2312"/>
          <w:sz w:val="32"/>
          <w:szCs w:val="32"/>
        </w:rPr>
        <w:t>45405.60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年初结转和结余</w:t>
      </w:r>
      <w:r>
        <w:rPr>
          <w:rFonts w:hint="eastAsia" w:ascii="仿宋_GB2312" w:hAnsi="仿宋_GB2312" w:eastAsia="仿宋_GB2312" w:cs="仿宋_GB2312"/>
          <w:sz w:val="32"/>
          <w:szCs w:val="32"/>
          <w:lang w:val="en-US" w:eastAsia="zh-CN"/>
        </w:rPr>
        <w:t>553.76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街道财政拨款收入比</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同期42131.91万元增加3</w:t>
      </w:r>
      <w:r>
        <w:rPr>
          <w:rFonts w:hint="eastAsia" w:ascii="仿宋_GB2312" w:hAnsi="仿宋_GB2312" w:eastAsia="仿宋_GB2312" w:cs="仿宋_GB2312"/>
          <w:sz w:val="32"/>
          <w:szCs w:val="32"/>
          <w:lang w:val="en-US" w:eastAsia="zh-CN"/>
        </w:rPr>
        <w:t>273.69</w:t>
      </w:r>
      <w:r>
        <w:rPr>
          <w:rFonts w:hint="eastAsia" w:ascii="仿宋_GB2312" w:hAnsi="仿宋_GB2312" w:eastAsia="仿宋_GB2312" w:cs="仿宋_GB2312"/>
          <w:sz w:val="32"/>
          <w:szCs w:val="32"/>
        </w:rPr>
        <w:t>万元，增长7.77%</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三、支出决算说明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度支出决算合计</w:t>
      </w:r>
      <w:r>
        <w:rPr>
          <w:rFonts w:hint="eastAsia" w:ascii="仿宋_GB2312" w:hAnsi="仿宋_GB2312" w:eastAsia="仿宋_GB2312" w:cs="仿宋_GB2312"/>
          <w:sz w:val="32"/>
          <w:szCs w:val="32"/>
          <w:lang w:val="en-US" w:eastAsia="zh-CN"/>
        </w:rPr>
        <w:t>45646.04</w:t>
      </w:r>
      <w:r>
        <w:rPr>
          <w:rFonts w:hint="eastAsia" w:ascii="仿宋_GB2312" w:hAnsi="仿宋_GB2312" w:eastAsia="仿宋_GB2312" w:cs="仿宋_GB2312"/>
          <w:sz w:val="32"/>
          <w:szCs w:val="32"/>
        </w:rPr>
        <w:t>万元，其中：基本支出8</w:t>
      </w:r>
      <w:r>
        <w:rPr>
          <w:rFonts w:hint="eastAsia" w:ascii="仿宋_GB2312" w:hAnsi="仿宋_GB2312" w:eastAsia="仿宋_GB2312" w:cs="仿宋_GB2312"/>
          <w:sz w:val="32"/>
          <w:szCs w:val="32"/>
          <w:lang w:val="en-US" w:eastAsia="zh-CN"/>
        </w:rPr>
        <w:t>679.73</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19.01</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36966.31</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80.99</w:t>
      </w:r>
      <w:r>
        <w:rPr>
          <w:rFonts w:hint="eastAsia" w:ascii="仿宋_GB2312" w:hAnsi="仿宋_GB2312" w:eastAsia="仿宋_GB2312" w:cs="仿宋_GB2312"/>
          <w:sz w:val="32"/>
          <w:szCs w:val="32"/>
        </w:rPr>
        <w:t>%。</w:t>
      </w:r>
    </w:p>
    <w:p>
      <w:pPr>
        <w:ind w:firstLine="640" w:firstLineChars="200"/>
        <w:rPr>
          <w:rFonts w:hint="eastAsia" w:ascii="楷体" w:hAnsi="楷体" w:eastAsia="楷体"/>
          <w:sz w:val="32"/>
          <w:szCs w:val="30"/>
        </w:rPr>
      </w:pPr>
      <w:r>
        <w:rPr>
          <w:rFonts w:hint="eastAsia" w:ascii="楷体" w:hAnsi="楷体" w:eastAsia="楷体"/>
          <w:sz w:val="32"/>
          <w:szCs w:val="30"/>
        </w:rPr>
        <w:t>（一）</w:t>
      </w:r>
      <w:r>
        <w:rPr>
          <w:rFonts w:hint="eastAsia" w:ascii="楷体" w:hAnsi="楷体" w:eastAsia="楷体"/>
          <w:sz w:val="32"/>
          <w:szCs w:val="30"/>
          <w:lang w:eastAsia="zh-CN"/>
        </w:rPr>
        <w:t>202</w:t>
      </w:r>
      <w:r>
        <w:rPr>
          <w:rFonts w:hint="eastAsia" w:ascii="楷体" w:hAnsi="楷体" w:eastAsia="楷体"/>
          <w:sz w:val="32"/>
          <w:szCs w:val="30"/>
          <w:lang w:val="en-US" w:eastAsia="zh-CN"/>
        </w:rPr>
        <w:t>1</w:t>
      </w:r>
      <w:r>
        <w:rPr>
          <w:rFonts w:hint="eastAsia" w:ascii="楷体" w:hAnsi="楷体" w:eastAsia="楷体"/>
          <w:sz w:val="32"/>
          <w:szCs w:val="30"/>
          <w:lang w:eastAsia="zh-CN"/>
        </w:rPr>
        <w:t>年</w:t>
      </w:r>
      <w:r>
        <w:rPr>
          <w:rFonts w:hint="eastAsia" w:ascii="楷体" w:hAnsi="楷体" w:eastAsia="楷体"/>
          <w:sz w:val="32"/>
          <w:szCs w:val="30"/>
        </w:rPr>
        <w:t>支出决算按用途划分：</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1、一般公共预算财政拨款支出4</w:t>
      </w:r>
      <w:r>
        <w:rPr>
          <w:rFonts w:hint="eastAsia" w:ascii="仿宋_GB2312" w:hAnsi="仿宋_GB2312" w:eastAsia="仿宋_GB2312" w:cs="仿宋_GB2312"/>
          <w:sz w:val="32"/>
          <w:szCs w:val="32"/>
          <w:lang w:val="en-US" w:eastAsia="zh-CN"/>
        </w:rPr>
        <w:t>5585.45</w:t>
      </w:r>
      <w:r>
        <w:rPr>
          <w:rFonts w:hint="eastAsia" w:ascii="仿宋_GB2312" w:hAnsi="仿宋_GB2312" w:eastAsia="仿宋_GB2312" w:cs="仿宋_GB2312"/>
          <w:sz w:val="32"/>
          <w:szCs w:val="32"/>
        </w:rPr>
        <w:t>万元，主要用于以下方面：“一般公共服务支出”2021年度决算支出9867.93万元，占本年财政拨款支出的2</w:t>
      </w:r>
      <w:r>
        <w:rPr>
          <w:rFonts w:hint="eastAsia" w:ascii="仿宋_GB2312" w:hAnsi="仿宋_GB2312" w:eastAsia="仿宋_GB2312" w:cs="仿宋_GB2312"/>
          <w:sz w:val="32"/>
          <w:szCs w:val="32"/>
          <w:lang w:val="en-US" w:eastAsia="zh-CN"/>
        </w:rPr>
        <w:t>1.64</w:t>
      </w:r>
      <w:r>
        <w:rPr>
          <w:rFonts w:hint="eastAsia" w:ascii="仿宋_GB2312" w:hAnsi="仿宋_GB2312" w:eastAsia="仿宋_GB2312" w:cs="仿宋_GB2312"/>
          <w:sz w:val="32"/>
          <w:szCs w:val="32"/>
        </w:rPr>
        <w:t>%；“国防支出”2021年度决算11.73万元，占本年财政拨款支出的0.</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sz w:val="32"/>
          <w:szCs w:val="32"/>
        </w:rPr>
        <w:t>%；“公共安全支出”2021年度决算80.41万元，占本年财政拨款支出的0.</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%；“教育支出”2021年度决算118.84万元，占本年财政拨款支出的0.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%；“科学技术支出”2021年度决算20万元，占本年财政拨款支出的0.</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%；“文化旅游体育与传媒支出”2021年度决算94.77万元，占本年财政拨款支出的0.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w:t>
      </w:r>
      <w:bookmarkStart w:id="4" w:name="_GoBack"/>
      <w:bookmarkEnd w:id="4"/>
      <w:r>
        <w:rPr>
          <w:rFonts w:hint="eastAsia" w:ascii="仿宋_GB2312" w:hAnsi="仿宋_GB2312" w:eastAsia="仿宋_GB2312" w:cs="仿宋_GB2312"/>
          <w:sz w:val="32"/>
          <w:szCs w:val="32"/>
        </w:rPr>
        <w:t>社会保障和就业支出”2021年度决算19781.70万元，占本年财政拨款支出的</w:t>
      </w:r>
      <w:r>
        <w:rPr>
          <w:rFonts w:hint="eastAsia" w:ascii="仿宋_GB2312" w:hAnsi="仿宋_GB2312" w:eastAsia="仿宋_GB2312" w:cs="仿宋_GB2312"/>
          <w:sz w:val="32"/>
          <w:szCs w:val="32"/>
          <w:lang w:val="en-US" w:eastAsia="zh-CN"/>
        </w:rPr>
        <w:t>43.39</w:t>
      </w:r>
      <w:r>
        <w:rPr>
          <w:rFonts w:hint="eastAsia" w:ascii="仿宋_GB2312" w:hAnsi="仿宋_GB2312" w:eastAsia="仿宋_GB2312" w:cs="仿宋_GB2312"/>
          <w:sz w:val="32"/>
          <w:szCs w:val="32"/>
        </w:rPr>
        <w:t>%；“卫生健康支出”2021年度决算1928.63万元，占本年财政拨款支出的</w:t>
      </w:r>
      <w:r>
        <w:rPr>
          <w:rFonts w:hint="eastAsia" w:ascii="仿宋_GB2312" w:hAnsi="仿宋_GB2312" w:eastAsia="仿宋_GB2312" w:cs="仿宋_GB2312"/>
          <w:sz w:val="32"/>
          <w:szCs w:val="32"/>
          <w:lang w:val="en-US" w:eastAsia="zh-CN"/>
        </w:rPr>
        <w:t>4.23</w:t>
      </w:r>
      <w:r>
        <w:rPr>
          <w:rFonts w:hint="eastAsia" w:ascii="仿宋_GB2312" w:hAnsi="仿宋_GB2312" w:eastAsia="仿宋_GB2312" w:cs="仿宋_GB2312"/>
          <w:sz w:val="32"/>
          <w:szCs w:val="32"/>
        </w:rPr>
        <w:t>%；“城乡社区支出”2021年度决算12460.32万元，占本年财政拨款支出的27.</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%；“住房保障支出”2021年度决算12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1.11万元，占本年财政拨款支出的2.</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%；其他支出0万元。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度政府性基金预算财政拨款支出</w:t>
      </w:r>
      <w:r>
        <w:rPr>
          <w:rFonts w:hint="eastAsia" w:ascii="仿宋_GB2312" w:hAnsi="仿宋_GB2312" w:eastAsia="仿宋_GB2312" w:cs="仿宋_GB2312"/>
          <w:sz w:val="32"/>
          <w:szCs w:val="32"/>
          <w:lang w:val="en-US" w:eastAsia="zh-CN"/>
        </w:rPr>
        <w:t>37.34</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度国有资本经营预算支出23.25万元</w:t>
      </w:r>
      <w:r>
        <w:rPr>
          <w:rFonts w:hint="eastAsia" w:ascii="仿宋_GB2312" w:hAnsi="仿宋_GB2312" w:eastAsia="仿宋_GB2312" w:cs="仿宋_GB2312"/>
          <w:sz w:val="32"/>
          <w:szCs w:val="32"/>
          <w:lang w:eastAsia="zh-CN"/>
        </w:rPr>
        <w:t>。</w:t>
      </w:r>
    </w:p>
    <w:p>
      <w:pPr>
        <w:ind w:firstLine="640" w:firstLineChars="200"/>
        <w:rPr>
          <w:rFonts w:hint="eastAsia" w:ascii="楷体" w:hAnsi="楷体" w:eastAsia="楷体"/>
          <w:sz w:val="32"/>
          <w:szCs w:val="30"/>
        </w:rPr>
      </w:pPr>
      <w:r>
        <w:rPr>
          <w:rFonts w:hint="eastAsia" w:ascii="楷体" w:hAnsi="楷体" w:eastAsia="楷体"/>
          <w:sz w:val="32"/>
          <w:szCs w:val="30"/>
        </w:rPr>
        <w:t>（二）</w:t>
      </w:r>
      <w:r>
        <w:rPr>
          <w:rFonts w:hint="eastAsia" w:ascii="楷体" w:hAnsi="楷体" w:eastAsia="楷体"/>
          <w:sz w:val="32"/>
          <w:szCs w:val="30"/>
          <w:lang w:eastAsia="zh-CN"/>
        </w:rPr>
        <w:t>202</w:t>
      </w:r>
      <w:r>
        <w:rPr>
          <w:rFonts w:hint="eastAsia" w:ascii="楷体" w:hAnsi="楷体" w:eastAsia="楷体"/>
          <w:sz w:val="32"/>
          <w:szCs w:val="30"/>
          <w:lang w:val="en-US" w:eastAsia="zh-CN"/>
        </w:rPr>
        <w:t>1</w:t>
      </w:r>
      <w:r>
        <w:rPr>
          <w:rFonts w:hint="eastAsia" w:ascii="楷体" w:hAnsi="楷体" w:eastAsia="楷体"/>
          <w:sz w:val="32"/>
          <w:szCs w:val="30"/>
          <w:lang w:eastAsia="zh-CN"/>
        </w:rPr>
        <w:t>年</w:t>
      </w:r>
      <w:r>
        <w:rPr>
          <w:rFonts w:hint="eastAsia" w:ascii="楷体" w:hAnsi="楷体" w:eastAsia="楷体"/>
          <w:sz w:val="32"/>
          <w:szCs w:val="30"/>
        </w:rPr>
        <w:t>涉及政府采购及政府购买服务决算情况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决算中涉及政府采购的金额</w:t>
      </w:r>
      <w:r>
        <w:rPr>
          <w:rFonts w:hint="eastAsia" w:ascii="仿宋_GB2312" w:hAnsi="仿宋_GB2312" w:eastAsia="仿宋_GB2312" w:cs="仿宋_GB2312"/>
          <w:sz w:val="32"/>
          <w:szCs w:val="32"/>
          <w:lang w:val="en-US" w:eastAsia="zh-CN"/>
        </w:rPr>
        <w:t>6473.73</w:t>
      </w:r>
      <w:r>
        <w:rPr>
          <w:rFonts w:hint="eastAsia" w:ascii="仿宋_GB2312" w:hAnsi="仿宋_GB2312" w:eastAsia="仿宋_GB2312" w:cs="仿宋_GB2312"/>
          <w:sz w:val="32"/>
          <w:szCs w:val="32"/>
        </w:rPr>
        <w:t>万元。其中货物类采购金额</w:t>
      </w:r>
      <w:r>
        <w:rPr>
          <w:rFonts w:hint="eastAsia" w:ascii="仿宋_GB2312" w:hAnsi="仿宋_GB2312" w:eastAsia="仿宋_GB2312" w:cs="仿宋_GB2312"/>
          <w:sz w:val="32"/>
          <w:szCs w:val="32"/>
          <w:lang w:val="en-US" w:eastAsia="zh-CN"/>
        </w:rPr>
        <w:t>273.38</w:t>
      </w:r>
      <w:r>
        <w:rPr>
          <w:rFonts w:hint="eastAsia" w:ascii="仿宋_GB2312" w:hAnsi="仿宋_GB2312" w:eastAsia="仿宋_GB2312" w:cs="仿宋_GB2312"/>
          <w:sz w:val="32"/>
          <w:szCs w:val="32"/>
        </w:rPr>
        <w:t>万元，工程类采购金额</w:t>
      </w:r>
      <w:r>
        <w:rPr>
          <w:rFonts w:hint="eastAsia" w:ascii="仿宋_GB2312" w:hAnsi="仿宋_GB2312" w:eastAsia="仿宋_GB2312" w:cs="仿宋_GB2312"/>
          <w:sz w:val="32"/>
          <w:szCs w:val="32"/>
          <w:lang w:val="en-US" w:eastAsia="zh-CN"/>
        </w:rPr>
        <w:t>3377.68</w:t>
      </w:r>
      <w:r>
        <w:rPr>
          <w:rFonts w:hint="eastAsia" w:ascii="仿宋_GB2312" w:hAnsi="仿宋_GB2312" w:eastAsia="仿宋_GB2312" w:cs="仿宋_GB2312"/>
          <w:sz w:val="32"/>
          <w:szCs w:val="32"/>
        </w:rPr>
        <w:t>万元，服务类采购金额</w:t>
      </w:r>
      <w:r>
        <w:rPr>
          <w:rFonts w:hint="eastAsia" w:ascii="仿宋_GB2312" w:hAnsi="仿宋_GB2312" w:eastAsia="仿宋_GB2312" w:cs="仿宋_GB2312"/>
          <w:sz w:val="32"/>
          <w:szCs w:val="32"/>
          <w:lang w:val="en-US" w:eastAsia="zh-CN"/>
        </w:rPr>
        <w:t>2822.67</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涉及政府购买服务项目</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个，决算资金</w:t>
      </w:r>
      <w:r>
        <w:rPr>
          <w:rFonts w:hint="eastAsia" w:ascii="仿宋_GB2312" w:hAnsi="仿宋_GB2312" w:eastAsia="仿宋_GB2312" w:cs="仿宋_GB2312"/>
          <w:sz w:val="32"/>
          <w:szCs w:val="32"/>
          <w:lang w:val="en-US" w:eastAsia="zh-CN"/>
        </w:rPr>
        <w:t>6801.6</w:t>
      </w:r>
      <w:r>
        <w:rPr>
          <w:rFonts w:hint="eastAsia" w:ascii="仿宋_GB2312" w:hAnsi="仿宋_GB2312" w:eastAsia="仿宋_GB2312" w:cs="仿宋_GB2312"/>
          <w:sz w:val="32"/>
          <w:szCs w:val="32"/>
        </w:rPr>
        <w:t>万元。</w:t>
      </w:r>
    </w:p>
    <w:p>
      <w:pPr>
        <w:ind w:firstLine="640" w:firstLineChars="200"/>
        <w:rPr>
          <w:rFonts w:hint="eastAsia" w:ascii="楷体" w:hAnsi="楷体" w:eastAsia="楷体"/>
          <w:sz w:val="32"/>
          <w:szCs w:val="30"/>
        </w:rPr>
      </w:pPr>
      <w:r>
        <w:rPr>
          <w:rFonts w:hint="eastAsia" w:ascii="楷体" w:hAnsi="楷体" w:eastAsia="楷体"/>
          <w:sz w:val="32"/>
          <w:szCs w:val="30"/>
        </w:rPr>
        <w:t>（三）</w:t>
      </w:r>
      <w:r>
        <w:rPr>
          <w:rFonts w:hint="eastAsia" w:ascii="楷体" w:hAnsi="楷体" w:eastAsia="楷体"/>
          <w:sz w:val="32"/>
          <w:szCs w:val="30"/>
          <w:lang w:eastAsia="zh-CN"/>
        </w:rPr>
        <w:t>202</w:t>
      </w:r>
      <w:r>
        <w:rPr>
          <w:rFonts w:hint="eastAsia" w:ascii="楷体" w:hAnsi="楷体" w:eastAsia="楷体"/>
          <w:sz w:val="32"/>
          <w:szCs w:val="30"/>
          <w:lang w:val="en-US" w:eastAsia="zh-CN"/>
        </w:rPr>
        <w:t>1</w:t>
      </w:r>
      <w:r>
        <w:rPr>
          <w:rFonts w:hint="eastAsia" w:ascii="楷体" w:hAnsi="楷体" w:eastAsia="楷体"/>
          <w:sz w:val="32"/>
          <w:szCs w:val="30"/>
          <w:lang w:eastAsia="zh-CN"/>
        </w:rPr>
        <w:t>年</w:t>
      </w:r>
      <w:r>
        <w:rPr>
          <w:rFonts w:hint="eastAsia" w:ascii="楷体" w:hAnsi="楷体" w:eastAsia="楷体"/>
          <w:sz w:val="32"/>
          <w:szCs w:val="30"/>
        </w:rPr>
        <w:t>机关运行经费决算情况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本部门履行一般行政事业管理职能、维持机关运行，用于一般公共预算安排的行政运行经费，合计</w:t>
      </w:r>
      <w:r>
        <w:rPr>
          <w:rFonts w:hint="eastAsia" w:ascii="仿宋_GB2312" w:hAnsi="仿宋_GB2312" w:eastAsia="仿宋_GB2312" w:cs="仿宋_GB2312"/>
          <w:sz w:val="32"/>
          <w:szCs w:val="32"/>
          <w:lang w:val="en-US" w:eastAsia="zh-CN"/>
        </w:rPr>
        <w:t>625.41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同比</w:t>
      </w:r>
      <w:r>
        <w:rPr>
          <w:rFonts w:hint="eastAsia" w:ascii="仿宋_GB2312" w:hAnsi="仿宋_GB2312" w:eastAsia="仿宋_GB2312" w:cs="仿宋_GB2312"/>
          <w:sz w:val="32"/>
          <w:szCs w:val="32"/>
          <w:lang w:val="en-US" w:eastAsia="zh-CN"/>
        </w:rPr>
        <w:t>2020年行政运行经费662.13万元减少36.72万元。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ind w:firstLine="640" w:firstLineChars="200"/>
        <w:rPr>
          <w:rFonts w:hint="eastAsia" w:ascii="黑体" w:hAnsi="黑体" w:eastAsia="黑体"/>
          <w:sz w:val="32"/>
          <w:szCs w:val="32"/>
        </w:rPr>
      </w:pPr>
      <w:r>
        <w:rPr>
          <w:rFonts w:hint="eastAsia" w:ascii="黑体" w:hAnsi="黑体" w:eastAsia="黑体"/>
          <w:sz w:val="32"/>
          <w:szCs w:val="32"/>
        </w:rPr>
        <w:t>四、部门“三公”经费财政拨款决算说明</w:t>
      </w:r>
    </w:p>
    <w:p>
      <w:pPr>
        <w:ind w:firstLine="640" w:firstLineChars="200"/>
        <w:rPr>
          <w:rFonts w:hint="eastAsia" w:ascii="楷体" w:hAnsi="楷体" w:eastAsia="楷体"/>
          <w:sz w:val="32"/>
          <w:szCs w:val="30"/>
        </w:rPr>
      </w:pPr>
      <w:r>
        <w:rPr>
          <w:rFonts w:hint="eastAsia" w:ascii="楷体" w:hAnsi="楷体" w:eastAsia="楷体"/>
          <w:sz w:val="32"/>
          <w:szCs w:val="30"/>
        </w:rPr>
        <w:t>（一）“三公”经费的单位范围</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北京市西城区人民政府广安门外街道办事处决算中因公出国（境）费、公务接待费、公务用车购置及运行维护费的支出单位为街道本级部门。</w:t>
      </w:r>
    </w:p>
    <w:p>
      <w:pPr>
        <w:ind w:firstLine="640" w:firstLineChars="200"/>
        <w:rPr>
          <w:rFonts w:hint="eastAsia" w:ascii="楷体" w:hAnsi="楷体" w:eastAsia="楷体"/>
          <w:sz w:val="32"/>
          <w:szCs w:val="30"/>
        </w:rPr>
      </w:pPr>
      <w:r>
        <w:rPr>
          <w:rFonts w:hint="eastAsia" w:ascii="楷体" w:hAnsi="楷体" w:eastAsia="楷体"/>
          <w:sz w:val="32"/>
          <w:szCs w:val="30"/>
        </w:rPr>
        <w:t>（二）“三公”经费支出情况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部门决算“三公”经费财政拨款支出</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年“三公”经费财政拨款年初预算</w:t>
      </w:r>
      <w:r>
        <w:rPr>
          <w:rFonts w:hint="eastAsia" w:ascii="仿宋_GB2312" w:hAnsi="仿宋_GB2312" w:eastAsia="仿宋_GB2312" w:cs="仿宋_GB2312"/>
          <w:sz w:val="32"/>
          <w:szCs w:val="32"/>
          <w:lang w:val="en-US" w:eastAsia="zh-CN"/>
        </w:rPr>
        <w:t>6.03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5.71</w:t>
      </w:r>
      <w:r>
        <w:rPr>
          <w:rFonts w:hint="eastAsia" w:ascii="仿宋_GB2312" w:hAnsi="仿宋_GB2312" w:eastAsia="仿宋_GB2312" w:cs="仿宋_GB2312"/>
          <w:sz w:val="32"/>
          <w:szCs w:val="32"/>
        </w:rPr>
        <w:t>万元。其中：</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1、因公出国（境）费用</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年决算数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年财政拨款因公出国（境）费支出</w:t>
      </w:r>
      <w:r>
        <w:rPr>
          <w:rFonts w:hint="eastAsia" w:ascii="仿宋_GB2312" w:hAnsi="仿宋_GB2312" w:eastAsia="仿宋_GB2312" w:cs="仿宋_GB2312"/>
          <w:sz w:val="32"/>
          <w:szCs w:val="32"/>
          <w:lang w:val="en-US" w:eastAsia="zh-CN"/>
        </w:rPr>
        <w:t>持平。</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因公出国（境）团组情况：</w:t>
      </w:r>
      <w:r>
        <w:rPr>
          <w:rFonts w:hint="eastAsia" w:ascii="仿宋_GB2312" w:hAnsi="仿宋_GB2312" w:eastAsia="仿宋_GB2312" w:cs="仿宋_GB2312"/>
          <w:sz w:val="32"/>
          <w:szCs w:val="32"/>
          <w:lang w:eastAsia="zh-CN"/>
        </w:rPr>
        <w:t>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决算数0万元，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年初预算数3.</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决算数持平。主要原因：严格遵守八项规定，减少公务接待费。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3、公务用车购置及运行维护费</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年决算数</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万元，其中，公务用车购置费0万元，公车运行维护费</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2020年</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元，其中，公务用车购置费0万元，公车运行维护费</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万元。比</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1.18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0.86</w:t>
      </w:r>
      <w:r>
        <w:rPr>
          <w:rFonts w:hint="eastAsia" w:ascii="仿宋_GB2312" w:hAnsi="仿宋_GB2312" w:eastAsia="仿宋_GB2312" w:cs="仿宋_GB2312"/>
          <w:sz w:val="32"/>
          <w:szCs w:val="32"/>
        </w:rPr>
        <w:t>万元。决算报表显示，我街道</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购置数为</w:t>
      </w:r>
      <w:r>
        <w:rPr>
          <w:rFonts w:hint="eastAsia" w:ascii="仿宋_GB2312" w:hAnsi="仿宋_GB2312" w:eastAsia="仿宋_GB2312" w:cs="仿宋_GB2312"/>
          <w:sz w:val="32"/>
          <w:szCs w:val="32"/>
          <w:lang w:val="en-US" w:eastAsia="zh-CN"/>
        </w:rPr>
        <w:t>0辆，</w:t>
      </w:r>
      <w:r>
        <w:rPr>
          <w:rFonts w:hint="eastAsia" w:ascii="仿宋_GB2312" w:hAnsi="仿宋_GB2312" w:eastAsia="仿宋_GB2312" w:cs="仿宋_GB2312"/>
          <w:sz w:val="32"/>
          <w:szCs w:val="32"/>
        </w:rPr>
        <w:t>保有量1辆，运行维护金额为</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五、其他事项说明</w:t>
      </w:r>
    </w:p>
    <w:p>
      <w:pPr>
        <w:ind w:firstLine="640" w:firstLineChars="200"/>
        <w:rPr>
          <w:rFonts w:hint="eastAsia" w:ascii="楷体" w:hAnsi="楷体" w:eastAsia="楷体"/>
          <w:sz w:val="32"/>
          <w:szCs w:val="30"/>
        </w:rPr>
      </w:pPr>
      <w:r>
        <w:rPr>
          <w:rFonts w:hint="eastAsia" w:ascii="楷体" w:hAnsi="楷体" w:eastAsia="楷体"/>
          <w:sz w:val="32"/>
          <w:szCs w:val="30"/>
        </w:rPr>
        <w:t>（一）</w:t>
      </w:r>
      <w:r>
        <w:rPr>
          <w:rFonts w:hint="eastAsia" w:ascii="楷体" w:hAnsi="楷体" w:eastAsia="楷体"/>
          <w:sz w:val="32"/>
          <w:szCs w:val="30"/>
          <w:lang w:eastAsia="zh-CN"/>
        </w:rPr>
        <w:t>202</w:t>
      </w:r>
      <w:r>
        <w:rPr>
          <w:rFonts w:hint="eastAsia" w:ascii="楷体" w:hAnsi="楷体" w:eastAsia="楷体"/>
          <w:sz w:val="32"/>
          <w:szCs w:val="30"/>
          <w:lang w:val="en-US" w:eastAsia="zh-CN"/>
        </w:rPr>
        <w:t>1</w:t>
      </w:r>
      <w:r>
        <w:rPr>
          <w:rFonts w:hint="eastAsia" w:ascii="楷体" w:hAnsi="楷体" w:eastAsia="楷体"/>
          <w:sz w:val="32"/>
          <w:szCs w:val="30"/>
          <w:lang w:eastAsia="zh-CN"/>
        </w:rPr>
        <w:t>年</w:t>
      </w:r>
      <w:r>
        <w:rPr>
          <w:rFonts w:hint="eastAsia" w:ascii="楷体" w:hAnsi="楷体" w:eastAsia="楷体"/>
          <w:sz w:val="32"/>
          <w:szCs w:val="30"/>
        </w:rPr>
        <w:t>重点项目预算的绩效目标和绩效评价结果</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rPr>
        <w:t>我街道实施全年绩效跟踪的资金规模涉及项目支出资金总额</w:t>
      </w:r>
      <w:r>
        <w:rPr>
          <w:rFonts w:hint="eastAsia" w:ascii="仿宋_GB2312" w:hAnsi="仿宋_GB2312" w:eastAsia="仿宋_GB2312" w:cs="仿宋_GB2312"/>
          <w:sz w:val="32"/>
          <w:szCs w:val="32"/>
          <w:lang w:val="en-US" w:eastAsia="zh-CN"/>
        </w:rPr>
        <w:t>12213.39</w:t>
      </w:r>
      <w:r>
        <w:rPr>
          <w:rFonts w:hint="eastAsia" w:ascii="仿宋_GB2312" w:hAnsi="仿宋_GB2312" w:eastAsia="仿宋_GB2312" w:cs="仿宋_GB2312"/>
          <w:sz w:val="32"/>
          <w:szCs w:val="32"/>
        </w:rPr>
        <w:t>万元，部门全年整体项目支出预算总额为</w:t>
      </w:r>
      <w:r>
        <w:rPr>
          <w:rFonts w:hint="eastAsia" w:ascii="仿宋_GB2312" w:hAnsi="仿宋_GB2312" w:eastAsia="仿宋_GB2312" w:cs="仿宋_GB2312"/>
          <w:sz w:val="32"/>
          <w:szCs w:val="32"/>
          <w:lang w:val="en-US" w:eastAsia="zh-CN"/>
        </w:rPr>
        <w:t>36725.87</w:t>
      </w:r>
      <w:r>
        <w:rPr>
          <w:rFonts w:hint="eastAsia" w:ascii="仿宋_GB2312" w:hAnsi="仿宋_GB2312" w:eastAsia="仿宋_GB2312" w:cs="仿宋_GB2312"/>
          <w:sz w:val="32"/>
          <w:szCs w:val="32"/>
        </w:rPr>
        <w:t>万元，跟踪项目预算金额占全年项目预算金额的</w:t>
      </w:r>
      <w:r>
        <w:rPr>
          <w:rFonts w:hint="eastAsia" w:ascii="仿宋_GB2312" w:hAnsi="仿宋_GB2312" w:eastAsia="仿宋_GB2312" w:cs="仿宋_GB2312"/>
          <w:sz w:val="32"/>
          <w:szCs w:val="32"/>
          <w:lang w:val="en-US" w:eastAsia="zh-CN"/>
        </w:rPr>
        <w:t>33.26</w:t>
      </w:r>
      <w:r>
        <w:rPr>
          <w:rFonts w:hint="eastAsia" w:ascii="仿宋_GB2312" w:hAnsi="仿宋_GB2312" w:eastAsia="仿宋_GB2312" w:cs="仿宋_GB2312"/>
          <w:sz w:val="32"/>
          <w:szCs w:val="32"/>
        </w:rPr>
        <w:t>%。我街道</w:t>
      </w:r>
      <w:r>
        <w:rPr>
          <w:rFonts w:hint="eastAsia" w:ascii="仿宋_GB2312" w:hAnsi="仿宋_GB2312" w:eastAsia="仿宋_GB2312" w:cs="仿宋_GB2312"/>
          <w:sz w:val="32"/>
          <w:szCs w:val="32"/>
          <w:lang w:eastAsia="zh-CN"/>
        </w:rPr>
        <w:t>抽取了“</w:t>
      </w:r>
      <w:r>
        <w:rPr>
          <w:rFonts w:hint="eastAsia" w:ascii="仿宋_GB2312" w:hAnsi="仿宋_GB2312" w:eastAsia="仿宋_GB2312" w:cs="仿宋_GB2312"/>
          <w:sz w:val="32"/>
          <w:szCs w:val="32"/>
        </w:rPr>
        <w:t>京财社指〔20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〕2201号2021年中央就业补助经费</w:t>
      </w:r>
      <w:r>
        <w:rPr>
          <w:rFonts w:hint="eastAsia" w:ascii="仿宋_GB2312" w:hAnsi="仿宋_GB2312" w:eastAsia="仿宋_GB2312" w:cs="仿宋_GB2312"/>
          <w:sz w:val="32"/>
          <w:szCs w:val="32"/>
          <w:lang w:val="en-US" w:eastAsia="zh-CN"/>
        </w:rPr>
        <w:t>项目（直达资金）”，进行了详细的绩效支出评价，</w:t>
      </w:r>
      <w:r>
        <w:rPr>
          <w:rFonts w:hint="eastAsia" w:ascii="仿宋_GB2312" w:hAnsi="仿宋_GB2312" w:eastAsia="仿宋_GB2312" w:cs="仿宋_GB2312"/>
          <w:sz w:val="32"/>
          <w:szCs w:val="32"/>
        </w:rPr>
        <w:t>项目自评得分</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度财政资金使用情况的绩效跟踪工作已顺利完成。在项目执行过程中相关科室能够较为严格地按照批复范围和用途使用财政资金，态度严谨，绩效管理工作取得</w:t>
      </w:r>
      <w:r>
        <w:rPr>
          <w:rFonts w:hint="eastAsia" w:ascii="仿宋_GB2312" w:hAnsi="仿宋_GB2312" w:eastAsia="仿宋_GB2312" w:cs="仿宋_GB2312"/>
          <w:sz w:val="32"/>
          <w:szCs w:val="32"/>
          <w:lang w:eastAsia="zh-CN"/>
        </w:rPr>
        <w:t>一定</w:t>
      </w:r>
      <w:r>
        <w:rPr>
          <w:rFonts w:hint="eastAsia" w:ascii="仿宋_GB2312" w:hAnsi="仿宋_GB2312" w:eastAsia="仿宋_GB2312" w:cs="仿宋_GB2312"/>
          <w:sz w:val="32"/>
          <w:szCs w:val="32"/>
        </w:rPr>
        <w:t>成效。</w:t>
      </w:r>
    </w:p>
    <w:p>
      <w:pPr>
        <w:ind w:firstLine="640" w:firstLineChars="200"/>
        <w:rPr>
          <w:rFonts w:hint="eastAsia" w:ascii="楷体" w:hAnsi="楷体" w:eastAsia="楷体"/>
          <w:sz w:val="32"/>
          <w:szCs w:val="30"/>
        </w:rPr>
      </w:pPr>
      <w:r>
        <w:rPr>
          <w:rFonts w:hint="eastAsia" w:ascii="楷体" w:hAnsi="楷体" w:eastAsia="楷体"/>
          <w:sz w:val="32"/>
          <w:szCs w:val="30"/>
        </w:rPr>
        <w:t>（二）</w:t>
      </w:r>
      <w:r>
        <w:rPr>
          <w:rFonts w:hint="eastAsia" w:ascii="楷体" w:hAnsi="楷体" w:eastAsia="楷体"/>
          <w:sz w:val="32"/>
          <w:szCs w:val="30"/>
          <w:lang w:eastAsia="zh-CN"/>
        </w:rPr>
        <w:t>202</w:t>
      </w:r>
      <w:r>
        <w:rPr>
          <w:rFonts w:hint="eastAsia" w:ascii="楷体" w:hAnsi="楷体" w:eastAsia="楷体"/>
          <w:sz w:val="32"/>
          <w:szCs w:val="30"/>
          <w:lang w:val="en-US" w:eastAsia="zh-CN"/>
        </w:rPr>
        <w:t>1</w:t>
      </w:r>
      <w:r>
        <w:rPr>
          <w:rFonts w:hint="eastAsia" w:ascii="楷体" w:hAnsi="楷体" w:eastAsia="楷体"/>
          <w:sz w:val="32"/>
          <w:szCs w:val="30"/>
          <w:lang w:eastAsia="zh-CN"/>
        </w:rPr>
        <w:t>年</w:t>
      </w:r>
      <w:r>
        <w:rPr>
          <w:rFonts w:hint="eastAsia" w:ascii="楷体" w:hAnsi="楷体" w:eastAsia="楷体"/>
          <w:sz w:val="32"/>
          <w:szCs w:val="30"/>
        </w:rPr>
        <w:t>国有资产占用情况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国有资产的总体情况:资产期末数</w:t>
      </w:r>
      <w:r>
        <w:rPr>
          <w:rFonts w:hint="eastAsia" w:ascii="仿宋_GB2312" w:hAnsi="仿宋_GB2312" w:eastAsia="仿宋_GB2312" w:cs="仿宋_GB2312"/>
          <w:sz w:val="32"/>
          <w:szCs w:val="32"/>
          <w:lang w:val="en-US" w:eastAsia="zh-CN"/>
        </w:rPr>
        <w:t>14371.34</w:t>
      </w:r>
      <w:r>
        <w:rPr>
          <w:rFonts w:hint="eastAsia" w:ascii="仿宋_GB2312" w:hAnsi="仿宋_GB2312" w:eastAsia="仿宋_GB2312" w:cs="仿宋_GB2312"/>
          <w:sz w:val="32"/>
          <w:szCs w:val="32"/>
        </w:rPr>
        <w:t>万元，其中流动资产</w:t>
      </w:r>
      <w:r>
        <w:rPr>
          <w:rFonts w:hint="eastAsia" w:ascii="仿宋_GB2312" w:hAnsi="仿宋_GB2312" w:eastAsia="仿宋_GB2312" w:cs="仿宋_GB2312"/>
          <w:sz w:val="32"/>
          <w:szCs w:val="32"/>
          <w:lang w:val="en-US" w:eastAsia="zh-CN"/>
        </w:rPr>
        <w:t>1637.53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非流动</w:t>
      </w:r>
      <w:r>
        <w:rPr>
          <w:rFonts w:hint="eastAsia" w:ascii="仿宋_GB2312" w:hAnsi="仿宋_GB2312" w:eastAsia="仿宋_GB2312" w:cs="仿宋_GB2312"/>
          <w:sz w:val="32"/>
          <w:szCs w:val="32"/>
        </w:rPr>
        <w:t>资产</w:t>
      </w:r>
      <w:r>
        <w:rPr>
          <w:rFonts w:hint="eastAsia" w:ascii="仿宋_GB2312" w:hAnsi="仿宋_GB2312" w:eastAsia="仿宋_GB2312" w:cs="仿宋_GB2312"/>
          <w:sz w:val="32"/>
          <w:szCs w:val="32"/>
          <w:lang w:val="en-US" w:eastAsia="zh-CN"/>
        </w:rPr>
        <w:t>12733.81</w:t>
      </w:r>
      <w:r>
        <w:rPr>
          <w:rFonts w:hint="eastAsia" w:ascii="仿宋_GB2312" w:hAnsi="仿宋_GB2312" w:eastAsia="仿宋_GB2312" w:cs="仿宋_GB2312"/>
          <w:sz w:val="32"/>
          <w:szCs w:val="32"/>
        </w:rPr>
        <w:t>万元。在建工程</w:t>
      </w:r>
      <w:r>
        <w:rPr>
          <w:rFonts w:hint="eastAsia" w:ascii="仿宋_GB2312" w:hAnsi="仿宋_GB2312" w:eastAsia="仿宋_GB2312" w:cs="仿宋_GB2312"/>
          <w:sz w:val="32"/>
          <w:szCs w:val="32"/>
          <w:lang w:val="en-US" w:eastAsia="zh-CN"/>
        </w:rPr>
        <w:t>3897.36</w:t>
      </w:r>
      <w:r>
        <w:rPr>
          <w:rFonts w:hint="eastAsia" w:ascii="仿宋_GB2312" w:hAnsi="仿宋_GB2312" w:eastAsia="仿宋_GB2312" w:cs="仿宋_GB2312"/>
          <w:sz w:val="32"/>
          <w:szCs w:val="32"/>
        </w:rPr>
        <w:t>万元。结合本街道实际情况，我单位制定了《北京市西城区广安门外街道办事处固定资产管理办法（试行）》办法，并严格按照此办法对国有资产进行管理。</w:t>
      </w:r>
    </w:p>
    <w:p>
      <w:pPr>
        <w:ind w:firstLine="640" w:firstLineChars="200"/>
        <w:rPr>
          <w:rFonts w:hint="eastAsia" w:ascii="楷体" w:hAnsi="楷体" w:eastAsia="楷体"/>
          <w:sz w:val="32"/>
          <w:szCs w:val="30"/>
        </w:rPr>
      </w:pPr>
      <w:bookmarkStart w:id="0" w:name="_Toc1553_WPSOffice_Level2"/>
      <w:bookmarkStart w:id="1" w:name="_Toc2408_WPSOffice_Level2"/>
      <w:r>
        <w:rPr>
          <w:rFonts w:hint="eastAsia" w:ascii="楷体" w:hAnsi="楷体" w:eastAsia="楷体"/>
          <w:sz w:val="32"/>
          <w:szCs w:val="30"/>
        </w:rPr>
        <w:t>（三）国有资本经营预算财政拨款情况说明</w:t>
      </w:r>
      <w:bookmarkEnd w:id="0"/>
      <w:bookmarkEnd w:id="1"/>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021年度国有资本经营预算本年收入165.46万元，支出23.25万元，年末结转142.21万元。</w:t>
      </w:r>
    </w:p>
    <w:p>
      <w:pPr>
        <w:ind w:firstLine="640" w:firstLineChars="200"/>
        <w:rPr>
          <w:rFonts w:hint="eastAsia" w:ascii="楷体" w:hAnsi="楷体" w:eastAsia="楷体"/>
          <w:sz w:val="32"/>
          <w:szCs w:val="30"/>
        </w:rPr>
      </w:pPr>
      <w:r>
        <w:rPr>
          <w:rFonts w:hint="eastAsia" w:ascii="楷体" w:hAnsi="楷体" w:eastAsia="楷体"/>
          <w:sz w:val="32"/>
          <w:szCs w:val="30"/>
        </w:rPr>
        <w:t>（四）民生资金情况说明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各类民生支出已由资金涉及业务科室按规定要求定期在政府信息公开专栏进行公开。</w:t>
      </w:r>
    </w:p>
    <w:p>
      <w:pPr>
        <w:ind w:firstLine="640" w:firstLineChars="200"/>
        <w:rPr>
          <w:rFonts w:hint="eastAsia" w:ascii="黑体" w:hAnsi="黑体" w:eastAsia="黑体"/>
          <w:sz w:val="32"/>
          <w:szCs w:val="32"/>
        </w:rPr>
      </w:pPr>
      <w:bookmarkStart w:id="2" w:name="_Toc4049_WPSOffice_Level1"/>
      <w:bookmarkStart w:id="3" w:name="_Toc28427_WPSOffice_Level1"/>
      <w:r>
        <w:rPr>
          <w:rFonts w:hint="eastAsia" w:ascii="黑体" w:hAnsi="黑体" w:eastAsia="黑体"/>
          <w:sz w:val="32"/>
          <w:szCs w:val="32"/>
        </w:rPr>
        <w:t>六、名称解释</w:t>
      </w:r>
      <w:bookmarkEnd w:id="2"/>
      <w:bookmarkEnd w:id="3"/>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财政拨款收入是指单位从同级财政部门取得的财政预算资金。</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基本支出是指单位为保障其机构正常运转、完成日常工作任务而发生的人员支出和公用支出。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项目支出是指单位为完成特定行政任务和事业发展目标 在基本支出之外所发生的支出。</w:t>
      </w:r>
    </w:p>
    <w:p>
      <w:pPr>
        <w:spacing w:line="560" w:lineRule="exact"/>
        <w:ind w:firstLine="640" w:firstLineChars="200"/>
        <w:rPr>
          <w:rFonts w:ascii="仿宋_GB2312" w:hAnsi="Times New Roman"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5D"/>
    <w:rsid w:val="000059ED"/>
    <w:rsid w:val="000066E0"/>
    <w:rsid w:val="00007891"/>
    <w:rsid w:val="00050408"/>
    <w:rsid w:val="00050661"/>
    <w:rsid w:val="00075CF0"/>
    <w:rsid w:val="000B1BD9"/>
    <w:rsid w:val="000D59ED"/>
    <w:rsid w:val="0014456A"/>
    <w:rsid w:val="00144FF6"/>
    <w:rsid w:val="002917F4"/>
    <w:rsid w:val="002D5B97"/>
    <w:rsid w:val="002E4813"/>
    <w:rsid w:val="003327D6"/>
    <w:rsid w:val="003466F0"/>
    <w:rsid w:val="00397848"/>
    <w:rsid w:val="003D687E"/>
    <w:rsid w:val="003F5889"/>
    <w:rsid w:val="00431A90"/>
    <w:rsid w:val="00455A9D"/>
    <w:rsid w:val="00484B36"/>
    <w:rsid w:val="004C3799"/>
    <w:rsid w:val="00514471"/>
    <w:rsid w:val="00546AE8"/>
    <w:rsid w:val="0055175C"/>
    <w:rsid w:val="0059325E"/>
    <w:rsid w:val="005B2337"/>
    <w:rsid w:val="005B4F58"/>
    <w:rsid w:val="005C4DDB"/>
    <w:rsid w:val="005F30FE"/>
    <w:rsid w:val="00670E81"/>
    <w:rsid w:val="00694619"/>
    <w:rsid w:val="006F3FE6"/>
    <w:rsid w:val="007D1443"/>
    <w:rsid w:val="007E6C22"/>
    <w:rsid w:val="007F2AA0"/>
    <w:rsid w:val="00857A79"/>
    <w:rsid w:val="008B1D7C"/>
    <w:rsid w:val="008B799E"/>
    <w:rsid w:val="008D4C35"/>
    <w:rsid w:val="008F1651"/>
    <w:rsid w:val="009844BD"/>
    <w:rsid w:val="009B789B"/>
    <w:rsid w:val="00A12CC5"/>
    <w:rsid w:val="00A3446A"/>
    <w:rsid w:val="00A55736"/>
    <w:rsid w:val="00A72C25"/>
    <w:rsid w:val="00A7662B"/>
    <w:rsid w:val="00AA185F"/>
    <w:rsid w:val="00AC54A6"/>
    <w:rsid w:val="00B94DF3"/>
    <w:rsid w:val="00C40184"/>
    <w:rsid w:val="00C70B99"/>
    <w:rsid w:val="00C93B33"/>
    <w:rsid w:val="00D02C5D"/>
    <w:rsid w:val="00D36BBE"/>
    <w:rsid w:val="00DD1BC2"/>
    <w:rsid w:val="00DD4669"/>
    <w:rsid w:val="00E46C5C"/>
    <w:rsid w:val="00E772FE"/>
    <w:rsid w:val="00FB1057"/>
    <w:rsid w:val="00FD3DF8"/>
    <w:rsid w:val="00FD4D35"/>
    <w:rsid w:val="03D879B7"/>
    <w:rsid w:val="075A6102"/>
    <w:rsid w:val="09A90ABE"/>
    <w:rsid w:val="09EE58ED"/>
    <w:rsid w:val="0A824D90"/>
    <w:rsid w:val="0A8D5B41"/>
    <w:rsid w:val="0BAA5B77"/>
    <w:rsid w:val="0F2A0320"/>
    <w:rsid w:val="0F67635F"/>
    <w:rsid w:val="0FB912C8"/>
    <w:rsid w:val="114E5943"/>
    <w:rsid w:val="14E76390"/>
    <w:rsid w:val="156B1DEB"/>
    <w:rsid w:val="15ED51F0"/>
    <w:rsid w:val="189638C3"/>
    <w:rsid w:val="1A1129EE"/>
    <w:rsid w:val="1B275DAC"/>
    <w:rsid w:val="1C60279C"/>
    <w:rsid w:val="1C6F1142"/>
    <w:rsid w:val="1F8447FF"/>
    <w:rsid w:val="20DE2C2B"/>
    <w:rsid w:val="22605876"/>
    <w:rsid w:val="22F550C7"/>
    <w:rsid w:val="25A74D58"/>
    <w:rsid w:val="25CE0CF0"/>
    <w:rsid w:val="29764989"/>
    <w:rsid w:val="298036BB"/>
    <w:rsid w:val="2B127F27"/>
    <w:rsid w:val="2B1777F7"/>
    <w:rsid w:val="2B86168E"/>
    <w:rsid w:val="2C562245"/>
    <w:rsid w:val="2C7C3EDF"/>
    <w:rsid w:val="2CEB5869"/>
    <w:rsid w:val="2D1B2ACC"/>
    <w:rsid w:val="2E340EFE"/>
    <w:rsid w:val="2F7D7FD7"/>
    <w:rsid w:val="2FBB2209"/>
    <w:rsid w:val="31BC38C8"/>
    <w:rsid w:val="325D617B"/>
    <w:rsid w:val="35530813"/>
    <w:rsid w:val="3583105E"/>
    <w:rsid w:val="36155319"/>
    <w:rsid w:val="38D36F6C"/>
    <w:rsid w:val="39F06B81"/>
    <w:rsid w:val="3A9315A8"/>
    <w:rsid w:val="3A984B42"/>
    <w:rsid w:val="3D9E6C26"/>
    <w:rsid w:val="3DDD1CC2"/>
    <w:rsid w:val="3FB46E12"/>
    <w:rsid w:val="43303E58"/>
    <w:rsid w:val="44D67EBE"/>
    <w:rsid w:val="46634AC2"/>
    <w:rsid w:val="47134B08"/>
    <w:rsid w:val="47F51247"/>
    <w:rsid w:val="486148FF"/>
    <w:rsid w:val="48755A76"/>
    <w:rsid w:val="4A987834"/>
    <w:rsid w:val="4AF9185D"/>
    <w:rsid w:val="4B62106E"/>
    <w:rsid w:val="4B750B11"/>
    <w:rsid w:val="4BED74A9"/>
    <w:rsid w:val="4D0B5EED"/>
    <w:rsid w:val="4E0729E9"/>
    <w:rsid w:val="4E13273C"/>
    <w:rsid w:val="515B2A27"/>
    <w:rsid w:val="53C45992"/>
    <w:rsid w:val="54CE39FD"/>
    <w:rsid w:val="55926B61"/>
    <w:rsid w:val="5850421D"/>
    <w:rsid w:val="599D0922"/>
    <w:rsid w:val="5B4321D9"/>
    <w:rsid w:val="5BEC1294"/>
    <w:rsid w:val="60460ECA"/>
    <w:rsid w:val="60B2657F"/>
    <w:rsid w:val="61B2747F"/>
    <w:rsid w:val="61E640F2"/>
    <w:rsid w:val="62820389"/>
    <w:rsid w:val="6402249F"/>
    <w:rsid w:val="64AC1538"/>
    <w:rsid w:val="64C97667"/>
    <w:rsid w:val="65D276F5"/>
    <w:rsid w:val="68F31F4B"/>
    <w:rsid w:val="6D1B4426"/>
    <w:rsid w:val="6E7E4EE7"/>
    <w:rsid w:val="6F524BBA"/>
    <w:rsid w:val="71A85B7B"/>
    <w:rsid w:val="71B3148D"/>
    <w:rsid w:val="73A80837"/>
    <w:rsid w:val="758D39AB"/>
    <w:rsid w:val="763366E4"/>
    <w:rsid w:val="763D4881"/>
    <w:rsid w:val="76B334E5"/>
    <w:rsid w:val="798533EB"/>
    <w:rsid w:val="7C852632"/>
    <w:rsid w:val="7CA91153"/>
    <w:rsid w:val="7E884E42"/>
    <w:rsid w:val="7F7F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Calibri"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Times New Roman"/>
      <w:kern w:val="0"/>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纯文本 Char"/>
    <w:basedOn w:val="6"/>
    <w:link w:val="2"/>
    <w:qFormat/>
    <w:uiPriority w:val="0"/>
    <w:rPr>
      <w:rFonts w:ascii="宋体" w:hAnsi="Courier New" w:eastAsia="宋体" w:cs="Times New Roman"/>
      <w:kern w:val="0"/>
      <w:szCs w:val="20"/>
    </w:rPr>
  </w:style>
  <w:style w:type="paragraph" w:styleId="10">
    <w:name w:val="List Paragraph"/>
    <w:basedOn w:val="1"/>
    <w:qFormat/>
    <w:uiPriority w:val="34"/>
    <w:pPr>
      <w:ind w:firstLine="420" w:firstLineChars="200"/>
    </w:pPr>
    <w:rPr>
      <w:rFonts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1D9F9-490F-4BE0-9208-42B607F81E71}">
  <ds:schemaRefs/>
</ds:datastoreItem>
</file>

<file path=docProps/app.xml><?xml version="1.0" encoding="utf-8"?>
<Properties xmlns="http://schemas.openxmlformats.org/officeDocument/2006/extended-properties" xmlns:vt="http://schemas.openxmlformats.org/officeDocument/2006/docPropsVTypes">
  <Template>Normal</Template>
  <Pages>6</Pages>
  <Words>462</Words>
  <Characters>2637</Characters>
  <Lines>21</Lines>
  <Paragraphs>6</Paragraphs>
  <TotalTime>5</TotalTime>
  <ScaleCrop>false</ScaleCrop>
  <LinksUpToDate>false</LinksUpToDate>
  <CharactersWithSpaces>3093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2020-08-27T10:45:00Z</dcterms:created>
  <dc:creator>xcajqxy</dc:creator>
  <cp:lastModifiedBy>Administrator</cp:lastModifiedBy>
  <dcterms:modified xsi:type="dcterms:W3CDTF">2022-09-06T06:20:22Z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