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4129C9">
      <w:pPr>
        <w:jc w:val="center"/>
        <w:rPr>
          <w:rFonts w:hint="eastAsia" w:ascii="方正小标宋简体" w:hAnsi="黑体" w:eastAsia="方正小标宋简体" w:cs="Arial"/>
          <w:b w:val="0"/>
          <w:bCs w:val="0"/>
          <w:sz w:val="36"/>
          <w:szCs w:val="36"/>
        </w:rPr>
      </w:pPr>
      <w:r>
        <w:rPr>
          <w:rFonts w:hint="eastAsia" w:ascii="方正小标宋简体" w:hAnsi="黑体" w:eastAsia="方正小标宋简体" w:cs="Arial"/>
          <w:b w:val="0"/>
          <w:bCs w:val="0"/>
          <w:sz w:val="36"/>
          <w:szCs w:val="36"/>
        </w:rPr>
        <w:t>202</w:t>
      </w:r>
      <w:r>
        <w:rPr>
          <w:rFonts w:hint="eastAsia" w:ascii="方正小标宋简体" w:hAnsi="黑体" w:eastAsia="方正小标宋简体" w:cs="Arial"/>
          <w:b w:val="0"/>
          <w:bCs w:val="0"/>
          <w:sz w:val="36"/>
          <w:szCs w:val="36"/>
          <w:lang w:val="en-US" w:eastAsia="zh-CN"/>
        </w:rPr>
        <w:t>4</w:t>
      </w:r>
      <w:r>
        <w:rPr>
          <w:rFonts w:hint="eastAsia" w:ascii="方正小标宋简体" w:hAnsi="黑体" w:eastAsia="方正小标宋简体" w:cs="Arial"/>
          <w:b w:val="0"/>
          <w:bCs w:val="0"/>
          <w:sz w:val="36"/>
          <w:szCs w:val="36"/>
        </w:rPr>
        <w:t>年部门整体绩效报告</w:t>
      </w:r>
    </w:p>
    <w:p w14:paraId="796D707C">
      <w:pPr>
        <w:jc w:val="center"/>
        <w:rPr>
          <w:rFonts w:hint="eastAsia" w:ascii="楷体_GB2312" w:eastAsia="楷体_GB2312"/>
          <w:b w:val="0"/>
          <w:bCs w:val="0"/>
          <w:sz w:val="32"/>
          <w:szCs w:val="32"/>
        </w:rPr>
      </w:pPr>
    </w:p>
    <w:p w14:paraId="5A459204">
      <w:pPr>
        <w:spacing w:line="600" w:lineRule="exact"/>
        <w:ind w:firstLine="640" w:firstLineChars="200"/>
        <w:rPr>
          <w:rFonts w:hint="eastAsia" w:ascii="黑体" w:hAnsi="黑体" w:eastAsia="黑体" w:cs="宋体"/>
          <w:b w:val="0"/>
          <w:bCs w:val="0"/>
          <w:color w:val="000000"/>
          <w:kern w:val="0"/>
          <w:sz w:val="32"/>
          <w:szCs w:val="32"/>
        </w:rPr>
      </w:pPr>
      <w:r>
        <w:rPr>
          <w:rFonts w:hint="eastAsia" w:ascii="黑体" w:hAnsi="黑体" w:eastAsia="黑体" w:cs="宋体"/>
          <w:b w:val="0"/>
          <w:bCs w:val="0"/>
          <w:color w:val="000000"/>
          <w:kern w:val="0"/>
          <w:sz w:val="32"/>
          <w:szCs w:val="32"/>
        </w:rPr>
        <w:t>一、部门概况</w:t>
      </w:r>
    </w:p>
    <w:p w14:paraId="42F2BFA4">
      <w:pPr>
        <w:spacing w:line="600" w:lineRule="exact"/>
        <w:ind w:firstLine="640" w:firstLineChars="200"/>
        <w:rPr>
          <w:rFonts w:eastAsia="仿宋_GB2312"/>
          <w:sz w:val="28"/>
          <w:szCs w:val="28"/>
        </w:rPr>
      </w:pPr>
      <w:r>
        <w:rPr>
          <w:rFonts w:hint="eastAsia" w:ascii="楷体_GB2312" w:eastAsia="楷体_GB2312"/>
          <w:b w:val="0"/>
          <w:bCs w:val="0"/>
          <w:sz w:val="32"/>
          <w:szCs w:val="32"/>
        </w:rPr>
        <w:t>（一）机构设置及职责工作任务情况</w:t>
      </w:r>
    </w:p>
    <w:p w14:paraId="6958BA18">
      <w:pPr>
        <w:spacing w:line="600" w:lineRule="exact"/>
        <w:ind w:left="105" w:leftChars="50" w:firstLine="480" w:firstLineChars="150"/>
        <w:rPr>
          <w:rFonts w:hint="eastAsia" w:ascii="仿宋_GB2312" w:hAnsi="宋体" w:eastAsia="仿宋_GB2312" w:cs="宋体"/>
          <w:b w:val="0"/>
          <w:bCs w:val="0"/>
          <w:color w:val="000000"/>
          <w:kern w:val="0"/>
          <w:sz w:val="32"/>
          <w:szCs w:val="32"/>
        </w:rPr>
      </w:pPr>
      <w:r>
        <w:rPr>
          <w:rFonts w:hint="eastAsia" w:ascii="仿宋_GB2312" w:hAnsi="宋体" w:eastAsia="仿宋_GB2312" w:cs="宋体"/>
          <w:b w:val="0"/>
          <w:bCs w:val="0"/>
          <w:color w:val="000000"/>
          <w:kern w:val="0"/>
          <w:sz w:val="32"/>
          <w:szCs w:val="32"/>
        </w:rPr>
        <w:t>（1）贯彻落实国家和本市关于文化、旅游以及文物工作的法律法规、规章和政策。</w:t>
      </w:r>
    </w:p>
    <w:p w14:paraId="29DE7FFD">
      <w:pPr>
        <w:spacing w:line="600" w:lineRule="exact"/>
        <w:ind w:left="105" w:leftChars="50" w:firstLine="480" w:firstLineChars="150"/>
        <w:rPr>
          <w:rFonts w:hint="eastAsia" w:ascii="仿宋_GB2312" w:hAnsi="宋体" w:eastAsia="仿宋_GB2312" w:cs="宋体"/>
          <w:b w:val="0"/>
          <w:bCs w:val="0"/>
          <w:color w:val="000000"/>
          <w:kern w:val="0"/>
          <w:sz w:val="32"/>
          <w:szCs w:val="32"/>
        </w:rPr>
      </w:pPr>
      <w:r>
        <w:rPr>
          <w:rFonts w:hint="eastAsia" w:ascii="仿宋_GB2312" w:hAnsi="宋体" w:eastAsia="仿宋_GB2312" w:cs="宋体"/>
          <w:b w:val="0"/>
          <w:bCs w:val="0"/>
          <w:color w:val="000000"/>
          <w:kern w:val="0"/>
          <w:sz w:val="32"/>
          <w:szCs w:val="32"/>
        </w:rPr>
        <w:t>（2）统筹规划本区文化事业、文化产业和旅游业发展，拟订发展规划并组织实施，推进文化和旅游融合发展，推进文化、旅游以及文物事业的体制机制改革。</w:t>
      </w:r>
    </w:p>
    <w:p w14:paraId="0CE1D2A5">
      <w:pPr>
        <w:spacing w:line="600" w:lineRule="exact"/>
        <w:ind w:left="105" w:leftChars="50" w:firstLine="480" w:firstLineChars="150"/>
        <w:rPr>
          <w:rFonts w:hint="eastAsia" w:ascii="仿宋_GB2312" w:hAnsi="宋体" w:eastAsia="仿宋_GB2312" w:cs="宋体"/>
          <w:b w:val="0"/>
          <w:bCs w:val="0"/>
          <w:color w:val="000000"/>
          <w:kern w:val="0"/>
          <w:sz w:val="32"/>
          <w:szCs w:val="32"/>
        </w:rPr>
      </w:pPr>
      <w:r>
        <w:rPr>
          <w:rFonts w:hint="eastAsia" w:ascii="仿宋_GB2312" w:hAnsi="宋体" w:eastAsia="仿宋_GB2312" w:cs="宋体"/>
          <w:b w:val="0"/>
          <w:bCs w:val="0"/>
          <w:color w:val="000000"/>
          <w:kern w:val="0"/>
          <w:sz w:val="32"/>
          <w:szCs w:val="32"/>
        </w:rPr>
        <w:t>（3）管理本区重大文化活动，指导本区重点及基层文化设施建设和旅游设施建设。立足首都核心区，参与国家和北京市旅游整体形象的对外宣传和重大推广活动。组织本区文化、旅游对外宣传和推广活动，促进文化产业和旅游业对外合作和市场推广，负责制定本区旅游市场开发战略并组织实施，落实推进全域旅游。</w:t>
      </w:r>
    </w:p>
    <w:p w14:paraId="49808AAB">
      <w:pPr>
        <w:spacing w:line="600" w:lineRule="exact"/>
        <w:ind w:left="105" w:leftChars="50" w:firstLine="480" w:firstLineChars="150"/>
        <w:rPr>
          <w:rFonts w:hint="eastAsia" w:ascii="仿宋_GB2312" w:hAnsi="宋体" w:eastAsia="仿宋_GB2312" w:cs="宋体"/>
          <w:b w:val="0"/>
          <w:bCs w:val="0"/>
          <w:color w:val="000000"/>
          <w:kern w:val="0"/>
          <w:sz w:val="32"/>
          <w:szCs w:val="32"/>
        </w:rPr>
      </w:pPr>
      <w:r>
        <w:rPr>
          <w:rFonts w:hint="eastAsia" w:ascii="仿宋_GB2312" w:hAnsi="宋体" w:eastAsia="仿宋_GB2312" w:cs="宋体"/>
          <w:b w:val="0"/>
          <w:bCs w:val="0"/>
          <w:color w:val="000000"/>
          <w:kern w:val="0"/>
          <w:sz w:val="32"/>
          <w:szCs w:val="32"/>
        </w:rPr>
        <w:t>（4）负责本区公共文化事业发展，推进公共文化服务体系建设和旅游公共服务体系建设，深入实施文化和旅游惠民工程，统筹推进基本公共文化和旅游服务标准化。</w:t>
      </w:r>
    </w:p>
    <w:p w14:paraId="74584E04">
      <w:pPr>
        <w:spacing w:line="600" w:lineRule="exact"/>
        <w:ind w:left="105" w:leftChars="50" w:firstLine="480" w:firstLineChars="150"/>
        <w:rPr>
          <w:rFonts w:hint="eastAsia" w:ascii="仿宋_GB2312" w:hAnsi="宋体" w:eastAsia="仿宋_GB2312" w:cs="宋体"/>
          <w:b w:val="0"/>
          <w:bCs w:val="0"/>
          <w:color w:val="000000"/>
          <w:kern w:val="0"/>
          <w:sz w:val="32"/>
          <w:szCs w:val="32"/>
        </w:rPr>
      </w:pPr>
      <w:r>
        <w:rPr>
          <w:rFonts w:hint="eastAsia" w:ascii="仿宋_GB2312" w:hAnsi="宋体" w:eastAsia="仿宋_GB2312" w:cs="宋体"/>
          <w:b w:val="0"/>
          <w:bCs w:val="0"/>
          <w:color w:val="000000"/>
          <w:kern w:val="0"/>
          <w:sz w:val="32"/>
          <w:szCs w:val="32"/>
        </w:rPr>
        <w:t>（5）指导、推进本区文化和旅游科技创新发展，推进文化和旅游业信息化、标准化建设。</w:t>
      </w:r>
    </w:p>
    <w:p w14:paraId="7AF43885">
      <w:pPr>
        <w:spacing w:line="600" w:lineRule="exact"/>
        <w:ind w:left="105" w:leftChars="50" w:firstLine="480" w:firstLineChars="150"/>
        <w:rPr>
          <w:rFonts w:hint="eastAsia" w:ascii="仿宋_GB2312" w:hAnsi="宋体" w:eastAsia="仿宋_GB2312" w:cs="宋体"/>
          <w:b w:val="0"/>
          <w:bCs w:val="0"/>
          <w:color w:val="000000"/>
          <w:kern w:val="0"/>
          <w:sz w:val="32"/>
          <w:szCs w:val="32"/>
        </w:rPr>
      </w:pPr>
      <w:r>
        <w:rPr>
          <w:rFonts w:hint="eastAsia" w:ascii="仿宋_GB2312" w:hAnsi="宋体" w:eastAsia="仿宋_GB2312" w:cs="宋体"/>
          <w:b w:val="0"/>
          <w:bCs w:val="0"/>
          <w:color w:val="000000"/>
          <w:kern w:val="0"/>
          <w:sz w:val="32"/>
          <w:szCs w:val="32"/>
        </w:rPr>
        <w:t>（6）负责本区非物质文化遗产保护、保存，推动非物质文化遗产的保护、传承、传播和发展。</w:t>
      </w:r>
    </w:p>
    <w:p w14:paraId="7A902AD7">
      <w:pPr>
        <w:spacing w:line="600" w:lineRule="exact"/>
        <w:ind w:left="105" w:leftChars="50" w:firstLine="480" w:firstLineChars="150"/>
        <w:rPr>
          <w:rFonts w:hint="eastAsia" w:ascii="仿宋_GB2312" w:hAnsi="宋体" w:eastAsia="仿宋_GB2312" w:cs="宋体"/>
          <w:b w:val="0"/>
          <w:bCs w:val="0"/>
          <w:color w:val="000000"/>
          <w:kern w:val="0"/>
          <w:sz w:val="32"/>
          <w:szCs w:val="32"/>
        </w:rPr>
      </w:pPr>
      <w:r>
        <w:rPr>
          <w:rFonts w:hint="eastAsia" w:ascii="仿宋_GB2312" w:hAnsi="宋体" w:eastAsia="仿宋_GB2312" w:cs="宋体"/>
          <w:b w:val="0"/>
          <w:bCs w:val="0"/>
          <w:color w:val="000000"/>
          <w:kern w:val="0"/>
          <w:sz w:val="32"/>
          <w:szCs w:val="32"/>
        </w:rPr>
        <w:t>（7）负责拟订本区文物事业发展规划并组织实施，负责文化保护单位管理工作，会同有关部门负责老城历史文化保护与复兴工作。指导博物馆工作。</w:t>
      </w:r>
    </w:p>
    <w:p w14:paraId="6E770D9F">
      <w:pPr>
        <w:spacing w:line="600" w:lineRule="exact"/>
        <w:ind w:left="105" w:leftChars="50" w:firstLine="480" w:firstLineChars="150"/>
        <w:rPr>
          <w:rFonts w:hint="eastAsia" w:ascii="仿宋_GB2312" w:hAnsi="宋体" w:eastAsia="仿宋_GB2312" w:cs="宋体"/>
          <w:b w:val="0"/>
          <w:bCs w:val="0"/>
          <w:color w:val="000000"/>
          <w:kern w:val="0"/>
          <w:sz w:val="32"/>
          <w:szCs w:val="32"/>
        </w:rPr>
      </w:pPr>
      <w:r>
        <w:rPr>
          <w:rFonts w:hint="eastAsia" w:ascii="仿宋_GB2312" w:hAnsi="宋体" w:eastAsia="仿宋_GB2312" w:cs="宋体"/>
          <w:b w:val="0"/>
          <w:bCs w:val="0"/>
          <w:color w:val="000000"/>
          <w:kern w:val="0"/>
          <w:sz w:val="32"/>
          <w:szCs w:val="32"/>
        </w:rPr>
        <w:t>（8）统筹规划本区文化产业和旅游业，组织实施文化、旅游、文物资源的普查、挖掘、保护和利用工作，促进文化产业、旅游业和文物事业的发展。</w:t>
      </w:r>
    </w:p>
    <w:p w14:paraId="1DD47F81">
      <w:pPr>
        <w:spacing w:line="600" w:lineRule="exact"/>
        <w:ind w:left="105" w:leftChars="50" w:firstLine="480" w:firstLineChars="150"/>
        <w:rPr>
          <w:rFonts w:hint="eastAsia" w:ascii="仿宋_GB2312" w:hAnsi="宋体" w:eastAsia="仿宋_GB2312" w:cs="宋体"/>
          <w:b w:val="0"/>
          <w:bCs w:val="0"/>
          <w:color w:val="000000"/>
          <w:kern w:val="0"/>
          <w:sz w:val="32"/>
          <w:szCs w:val="32"/>
        </w:rPr>
      </w:pPr>
      <w:r>
        <w:rPr>
          <w:rFonts w:hint="eastAsia" w:ascii="仿宋_GB2312" w:hAnsi="宋体" w:eastAsia="仿宋_GB2312" w:cs="宋体"/>
          <w:b w:val="0"/>
          <w:bCs w:val="0"/>
          <w:color w:val="000000"/>
          <w:kern w:val="0"/>
          <w:sz w:val="32"/>
          <w:szCs w:val="32"/>
        </w:rPr>
        <w:t>（9）指导本区文化和旅游市场发展，负责对文化和旅游市场经营进行行业监管，推进文化和旅游业信用体系建设，依法规范文化和旅游市场。</w:t>
      </w:r>
    </w:p>
    <w:p w14:paraId="3126AE76">
      <w:pPr>
        <w:spacing w:line="600" w:lineRule="exact"/>
        <w:ind w:left="105" w:leftChars="50" w:firstLine="480" w:firstLineChars="150"/>
        <w:rPr>
          <w:rFonts w:hint="eastAsia" w:ascii="仿宋_GB2312" w:hAnsi="宋体" w:eastAsia="仿宋_GB2312" w:cs="宋体"/>
          <w:b w:val="0"/>
          <w:bCs w:val="0"/>
          <w:color w:val="000000"/>
          <w:kern w:val="0"/>
          <w:sz w:val="32"/>
          <w:szCs w:val="32"/>
        </w:rPr>
      </w:pPr>
      <w:r>
        <w:rPr>
          <w:rFonts w:hint="eastAsia" w:ascii="仿宋_GB2312" w:hAnsi="宋体" w:eastAsia="仿宋_GB2312" w:cs="宋体"/>
          <w:b w:val="0"/>
          <w:bCs w:val="0"/>
          <w:color w:val="000000"/>
          <w:kern w:val="0"/>
          <w:sz w:val="32"/>
          <w:szCs w:val="32"/>
        </w:rPr>
        <w:t>（10）在区委宣传部门指导下，组织开展本区文化市场综合执法，组织查处文化、文物、出版、广播电视、电影、旅游等市场的违法行为，维护市场秩序。</w:t>
      </w:r>
    </w:p>
    <w:p w14:paraId="03B559F2">
      <w:pPr>
        <w:spacing w:line="600" w:lineRule="exact"/>
        <w:ind w:left="105" w:leftChars="50" w:firstLine="480" w:firstLineChars="150"/>
        <w:rPr>
          <w:rFonts w:hint="eastAsia" w:ascii="仿宋_GB2312" w:hAnsi="宋体" w:eastAsia="仿宋_GB2312" w:cs="宋体"/>
          <w:b w:val="0"/>
          <w:bCs w:val="0"/>
          <w:color w:val="000000"/>
          <w:kern w:val="0"/>
          <w:sz w:val="32"/>
          <w:szCs w:val="32"/>
        </w:rPr>
      </w:pPr>
      <w:r>
        <w:rPr>
          <w:rFonts w:hint="eastAsia" w:ascii="仿宋_GB2312" w:hAnsi="宋体" w:eastAsia="仿宋_GB2312" w:cs="宋体"/>
          <w:b w:val="0"/>
          <w:bCs w:val="0"/>
          <w:color w:val="000000"/>
          <w:kern w:val="0"/>
          <w:sz w:val="32"/>
          <w:szCs w:val="32"/>
        </w:rPr>
        <w:t>（11）指导、管理本区文化和旅游对外及对港澳台交流、合作和宣传、推广工作，负责组织大型文化和旅游对外及对港澳台交流活动。</w:t>
      </w:r>
    </w:p>
    <w:p w14:paraId="397C07B4">
      <w:pPr>
        <w:spacing w:line="600" w:lineRule="exact"/>
        <w:ind w:left="105" w:leftChars="50" w:firstLine="480" w:firstLineChars="150"/>
        <w:rPr>
          <w:rFonts w:hint="eastAsia" w:ascii="仿宋_GB2312" w:hAnsi="宋体" w:eastAsia="仿宋_GB2312" w:cs="宋体"/>
          <w:b w:val="0"/>
          <w:bCs w:val="0"/>
          <w:color w:val="000000"/>
          <w:kern w:val="0"/>
          <w:sz w:val="32"/>
          <w:szCs w:val="32"/>
        </w:rPr>
      </w:pPr>
      <w:r>
        <w:rPr>
          <w:rFonts w:hint="eastAsia" w:ascii="仿宋_GB2312" w:hAnsi="宋体" w:eastAsia="仿宋_GB2312" w:cs="宋体"/>
          <w:b w:val="0"/>
          <w:bCs w:val="0"/>
          <w:color w:val="000000"/>
          <w:kern w:val="0"/>
          <w:sz w:val="32"/>
          <w:szCs w:val="32"/>
        </w:rPr>
        <w:t>（12）指导、管理本区文化创意产业发展，拟订相关发展规划并组织实施。统筹推进文化创意产业发展服务体系建设，指导协调文化创意产业基地、园区建设，协调推进文化创意产业重大项目建设。代为管理区文化创意产业促进中心。</w:t>
      </w:r>
    </w:p>
    <w:p w14:paraId="29F99E49">
      <w:pPr>
        <w:spacing w:line="600" w:lineRule="exact"/>
        <w:ind w:left="105" w:leftChars="50" w:firstLine="480" w:firstLineChars="150"/>
        <w:rPr>
          <w:rFonts w:hint="eastAsia" w:ascii="仿宋_GB2312" w:hAnsi="宋体" w:eastAsia="仿宋_GB2312" w:cs="宋体"/>
          <w:b w:val="0"/>
          <w:bCs w:val="0"/>
          <w:color w:val="000000"/>
          <w:kern w:val="0"/>
          <w:sz w:val="32"/>
          <w:szCs w:val="32"/>
        </w:rPr>
      </w:pPr>
      <w:r>
        <w:rPr>
          <w:rFonts w:hint="eastAsia" w:ascii="仿宋_GB2312" w:hAnsi="宋体" w:eastAsia="仿宋_GB2312" w:cs="宋体"/>
          <w:b w:val="0"/>
          <w:bCs w:val="0"/>
          <w:color w:val="000000"/>
          <w:kern w:val="0"/>
          <w:sz w:val="32"/>
          <w:szCs w:val="32"/>
        </w:rPr>
        <w:t>（13）按照“管行业必须管安全，管业务必须管安全，管生产经营必须管安全”的要求，承担相关安全生产工作职责。</w:t>
      </w:r>
    </w:p>
    <w:p w14:paraId="30692097">
      <w:pPr>
        <w:spacing w:line="600" w:lineRule="exact"/>
        <w:ind w:left="105" w:leftChars="50" w:firstLine="480" w:firstLineChars="150"/>
        <w:rPr>
          <w:rFonts w:hint="eastAsia" w:ascii="仿宋_GB2312" w:hAnsi="宋体" w:eastAsia="仿宋_GB2312" w:cs="宋体"/>
          <w:b w:val="0"/>
          <w:bCs w:val="0"/>
          <w:color w:val="000000"/>
          <w:kern w:val="0"/>
          <w:sz w:val="32"/>
          <w:szCs w:val="32"/>
        </w:rPr>
      </w:pPr>
      <w:r>
        <w:rPr>
          <w:rFonts w:hint="eastAsia" w:ascii="仿宋_GB2312" w:hAnsi="宋体" w:eastAsia="仿宋_GB2312" w:cs="宋体"/>
          <w:b w:val="0"/>
          <w:bCs w:val="0"/>
          <w:color w:val="000000"/>
          <w:kern w:val="0"/>
          <w:sz w:val="32"/>
          <w:szCs w:val="32"/>
        </w:rPr>
        <w:t>（14）完成区委、区政府交办的其他任务。</w:t>
      </w:r>
    </w:p>
    <w:p w14:paraId="1B01251D">
      <w:pPr>
        <w:numPr>
          <w:ilvl w:val="0"/>
          <w:numId w:val="0"/>
        </w:numPr>
        <w:spacing w:line="600" w:lineRule="exact"/>
        <w:ind w:firstLine="640" w:firstLineChars="200"/>
      </w:pPr>
      <w:r>
        <w:rPr>
          <w:rFonts w:hint="eastAsia" w:ascii="楷体_GB2312" w:eastAsia="楷体_GB2312"/>
          <w:b w:val="0"/>
          <w:bCs w:val="0"/>
          <w:sz w:val="32"/>
          <w:szCs w:val="32"/>
          <w:lang w:eastAsia="zh-CN"/>
        </w:rPr>
        <w:t>（</w:t>
      </w:r>
      <w:r>
        <w:rPr>
          <w:rFonts w:hint="eastAsia" w:ascii="楷体_GB2312" w:eastAsia="楷体_GB2312"/>
          <w:b w:val="0"/>
          <w:bCs w:val="0"/>
          <w:sz w:val="32"/>
          <w:szCs w:val="32"/>
          <w:lang w:val="en-US" w:eastAsia="zh-CN"/>
        </w:rPr>
        <w:t>二）</w:t>
      </w:r>
      <w:r>
        <w:rPr>
          <w:rFonts w:hint="eastAsia" w:ascii="楷体_GB2312" w:eastAsia="楷体_GB2312"/>
          <w:b w:val="0"/>
          <w:bCs w:val="0"/>
          <w:sz w:val="32"/>
          <w:szCs w:val="32"/>
        </w:rPr>
        <w:t>部门整体绩效目标设立情况。</w:t>
      </w:r>
    </w:p>
    <w:p w14:paraId="77BDEA6C">
      <w:pPr>
        <w:pStyle w:val="2"/>
        <w:ind w:firstLine="560"/>
        <w:rPr>
          <w:rFonts w:hint="eastAsia" w:ascii="仿宋_GB2312" w:hAnsi="宋体" w:eastAsia="仿宋_GB2312" w:cs="宋体"/>
          <w:b w:val="0"/>
          <w:bCs w:val="0"/>
          <w:color w:val="000000"/>
          <w:kern w:val="0"/>
          <w:sz w:val="32"/>
          <w:szCs w:val="32"/>
          <w:lang w:val="en-US" w:eastAsia="zh-CN" w:bidi="ar-SA"/>
        </w:rPr>
      </w:pPr>
      <w:r>
        <w:rPr>
          <w:rFonts w:hint="eastAsia" w:ascii="仿宋_GB2312" w:hAnsi="宋体" w:eastAsia="仿宋_GB2312" w:cs="宋体"/>
          <w:b w:val="0"/>
          <w:bCs w:val="0"/>
          <w:color w:val="000000"/>
          <w:kern w:val="0"/>
          <w:sz w:val="32"/>
          <w:szCs w:val="32"/>
          <w:lang w:val="en-US" w:eastAsia="zh-CN" w:bidi="ar-SA"/>
        </w:rPr>
        <w:t>2024年是全面贯彻落实党的二十大精神的关键之年，是落实“十四五”规划承上启下的关键之年，也是扎实推进中国式现代化西城实践的起步之年。区文化和旅游局坚持以习近平新时代中国特色社会主义</w:t>
      </w:r>
      <w:bookmarkStart w:id="0" w:name="_GoBack"/>
      <w:bookmarkEnd w:id="0"/>
      <w:r>
        <w:rPr>
          <w:rFonts w:hint="eastAsia" w:ascii="仿宋_GB2312" w:hAnsi="宋体" w:eastAsia="仿宋_GB2312" w:cs="宋体"/>
          <w:b w:val="0"/>
          <w:bCs w:val="0"/>
          <w:color w:val="000000"/>
          <w:kern w:val="0"/>
          <w:sz w:val="32"/>
          <w:szCs w:val="32"/>
          <w:lang w:val="en-US" w:eastAsia="zh-CN" w:bidi="ar-SA"/>
        </w:rPr>
        <w:t>思想为指导，认真学习领悟习近平文化思想，认真贯彻落实区委、区政府决策部署，在市文化和旅游局的带领下，统筹推进文化事业和文化产业贯通发展，大力推动文化和旅游深度融合发展、高质量发展，年度计划任务圆满完成。</w:t>
      </w:r>
    </w:p>
    <w:p w14:paraId="7E0DF485">
      <w:pPr>
        <w:pStyle w:val="2"/>
        <w:ind w:firstLine="560"/>
        <w:rPr>
          <w:rFonts w:hint="eastAsia" w:ascii="仿宋_GB2312" w:hAnsi="宋体" w:eastAsia="仿宋_GB2312" w:cs="宋体"/>
          <w:b w:val="0"/>
          <w:bCs w:val="0"/>
          <w:color w:val="auto"/>
          <w:kern w:val="0"/>
          <w:sz w:val="32"/>
          <w:szCs w:val="32"/>
          <w:lang w:val="en-US" w:eastAsia="zh-CN" w:bidi="ar-SA"/>
        </w:rPr>
      </w:pPr>
      <w:r>
        <w:rPr>
          <w:rFonts w:hint="eastAsia" w:ascii="仿宋_GB2312" w:hAnsi="宋体" w:eastAsia="仿宋_GB2312" w:cs="宋体"/>
          <w:b w:val="0"/>
          <w:bCs w:val="0"/>
          <w:color w:val="000000"/>
          <w:kern w:val="0"/>
          <w:sz w:val="32"/>
          <w:szCs w:val="32"/>
          <w:lang w:val="en-US" w:eastAsia="zh-CN" w:bidi="ar-SA"/>
        </w:rPr>
        <w:t>1.高质量建设公共文化服务体系，人民群众文化获得感进一步提升。示范区建设取得阶段性成果。公共文化服务供给更加精准、高效。</w:t>
      </w:r>
      <w:r>
        <w:rPr>
          <w:rFonts w:hint="eastAsia" w:ascii="仿宋_GB2312" w:hAnsi="宋体" w:eastAsia="仿宋_GB2312" w:cs="宋体"/>
          <w:b w:val="0"/>
          <w:bCs w:val="0"/>
          <w:color w:val="auto"/>
          <w:kern w:val="0"/>
          <w:sz w:val="32"/>
          <w:szCs w:val="32"/>
          <w:lang w:val="en-US" w:eastAsia="zh-CN" w:bidi="ar-SA"/>
        </w:rPr>
        <w:t>阅读服务更加贴近读者生活。</w:t>
      </w:r>
    </w:p>
    <w:p w14:paraId="0C216488">
      <w:pPr>
        <w:pStyle w:val="2"/>
        <w:ind w:firstLine="560"/>
        <w:rPr>
          <w:rFonts w:hint="eastAsia" w:ascii="仿宋_GB2312" w:hAnsi="宋体" w:eastAsia="仿宋_GB2312" w:cs="宋体"/>
          <w:b w:val="0"/>
          <w:bCs w:val="0"/>
          <w:color w:val="000000"/>
          <w:kern w:val="0"/>
          <w:sz w:val="32"/>
          <w:szCs w:val="32"/>
          <w:lang w:val="en-US" w:eastAsia="zh-CN" w:bidi="ar-SA"/>
        </w:rPr>
      </w:pPr>
      <w:r>
        <w:rPr>
          <w:rFonts w:hint="eastAsia" w:ascii="仿宋_GB2312" w:hAnsi="宋体" w:eastAsia="仿宋_GB2312" w:cs="宋体"/>
          <w:b w:val="0"/>
          <w:bCs w:val="0"/>
          <w:color w:val="000000"/>
          <w:kern w:val="0"/>
          <w:sz w:val="32"/>
          <w:szCs w:val="32"/>
          <w:lang w:val="en-US" w:eastAsia="zh-CN" w:bidi="ar-SA"/>
        </w:rPr>
        <w:t>2.持续推进文物建筑保护利用，古都优秀传统文化魅力充分展现。做好中轴线遗产保护后半篇文章。文物建筑保护工作有序实施。文物建筑活化利用稳步推进。非遗保护传承亮点频现。</w:t>
      </w:r>
    </w:p>
    <w:p w14:paraId="1A534D06">
      <w:pPr>
        <w:pStyle w:val="2"/>
        <w:ind w:firstLine="560"/>
        <w:rPr>
          <w:rFonts w:hint="eastAsia" w:ascii="仿宋_GB2312" w:hAnsi="宋体" w:eastAsia="仿宋_GB2312" w:cs="宋体"/>
          <w:b w:val="0"/>
          <w:bCs w:val="0"/>
          <w:color w:val="000000"/>
          <w:kern w:val="0"/>
          <w:sz w:val="32"/>
          <w:szCs w:val="32"/>
          <w:lang w:val="en-US" w:eastAsia="zh-CN" w:bidi="ar-SA"/>
        </w:rPr>
      </w:pPr>
      <w:r>
        <w:rPr>
          <w:rFonts w:hint="eastAsia" w:ascii="仿宋_GB2312" w:hAnsi="宋体" w:eastAsia="仿宋_GB2312" w:cs="宋体"/>
          <w:b w:val="0"/>
          <w:bCs w:val="0"/>
          <w:color w:val="000000"/>
          <w:kern w:val="0"/>
          <w:sz w:val="32"/>
          <w:szCs w:val="32"/>
          <w:lang w:val="en-US" w:eastAsia="zh-CN" w:bidi="ar-SA"/>
        </w:rPr>
        <w:t>3.全力打造文化品牌，西城文化影响力不断扩大。精品创作力度加大。重大活动举办成功圆满。文化活动品牌更具吸引力。</w:t>
      </w:r>
    </w:p>
    <w:p w14:paraId="11798866">
      <w:pPr>
        <w:pStyle w:val="2"/>
        <w:ind w:firstLine="560"/>
        <w:rPr>
          <w:rFonts w:hint="eastAsia" w:ascii="仿宋_GB2312" w:hAnsi="宋体" w:eastAsia="仿宋_GB2312" w:cs="宋体"/>
          <w:b w:val="0"/>
          <w:bCs w:val="0"/>
          <w:color w:val="000000"/>
          <w:kern w:val="0"/>
          <w:sz w:val="32"/>
          <w:szCs w:val="32"/>
          <w:lang w:val="en-US" w:eastAsia="zh-CN" w:bidi="ar-SA"/>
        </w:rPr>
      </w:pPr>
      <w:r>
        <w:rPr>
          <w:rFonts w:hint="eastAsia" w:ascii="仿宋_GB2312" w:hAnsi="宋体" w:eastAsia="仿宋_GB2312" w:cs="宋体"/>
          <w:b w:val="0"/>
          <w:bCs w:val="0"/>
          <w:color w:val="000000"/>
          <w:kern w:val="0"/>
          <w:sz w:val="32"/>
          <w:szCs w:val="32"/>
          <w:lang w:val="en-US" w:eastAsia="zh-CN" w:bidi="ar-SA"/>
        </w:rPr>
        <w:t>4.做好文旅融合发展文章，旅游业提质增效、快速复苏。</w:t>
      </w:r>
    </w:p>
    <w:p w14:paraId="52B4354D">
      <w:pPr>
        <w:pStyle w:val="2"/>
        <w:ind w:firstLine="560"/>
        <w:rPr>
          <w:rFonts w:hint="eastAsia" w:ascii="仿宋_GB2312" w:hAnsi="宋体" w:eastAsia="仿宋_GB2312" w:cs="宋体"/>
          <w:b w:val="0"/>
          <w:bCs w:val="0"/>
          <w:color w:val="000000"/>
          <w:kern w:val="0"/>
          <w:sz w:val="32"/>
          <w:szCs w:val="32"/>
          <w:lang w:val="en-US" w:eastAsia="zh-CN" w:bidi="ar-SA"/>
        </w:rPr>
      </w:pPr>
      <w:r>
        <w:rPr>
          <w:rFonts w:hint="eastAsia" w:ascii="仿宋_GB2312" w:hAnsi="宋体" w:eastAsia="仿宋_GB2312" w:cs="宋体"/>
          <w:b w:val="0"/>
          <w:bCs w:val="0"/>
          <w:color w:val="000000"/>
          <w:kern w:val="0"/>
          <w:sz w:val="32"/>
          <w:szCs w:val="32"/>
          <w:lang w:val="en-US" w:eastAsia="zh-CN" w:bidi="ar-SA"/>
        </w:rPr>
        <w:t>服务力度持续加大。宣传推介成效明显。文旅消费活动组织严密。住宿业转型升级年度任务提前完成。</w:t>
      </w:r>
    </w:p>
    <w:p w14:paraId="318D7702">
      <w:pPr>
        <w:pStyle w:val="2"/>
        <w:ind w:firstLine="560"/>
        <w:rPr>
          <w:rFonts w:hint="eastAsia" w:ascii="仿宋_GB2312" w:hAnsi="宋体" w:eastAsia="仿宋_GB2312" w:cs="宋体"/>
          <w:b w:val="0"/>
          <w:bCs w:val="0"/>
          <w:color w:val="000000"/>
          <w:kern w:val="0"/>
          <w:sz w:val="32"/>
          <w:szCs w:val="32"/>
          <w:lang w:val="en-US" w:eastAsia="zh-CN" w:bidi="ar-SA"/>
        </w:rPr>
      </w:pPr>
      <w:r>
        <w:rPr>
          <w:rFonts w:hint="eastAsia" w:ascii="仿宋_GB2312" w:hAnsi="宋体" w:eastAsia="仿宋_GB2312" w:cs="宋体"/>
          <w:b w:val="0"/>
          <w:bCs w:val="0"/>
          <w:color w:val="000000"/>
          <w:kern w:val="0"/>
          <w:sz w:val="32"/>
          <w:szCs w:val="32"/>
          <w:lang w:val="en-US" w:eastAsia="zh-CN" w:bidi="ar-SA"/>
        </w:rPr>
        <w:t>5.注重管服并举，文化和旅游市场环境平稳有序。行业审批服务便捷周到。文旅市场监管有力。</w:t>
      </w:r>
    </w:p>
    <w:p w14:paraId="08A2AB13">
      <w:pPr>
        <w:pStyle w:val="2"/>
        <w:ind w:firstLine="560"/>
        <w:rPr>
          <w:rFonts w:hint="eastAsia" w:ascii="仿宋_GB2312" w:hAnsi="宋体" w:eastAsia="仿宋_GB2312" w:cs="宋体"/>
          <w:b w:val="0"/>
          <w:bCs w:val="0"/>
          <w:color w:val="000000"/>
          <w:kern w:val="0"/>
          <w:sz w:val="32"/>
          <w:szCs w:val="32"/>
          <w:lang w:val="en-US" w:eastAsia="zh-CN" w:bidi="ar-SA"/>
        </w:rPr>
      </w:pPr>
      <w:r>
        <w:rPr>
          <w:rFonts w:hint="eastAsia" w:ascii="仿宋_GB2312" w:hAnsi="宋体" w:eastAsia="仿宋_GB2312" w:cs="宋体"/>
          <w:b w:val="0"/>
          <w:bCs w:val="0"/>
          <w:color w:val="000000"/>
          <w:kern w:val="0"/>
          <w:sz w:val="32"/>
          <w:szCs w:val="32"/>
          <w:lang w:val="en-US" w:eastAsia="zh-CN" w:bidi="ar-SA"/>
        </w:rPr>
        <w:t>6.加强正规化建设，依法行政能力有效提升。法治政府建设不断加强。接诉即办源头治理、提质减量。</w:t>
      </w:r>
    </w:p>
    <w:p w14:paraId="53F9FABA">
      <w:pPr>
        <w:spacing w:line="600" w:lineRule="exact"/>
        <w:ind w:left="105" w:leftChars="50" w:firstLine="480" w:firstLineChars="150"/>
        <w:rPr>
          <w:rFonts w:ascii="黑体" w:hAnsi="黑体" w:eastAsia="黑体" w:cs="宋体"/>
          <w:b w:val="0"/>
          <w:bCs w:val="0"/>
          <w:color w:val="000000"/>
          <w:kern w:val="0"/>
          <w:sz w:val="32"/>
          <w:szCs w:val="32"/>
        </w:rPr>
      </w:pPr>
      <w:r>
        <w:rPr>
          <w:rFonts w:hint="eastAsia" w:ascii="黑体" w:hAnsi="黑体" w:eastAsia="黑体" w:cs="宋体"/>
          <w:b w:val="0"/>
          <w:bCs w:val="0"/>
          <w:color w:val="000000"/>
          <w:kern w:val="0"/>
          <w:sz w:val="32"/>
          <w:szCs w:val="32"/>
        </w:rPr>
        <w:t>二</w:t>
      </w:r>
      <w:r>
        <w:rPr>
          <w:rFonts w:ascii="黑体" w:hAnsi="黑体" w:eastAsia="黑体" w:cs="宋体"/>
          <w:b w:val="0"/>
          <w:bCs w:val="0"/>
          <w:color w:val="000000"/>
          <w:kern w:val="0"/>
          <w:sz w:val="32"/>
          <w:szCs w:val="32"/>
        </w:rPr>
        <w:t>、</w:t>
      </w:r>
      <w:r>
        <w:rPr>
          <w:rFonts w:hint="eastAsia" w:ascii="黑体" w:hAnsi="黑体" w:eastAsia="黑体" w:cs="宋体"/>
          <w:b w:val="0"/>
          <w:bCs w:val="0"/>
          <w:color w:val="000000"/>
          <w:kern w:val="0"/>
          <w:sz w:val="32"/>
          <w:szCs w:val="32"/>
        </w:rPr>
        <w:t>当年</w:t>
      </w:r>
      <w:r>
        <w:rPr>
          <w:rFonts w:ascii="黑体" w:hAnsi="黑体" w:eastAsia="黑体" w:cs="宋体"/>
          <w:b w:val="0"/>
          <w:bCs w:val="0"/>
          <w:color w:val="000000"/>
          <w:kern w:val="0"/>
          <w:sz w:val="32"/>
          <w:szCs w:val="32"/>
        </w:rPr>
        <w:t>预算执行情况</w:t>
      </w:r>
    </w:p>
    <w:p w14:paraId="72F1541D">
      <w:pPr>
        <w:spacing w:line="600" w:lineRule="exact"/>
        <w:ind w:left="105" w:leftChars="50" w:firstLine="480" w:firstLineChars="150"/>
        <w:rPr>
          <w:rFonts w:ascii="仿宋_GB2312" w:hAnsi="宋体" w:eastAsia="仿宋_GB2312" w:cs="宋体"/>
          <w:b w:val="0"/>
          <w:bCs w:val="0"/>
          <w:color w:val="auto"/>
          <w:kern w:val="0"/>
          <w:sz w:val="32"/>
          <w:szCs w:val="32"/>
        </w:rPr>
      </w:pPr>
      <w:r>
        <w:rPr>
          <w:rFonts w:hint="eastAsia" w:ascii="仿宋_GB2312" w:hAnsi="宋体" w:eastAsia="仿宋_GB2312" w:cs="宋体"/>
          <w:b w:val="0"/>
          <w:bCs w:val="0"/>
          <w:color w:val="auto"/>
          <w:kern w:val="0"/>
          <w:sz w:val="32"/>
          <w:szCs w:val="32"/>
        </w:rPr>
        <w:t>202</w:t>
      </w:r>
      <w:r>
        <w:rPr>
          <w:rFonts w:hint="eastAsia" w:ascii="仿宋_GB2312" w:hAnsi="宋体" w:eastAsia="仿宋_GB2312" w:cs="宋体"/>
          <w:b w:val="0"/>
          <w:bCs w:val="0"/>
          <w:color w:val="auto"/>
          <w:kern w:val="0"/>
          <w:sz w:val="32"/>
          <w:szCs w:val="32"/>
          <w:lang w:val="en-US" w:eastAsia="zh-CN"/>
        </w:rPr>
        <w:t>4</w:t>
      </w:r>
      <w:r>
        <w:rPr>
          <w:rFonts w:hint="eastAsia" w:ascii="仿宋_GB2312" w:hAnsi="宋体" w:eastAsia="仿宋_GB2312" w:cs="宋体"/>
          <w:b w:val="0"/>
          <w:bCs w:val="0"/>
          <w:color w:val="auto"/>
          <w:kern w:val="0"/>
          <w:sz w:val="32"/>
          <w:szCs w:val="32"/>
        </w:rPr>
        <w:t>年</w:t>
      </w:r>
      <w:r>
        <w:rPr>
          <w:rFonts w:ascii="仿宋_GB2312" w:hAnsi="宋体" w:eastAsia="仿宋_GB2312" w:cs="宋体"/>
          <w:b w:val="0"/>
          <w:bCs w:val="0"/>
          <w:color w:val="auto"/>
          <w:kern w:val="0"/>
          <w:sz w:val="32"/>
          <w:szCs w:val="32"/>
        </w:rPr>
        <w:t>全年</w:t>
      </w:r>
      <w:r>
        <w:rPr>
          <w:rFonts w:hint="eastAsia" w:ascii="仿宋_GB2312" w:hAnsi="宋体" w:eastAsia="仿宋_GB2312" w:cs="宋体"/>
          <w:b w:val="0"/>
          <w:bCs w:val="0"/>
          <w:color w:val="auto"/>
          <w:kern w:val="0"/>
          <w:sz w:val="32"/>
          <w:szCs w:val="32"/>
          <w:lang w:val="en-US" w:eastAsia="zh-CN"/>
        </w:rPr>
        <w:t>预算收入合计24224.882197</w:t>
      </w:r>
      <w:r>
        <w:rPr>
          <w:rFonts w:hint="eastAsia" w:ascii="仿宋_GB2312" w:hAnsi="宋体" w:eastAsia="仿宋_GB2312" w:cs="宋体"/>
          <w:b w:val="0"/>
          <w:bCs w:val="0"/>
          <w:color w:val="auto"/>
          <w:kern w:val="0"/>
          <w:sz w:val="32"/>
          <w:szCs w:val="32"/>
        </w:rPr>
        <w:t>万元</w:t>
      </w:r>
      <w:r>
        <w:rPr>
          <w:rFonts w:ascii="仿宋_GB2312" w:hAnsi="宋体" w:eastAsia="仿宋_GB2312" w:cs="宋体"/>
          <w:b w:val="0"/>
          <w:bCs w:val="0"/>
          <w:color w:val="auto"/>
          <w:kern w:val="0"/>
          <w:sz w:val="32"/>
          <w:szCs w:val="32"/>
        </w:rPr>
        <w:t>，</w:t>
      </w:r>
      <w:r>
        <w:rPr>
          <w:rFonts w:hint="eastAsia" w:ascii="仿宋_GB2312" w:hAnsi="宋体" w:eastAsia="仿宋_GB2312" w:cs="宋体"/>
          <w:b w:val="0"/>
          <w:bCs w:val="0"/>
          <w:color w:val="auto"/>
          <w:kern w:val="0"/>
          <w:sz w:val="32"/>
          <w:szCs w:val="32"/>
          <w:lang w:val="en-US" w:eastAsia="zh-CN"/>
        </w:rPr>
        <w:t>其中：财政拨款收入为24020.148227万元，其他收入204.73397万元。本年</w:t>
      </w:r>
      <w:r>
        <w:rPr>
          <w:rFonts w:hint="eastAsia" w:ascii="仿宋_GB2312" w:hAnsi="宋体" w:eastAsia="仿宋_GB2312" w:cs="宋体"/>
          <w:b w:val="0"/>
          <w:bCs w:val="0"/>
          <w:color w:val="auto"/>
          <w:kern w:val="0"/>
          <w:sz w:val="32"/>
          <w:szCs w:val="32"/>
        </w:rPr>
        <w:t>支出</w:t>
      </w:r>
      <w:r>
        <w:rPr>
          <w:rFonts w:hint="eastAsia" w:ascii="仿宋_GB2312" w:hAnsi="宋体" w:eastAsia="仿宋_GB2312" w:cs="宋体"/>
          <w:b w:val="0"/>
          <w:bCs w:val="0"/>
          <w:color w:val="auto"/>
          <w:kern w:val="0"/>
          <w:sz w:val="32"/>
          <w:szCs w:val="32"/>
          <w:lang w:val="en-US" w:eastAsia="zh-CN"/>
        </w:rPr>
        <w:t>合计</w:t>
      </w:r>
      <w:r>
        <w:rPr>
          <w:rFonts w:hint="eastAsia" w:ascii="仿宋_GB2312" w:hAnsi="宋体" w:eastAsia="仿宋_GB2312" w:cs="宋体"/>
          <w:b w:val="0"/>
          <w:bCs w:val="0"/>
          <w:color w:val="auto"/>
          <w:kern w:val="0"/>
          <w:sz w:val="32"/>
          <w:szCs w:val="32"/>
        </w:rPr>
        <w:t>24263.</w:t>
      </w:r>
      <w:r>
        <w:rPr>
          <w:rFonts w:hint="eastAsia" w:ascii="仿宋_GB2312" w:hAnsi="宋体" w:eastAsia="仿宋_GB2312" w:cs="宋体"/>
          <w:b w:val="0"/>
          <w:bCs w:val="0"/>
          <w:color w:val="auto"/>
          <w:kern w:val="0"/>
          <w:sz w:val="32"/>
          <w:szCs w:val="32"/>
          <w:lang w:val="en-US" w:eastAsia="zh-CN"/>
        </w:rPr>
        <w:t>547273</w:t>
      </w:r>
      <w:r>
        <w:rPr>
          <w:rFonts w:hint="eastAsia" w:ascii="仿宋_GB2312" w:hAnsi="宋体" w:eastAsia="仿宋_GB2312" w:cs="宋体"/>
          <w:b w:val="0"/>
          <w:bCs w:val="0"/>
          <w:color w:val="auto"/>
          <w:kern w:val="0"/>
          <w:sz w:val="32"/>
          <w:szCs w:val="32"/>
        </w:rPr>
        <w:t>万元</w:t>
      </w:r>
      <w:r>
        <w:rPr>
          <w:rFonts w:ascii="仿宋_GB2312" w:hAnsi="宋体" w:eastAsia="仿宋_GB2312" w:cs="宋体"/>
          <w:b w:val="0"/>
          <w:bCs w:val="0"/>
          <w:color w:val="auto"/>
          <w:kern w:val="0"/>
          <w:sz w:val="32"/>
          <w:szCs w:val="32"/>
        </w:rPr>
        <w:t>，其中，基本支出</w:t>
      </w:r>
      <w:r>
        <w:rPr>
          <w:rFonts w:hint="eastAsia" w:ascii="仿宋_GB2312" w:hAnsi="宋体" w:eastAsia="仿宋_GB2312" w:cs="宋体"/>
          <w:b w:val="0"/>
          <w:bCs w:val="0"/>
          <w:color w:val="auto"/>
          <w:kern w:val="0"/>
          <w:sz w:val="32"/>
          <w:szCs w:val="32"/>
          <w:lang w:val="en-US" w:eastAsia="zh-CN"/>
        </w:rPr>
        <w:t>12728.67014</w:t>
      </w:r>
      <w:r>
        <w:rPr>
          <w:rFonts w:hint="eastAsia" w:ascii="仿宋_GB2312" w:hAnsi="宋体" w:eastAsia="仿宋_GB2312" w:cs="宋体"/>
          <w:b w:val="0"/>
          <w:bCs w:val="0"/>
          <w:color w:val="auto"/>
          <w:kern w:val="0"/>
          <w:sz w:val="32"/>
          <w:szCs w:val="32"/>
        </w:rPr>
        <w:t>万元</w:t>
      </w:r>
      <w:r>
        <w:rPr>
          <w:rFonts w:ascii="仿宋_GB2312" w:hAnsi="宋体" w:eastAsia="仿宋_GB2312" w:cs="宋体"/>
          <w:b w:val="0"/>
          <w:bCs w:val="0"/>
          <w:color w:val="auto"/>
          <w:kern w:val="0"/>
          <w:sz w:val="32"/>
          <w:szCs w:val="32"/>
        </w:rPr>
        <w:t>，项目</w:t>
      </w:r>
      <w:r>
        <w:rPr>
          <w:rFonts w:hint="eastAsia" w:ascii="仿宋_GB2312" w:hAnsi="宋体" w:eastAsia="仿宋_GB2312" w:cs="宋体"/>
          <w:b w:val="0"/>
          <w:bCs w:val="0"/>
          <w:color w:val="auto"/>
          <w:kern w:val="0"/>
          <w:sz w:val="32"/>
          <w:szCs w:val="32"/>
        </w:rPr>
        <w:t>支出</w:t>
      </w:r>
      <w:r>
        <w:rPr>
          <w:rFonts w:hint="eastAsia" w:ascii="仿宋_GB2312" w:hAnsi="宋体" w:eastAsia="仿宋_GB2312" w:cs="宋体"/>
          <w:b w:val="0"/>
          <w:bCs w:val="0"/>
          <w:color w:val="auto"/>
          <w:kern w:val="0"/>
          <w:sz w:val="32"/>
          <w:szCs w:val="32"/>
          <w:lang w:val="en-US" w:eastAsia="zh-CN"/>
        </w:rPr>
        <w:t>11534.877133</w:t>
      </w:r>
      <w:r>
        <w:rPr>
          <w:rFonts w:hint="eastAsia" w:ascii="仿宋_GB2312" w:hAnsi="宋体" w:eastAsia="仿宋_GB2312" w:cs="宋体"/>
          <w:b w:val="0"/>
          <w:bCs w:val="0"/>
          <w:color w:val="auto"/>
          <w:kern w:val="0"/>
          <w:sz w:val="32"/>
          <w:szCs w:val="32"/>
        </w:rPr>
        <w:t>万元</w:t>
      </w:r>
      <w:r>
        <w:rPr>
          <w:rFonts w:ascii="仿宋_GB2312" w:hAnsi="宋体" w:eastAsia="仿宋_GB2312" w:cs="宋体"/>
          <w:b w:val="0"/>
          <w:bCs w:val="0"/>
          <w:color w:val="auto"/>
          <w:kern w:val="0"/>
          <w:sz w:val="32"/>
          <w:szCs w:val="32"/>
        </w:rPr>
        <w:t>，其他支出</w:t>
      </w:r>
      <w:r>
        <w:rPr>
          <w:rFonts w:hint="eastAsia" w:ascii="仿宋_GB2312" w:hAnsi="宋体" w:eastAsia="仿宋_GB2312" w:cs="宋体"/>
          <w:b w:val="0"/>
          <w:bCs w:val="0"/>
          <w:color w:val="auto"/>
          <w:kern w:val="0"/>
          <w:sz w:val="32"/>
          <w:szCs w:val="32"/>
          <w:lang w:val="en-US" w:eastAsia="zh-CN"/>
        </w:rPr>
        <w:t>0</w:t>
      </w:r>
      <w:r>
        <w:rPr>
          <w:rFonts w:ascii="仿宋_GB2312" w:hAnsi="宋体" w:eastAsia="仿宋_GB2312" w:cs="宋体"/>
          <w:b w:val="0"/>
          <w:bCs w:val="0"/>
          <w:color w:val="auto"/>
          <w:kern w:val="0"/>
          <w:sz w:val="32"/>
          <w:szCs w:val="32"/>
        </w:rPr>
        <w:t>万元。</w:t>
      </w:r>
    </w:p>
    <w:p w14:paraId="3C4C2045">
      <w:pPr>
        <w:spacing w:line="600" w:lineRule="exact"/>
        <w:ind w:left="105" w:leftChars="50" w:firstLine="480" w:firstLineChars="150"/>
        <w:rPr>
          <w:rFonts w:ascii="黑体" w:hAnsi="黑体" w:eastAsia="黑体" w:cs="宋体"/>
          <w:b w:val="0"/>
          <w:bCs w:val="0"/>
          <w:color w:val="000000"/>
          <w:kern w:val="0"/>
          <w:sz w:val="32"/>
          <w:szCs w:val="32"/>
        </w:rPr>
      </w:pPr>
      <w:r>
        <w:rPr>
          <w:rFonts w:hint="eastAsia" w:ascii="黑体" w:hAnsi="黑体" w:eastAsia="黑体" w:cs="宋体"/>
          <w:b w:val="0"/>
          <w:bCs w:val="0"/>
          <w:color w:val="000000"/>
          <w:kern w:val="0"/>
          <w:sz w:val="32"/>
          <w:szCs w:val="32"/>
        </w:rPr>
        <w:t>三</w:t>
      </w:r>
      <w:r>
        <w:rPr>
          <w:rFonts w:ascii="黑体" w:hAnsi="黑体" w:eastAsia="黑体" w:cs="宋体"/>
          <w:b w:val="0"/>
          <w:bCs w:val="0"/>
          <w:color w:val="000000"/>
          <w:kern w:val="0"/>
          <w:sz w:val="32"/>
          <w:szCs w:val="32"/>
        </w:rPr>
        <w:t>、整体绩效目标实现情况</w:t>
      </w:r>
    </w:p>
    <w:p w14:paraId="06A79328">
      <w:pPr>
        <w:spacing w:line="600" w:lineRule="exact"/>
        <w:ind w:left="105" w:leftChars="50" w:firstLine="480" w:firstLineChars="150"/>
        <w:rPr>
          <w:rFonts w:ascii="楷体_GB2312" w:eastAsia="楷体_GB2312"/>
          <w:b w:val="0"/>
          <w:bCs w:val="0"/>
          <w:sz w:val="32"/>
          <w:szCs w:val="32"/>
        </w:rPr>
      </w:pPr>
      <w:r>
        <w:rPr>
          <w:rFonts w:hint="eastAsia" w:ascii="楷体_GB2312" w:eastAsia="楷体_GB2312"/>
          <w:b w:val="0"/>
          <w:bCs w:val="0"/>
          <w:sz w:val="32"/>
          <w:szCs w:val="32"/>
        </w:rPr>
        <w:t>（一）产出完成情况分析</w:t>
      </w:r>
    </w:p>
    <w:p w14:paraId="04B138D6">
      <w:pPr>
        <w:spacing w:line="600" w:lineRule="exact"/>
        <w:ind w:left="105" w:leftChars="50" w:firstLine="480" w:firstLineChars="150"/>
        <w:rPr>
          <w:rFonts w:hint="default" w:ascii="仿宋_GB2312" w:hAnsi="宋体" w:eastAsia="仿宋_GB2312" w:cs="宋体"/>
          <w:b w:val="0"/>
          <w:bCs w:val="0"/>
          <w:color w:val="000000"/>
          <w:kern w:val="0"/>
          <w:sz w:val="32"/>
          <w:szCs w:val="32"/>
          <w:lang w:val="en-US" w:eastAsia="zh-CN"/>
        </w:rPr>
      </w:pPr>
      <w:r>
        <w:rPr>
          <w:rFonts w:hint="eastAsia" w:ascii="仿宋_GB2312" w:hAnsi="宋体" w:eastAsia="仿宋_GB2312" w:cs="宋体"/>
          <w:b w:val="0"/>
          <w:bCs w:val="0"/>
          <w:color w:val="000000"/>
          <w:kern w:val="0"/>
          <w:sz w:val="32"/>
          <w:szCs w:val="32"/>
        </w:rPr>
        <w:t>1.产出数量</w:t>
      </w:r>
      <w:r>
        <w:rPr>
          <w:rFonts w:hint="eastAsia" w:ascii="仿宋_GB2312" w:hAnsi="宋体" w:eastAsia="仿宋_GB2312" w:cs="宋体"/>
          <w:b w:val="0"/>
          <w:bCs w:val="0"/>
          <w:color w:val="000000"/>
          <w:kern w:val="0"/>
          <w:sz w:val="32"/>
          <w:szCs w:val="32"/>
          <w:lang w:val="en-US" w:eastAsia="zh-CN"/>
        </w:rPr>
        <w:t>和产出质量</w:t>
      </w:r>
    </w:p>
    <w:p w14:paraId="2367E13D">
      <w:pPr>
        <w:pStyle w:val="2"/>
        <w:ind w:firstLine="560"/>
        <w:rPr>
          <w:rFonts w:hint="eastAsia" w:ascii="仿宋_GB2312" w:hAnsi="宋体" w:eastAsia="仿宋_GB2312" w:cs="宋体"/>
          <w:b w:val="0"/>
          <w:bCs w:val="0"/>
          <w:color w:val="000000"/>
          <w:kern w:val="0"/>
          <w:sz w:val="32"/>
          <w:szCs w:val="32"/>
          <w:lang w:val="en-US" w:eastAsia="zh-CN" w:bidi="ar-SA"/>
        </w:rPr>
      </w:pPr>
      <w:r>
        <w:rPr>
          <w:rFonts w:hint="eastAsia" w:ascii="仿宋_GB2312" w:hAnsi="宋体" w:eastAsia="仿宋_GB2312" w:cs="宋体"/>
          <w:b w:val="0"/>
          <w:bCs w:val="0"/>
          <w:color w:val="000000"/>
          <w:kern w:val="0"/>
          <w:sz w:val="32"/>
          <w:szCs w:val="32"/>
          <w:lang w:val="en-US" w:eastAsia="zh-CN" w:bidi="ar-SA"/>
        </w:rPr>
        <w:t>（1）示范区建设取得阶段性成果。坚持问题导向和需求导向，着力出政策、建机制、搭平台、出效能。加强统筹协调，补齐短板不足，大力提升全区公共文化服务水平，街道综合文化中心服务效能在全市排名前列。创新以共建共享、社会化为手段，完成“10分钟”公共文化服务圈搭建。不断加大文化供给内容和供给方式改革力度，推进博物馆、图书馆延时错时开放。全区人均公共文化服务设施建筑面积2.40平方米，同比增加0.38平方米。</w:t>
      </w:r>
    </w:p>
    <w:p w14:paraId="41D90DEA">
      <w:pPr>
        <w:pStyle w:val="2"/>
        <w:ind w:firstLine="560"/>
        <w:rPr>
          <w:rFonts w:hint="eastAsia" w:ascii="仿宋_GB2312" w:hAnsi="宋体" w:eastAsia="仿宋_GB2312" w:cs="宋体"/>
          <w:b w:val="0"/>
          <w:bCs w:val="0"/>
          <w:color w:val="auto"/>
          <w:kern w:val="0"/>
          <w:sz w:val="32"/>
          <w:szCs w:val="32"/>
          <w:lang w:val="en-US" w:eastAsia="zh-CN" w:bidi="ar-SA"/>
        </w:rPr>
      </w:pPr>
      <w:r>
        <w:rPr>
          <w:rFonts w:hint="eastAsia" w:ascii="仿宋_GB2312" w:hAnsi="宋体" w:eastAsia="仿宋_GB2312" w:cs="宋体"/>
          <w:b w:val="0"/>
          <w:bCs w:val="0"/>
          <w:color w:val="000000"/>
          <w:kern w:val="0"/>
          <w:sz w:val="32"/>
          <w:szCs w:val="32"/>
          <w:lang w:val="en-US" w:eastAsia="zh-CN" w:bidi="ar-SA"/>
        </w:rPr>
        <w:t>公共文化服务供给更加精准、高效。充分发挥“文博图”场馆主阵地作用，西城讲坛、辅导讲座、百姓剧场、公益电影放映等公益性文化活动开展活跃。主动适应西城群众多层次、多样化、个性化文化需求，以“我们的节日”为重点，举办“宣南杯”鼓曲大赛、“探戈之夜”音乐汇，组织百姓周末大舞台、中秋游园活动，实施公益演出、公益讲堂、公益电影项目，让群众在身边感受文化、体验文化。截至12月底，</w:t>
      </w:r>
      <w:r>
        <w:rPr>
          <w:rFonts w:hint="eastAsia" w:ascii="仿宋_GB2312" w:hAnsi="宋体" w:eastAsia="仿宋_GB2312" w:cs="宋体"/>
          <w:b w:val="0"/>
          <w:bCs w:val="0"/>
          <w:color w:val="auto"/>
          <w:kern w:val="0"/>
          <w:sz w:val="32"/>
          <w:szCs w:val="32"/>
          <w:lang w:val="en-US" w:eastAsia="zh-CN" w:bidi="ar-SA"/>
        </w:rPr>
        <w:t>全区举办各类首都市民系列文化活动7119场，参与群众376.86万人次。</w:t>
      </w:r>
    </w:p>
    <w:p w14:paraId="3C958D95">
      <w:pPr>
        <w:pStyle w:val="2"/>
        <w:ind w:firstLine="560"/>
        <w:rPr>
          <w:rFonts w:hint="eastAsia" w:ascii="仿宋_GB2312" w:hAnsi="宋体" w:eastAsia="仿宋_GB2312" w:cs="宋体"/>
          <w:b w:val="0"/>
          <w:bCs w:val="0"/>
          <w:color w:val="auto"/>
          <w:kern w:val="0"/>
          <w:sz w:val="32"/>
          <w:szCs w:val="32"/>
          <w:lang w:val="en-US" w:eastAsia="zh-CN" w:bidi="ar-SA"/>
        </w:rPr>
      </w:pPr>
      <w:r>
        <w:rPr>
          <w:rFonts w:hint="eastAsia" w:ascii="仿宋_GB2312" w:hAnsi="宋体" w:eastAsia="仿宋_GB2312" w:cs="宋体"/>
          <w:b w:val="0"/>
          <w:bCs w:val="0"/>
          <w:color w:val="auto"/>
          <w:kern w:val="0"/>
          <w:sz w:val="32"/>
          <w:szCs w:val="32"/>
          <w:lang w:val="en-US" w:eastAsia="zh-CN" w:bidi="ar-SA"/>
        </w:rPr>
        <w:t>阅读服务更加贴近读者生活。深化“书香西城”建设，书香味儿愈加浓郁。新增“悦读湾”13家，累计57家，打通了阅读服务最后“一公里”，实现15个街道全覆盖，西城区“悦读湾”项目入选2024中国群众文化品牌典型案例、书香京城优秀案例。积极搭建“阅读朋友圈”，组建阅读专家智库、阅读之友、阅读服务志愿者队伍。精心组织海棠诗会，奏响东西方诗歌文化互鉴互融动人乐章。“书香西城”阅读服务志愿项目获得首都志愿服务项目大赛银奖。</w:t>
      </w:r>
    </w:p>
    <w:p w14:paraId="37B8F026">
      <w:pPr>
        <w:pStyle w:val="2"/>
        <w:ind w:firstLine="560"/>
        <w:rPr>
          <w:rFonts w:hint="eastAsia" w:ascii="仿宋_GB2312" w:hAnsi="宋体" w:eastAsia="仿宋_GB2312" w:cs="宋体"/>
          <w:b w:val="0"/>
          <w:bCs w:val="0"/>
          <w:color w:val="000000"/>
          <w:kern w:val="0"/>
          <w:sz w:val="32"/>
          <w:szCs w:val="32"/>
          <w:lang w:val="en-US" w:eastAsia="zh-CN" w:bidi="ar-SA"/>
        </w:rPr>
      </w:pPr>
      <w:r>
        <w:rPr>
          <w:rFonts w:hint="eastAsia" w:ascii="仿宋_GB2312" w:hAnsi="宋体" w:eastAsia="仿宋_GB2312" w:cs="宋体"/>
          <w:b w:val="0"/>
          <w:bCs w:val="0"/>
          <w:color w:val="000000"/>
          <w:kern w:val="0"/>
          <w:sz w:val="32"/>
          <w:szCs w:val="32"/>
          <w:lang w:val="en-US" w:eastAsia="zh-CN" w:bidi="ar-SA"/>
        </w:rPr>
        <w:t>（2）做好中轴线遗产保护后半篇文章。攻坚克难为中轴线申遗成功贡献西城力量，用好北京中轴线申遗成果，梳理全区有关北京中轴线的遗产点、博物馆、文化空间以及文化活动，以“古都西翼 共享中轴”为主题，推出“中轴览胜”“数字中轴”“行走中轴”“中轴阅游”“中轴演艺”“夜赏南中轴”六大版块40场系列文化活动，庆祝北京中轴线申遗成功，进一步讲好北京中轴线故事。在先农坛庆成宫院内举办北京中轴线申遗保护工作成果展。整合中轴线周边点位，推出研学、骑行、打卡、书籍推介、文化沙龙、知识讲座、传统戏曲、话剧舞剧等文化活动，让更多人能够了解中轴线上的建筑、民俗、美食、非遗等文化。</w:t>
      </w:r>
    </w:p>
    <w:p w14:paraId="1705A7E8">
      <w:pPr>
        <w:pStyle w:val="2"/>
        <w:ind w:firstLine="560"/>
        <w:rPr>
          <w:rFonts w:hint="eastAsia" w:ascii="仿宋_GB2312" w:hAnsi="宋体" w:eastAsia="仿宋_GB2312" w:cs="宋体"/>
          <w:b w:val="0"/>
          <w:bCs w:val="0"/>
          <w:color w:val="000000"/>
          <w:kern w:val="0"/>
          <w:sz w:val="32"/>
          <w:szCs w:val="32"/>
          <w:lang w:val="en-US" w:eastAsia="zh-CN" w:bidi="ar-SA"/>
        </w:rPr>
      </w:pPr>
      <w:r>
        <w:rPr>
          <w:rFonts w:hint="eastAsia" w:ascii="仿宋_GB2312" w:hAnsi="宋体" w:eastAsia="仿宋_GB2312" w:cs="宋体"/>
          <w:b w:val="0"/>
          <w:bCs w:val="0"/>
          <w:color w:val="000000"/>
          <w:kern w:val="0"/>
          <w:sz w:val="32"/>
          <w:szCs w:val="32"/>
          <w:lang w:val="en-US" w:eastAsia="zh-CN" w:bidi="ar-SA"/>
        </w:rPr>
        <w:t>文物建筑保护工作有序实施。启动西城区第四次全国文物普查实地调查阶段工作。攻坚完成安徽会馆、东莞会馆腾退，圆满完成北新华街近现代建筑文物腾退签约。加大文物迁复建调度力度，《每周评论》旧址文物复建项目竣工。</w:t>
      </w:r>
    </w:p>
    <w:p w14:paraId="50C90D35">
      <w:pPr>
        <w:pStyle w:val="2"/>
        <w:ind w:firstLine="560"/>
        <w:rPr>
          <w:rFonts w:hint="eastAsia" w:ascii="仿宋_GB2312" w:hAnsi="宋体" w:eastAsia="仿宋_GB2312" w:cs="宋体"/>
          <w:b w:val="0"/>
          <w:bCs w:val="0"/>
          <w:color w:val="000000"/>
          <w:kern w:val="0"/>
          <w:sz w:val="32"/>
          <w:szCs w:val="32"/>
          <w:lang w:val="en-US" w:eastAsia="zh-CN" w:bidi="ar-SA"/>
        </w:rPr>
      </w:pPr>
      <w:r>
        <w:rPr>
          <w:rFonts w:hint="eastAsia" w:ascii="仿宋_GB2312" w:hAnsi="宋体" w:eastAsia="仿宋_GB2312" w:cs="宋体"/>
          <w:b w:val="0"/>
          <w:bCs w:val="0"/>
          <w:color w:val="000000"/>
          <w:kern w:val="0"/>
          <w:sz w:val="32"/>
          <w:szCs w:val="32"/>
          <w:lang w:val="en-US" w:eastAsia="zh-CN" w:bidi="ar-SA"/>
        </w:rPr>
        <w:t>文物建筑活化利用稳步推进。深化“揭榜挂帅”模式，持续推进前两批文物活化利用项目，发布7处第三批活化利用项目，歙县会馆、钱业同业公会、梨园公会、护国观音寺4处已签约项目实现对公众开放，让文物保护成果更多惠及人民群众。什刹海上榜首批北京市级文物保护利用示范区创建名单。推进“博物馆之城”建设，出台政策鼓励社会力量兴办博物馆。全聚德、六必居、内联升3家老字号企业备案注册博物馆，八卦掌武术博物馆、北京金石博物馆先后挂牌为类博物馆。积极引导博物馆创新解读方式，宣南博物馆推出的沉浸式观览《宣南往士》不断加入新角色、新艺术形式，受到群众广泛好评。</w:t>
      </w:r>
    </w:p>
    <w:p w14:paraId="236BFE1B">
      <w:pPr>
        <w:pStyle w:val="2"/>
        <w:ind w:firstLine="560"/>
        <w:rPr>
          <w:rFonts w:hint="eastAsia" w:ascii="仿宋_GB2312" w:hAnsi="宋体" w:eastAsia="仿宋_GB2312" w:cs="宋体"/>
          <w:b w:val="0"/>
          <w:bCs w:val="0"/>
          <w:color w:val="000000"/>
          <w:kern w:val="0"/>
          <w:sz w:val="32"/>
          <w:szCs w:val="32"/>
          <w:lang w:val="en-US" w:eastAsia="zh-CN" w:bidi="ar-SA"/>
        </w:rPr>
      </w:pPr>
      <w:r>
        <w:rPr>
          <w:rFonts w:hint="eastAsia" w:ascii="仿宋_GB2312" w:hAnsi="宋体" w:eastAsia="仿宋_GB2312" w:cs="宋体"/>
          <w:b w:val="0"/>
          <w:bCs w:val="0"/>
          <w:color w:val="000000"/>
          <w:kern w:val="0"/>
          <w:sz w:val="32"/>
          <w:szCs w:val="32"/>
          <w:lang w:val="en-US" w:eastAsia="zh-CN" w:bidi="ar-SA"/>
        </w:rPr>
        <w:t>非遗保护传承亮点频现。注重非物质文化遗产系统性保护利用，推动创造性转化、创新性发展。举办非遗演出季、“四节一日”非遗展示体验活动，组织非遗老字号特色食品推介、非遗手工技艺互动展示。推出万象馆沉浸式线上体验活动（二期），持续打造新场景、新内容，全面提升用户游览、场景交互的数实融合体验。成功举办厂甸庙会，以非遗展示体验突出庙会“文市特色”，着力提升文商旅品牌效应，共接待游客59.59万人次。</w:t>
      </w:r>
    </w:p>
    <w:p w14:paraId="5BCC1640">
      <w:pPr>
        <w:pStyle w:val="2"/>
        <w:ind w:firstLine="560"/>
        <w:rPr>
          <w:rFonts w:hint="eastAsia" w:ascii="仿宋_GB2312" w:hAnsi="宋体" w:eastAsia="仿宋_GB2312" w:cs="宋体"/>
          <w:b w:val="0"/>
          <w:bCs w:val="0"/>
          <w:color w:val="000000"/>
          <w:kern w:val="0"/>
          <w:sz w:val="32"/>
          <w:szCs w:val="32"/>
          <w:lang w:val="en-US" w:eastAsia="zh-CN" w:bidi="ar-SA"/>
        </w:rPr>
      </w:pPr>
      <w:r>
        <w:rPr>
          <w:rFonts w:hint="eastAsia" w:ascii="仿宋_GB2312" w:hAnsi="宋体" w:eastAsia="仿宋_GB2312" w:cs="宋体"/>
          <w:b w:val="0"/>
          <w:bCs w:val="0"/>
          <w:color w:val="000000"/>
          <w:kern w:val="0"/>
          <w:sz w:val="32"/>
          <w:szCs w:val="32"/>
          <w:lang w:val="en-US" w:eastAsia="zh-CN" w:bidi="ar-SA"/>
        </w:rPr>
        <w:t>（3）精品创作力度加大。修订文化艺术扶持资金管理办法，完善优秀文艺作品创造引导政策，力促进文艺精品创作和成果转化，鼓励全社会讲好西城故事。全国首部以邵飘萍为原型的原创话剧《京报》亮相中国国家话剧院。全国首部以中国共产党第一个少数民族党支部成立光辉历程为题材的原创舞台剧《蒙藏学校》在天桥艺术中心首演，人民日报、北京日报等多家新闻媒体和学习强国平台进行宣传报道。原创北京曲剧《运河之端有片海》在国家话剧院上演，为庆祝中国大运河申遗成功十周年添彩。 策划推出“西城好声音·歌声颂祖国”—西城区各界群众庆祝中华人民共和国成立75周年合唱展演活动，唱响主旋律。</w:t>
      </w:r>
    </w:p>
    <w:p w14:paraId="26F107E0">
      <w:pPr>
        <w:pStyle w:val="2"/>
        <w:ind w:firstLine="560"/>
        <w:rPr>
          <w:rFonts w:hint="eastAsia" w:ascii="仿宋_GB2312" w:hAnsi="宋体" w:eastAsia="仿宋_GB2312" w:cs="宋体"/>
          <w:b w:val="0"/>
          <w:bCs w:val="0"/>
          <w:color w:val="000000"/>
          <w:kern w:val="0"/>
          <w:sz w:val="32"/>
          <w:szCs w:val="32"/>
          <w:lang w:val="en-US" w:eastAsia="zh-CN" w:bidi="ar-SA"/>
        </w:rPr>
      </w:pPr>
      <w:r>
        <w:rPr>
          <w:rFonts w:hint="eastAsia" w:ascii="仿宋_GB2312" w:hAnsi="宋体" w:eastAsia="仿宋_GB2312" w:cs="宋体"/>
          <w:b w:val="0"/>
          <w:bCs w:val="0"/>
          <w:color w:val="000000"/>
          <w:kern w:val="0"/>
          <w:sz w:val="32"/>
          <w:szCs w:val="32"/>
          <w:lang w:val="en-US" w:eastAsia="zh-CN" w:bidi="ar-SA"/>
        </w:rPr>
        <w:t>重大活动举办成功圆满。2024“白塔夜话”系列文化活动组织1个主会场活动和3个平行活动，首次线上文化直播。邀请文化名人对话西城文化发展和特色文旅路线。推出“西城夜时光”夜游指南，同步举办文化市集，为市民游客提供多元化、沉浸式的夜间休闲娱乐新业态、新场景和新体验。以“北京金融街之夜”为主题，举办金融街论坛文艺演出，形成北京金融街之夜文化IP。“北京西城”视频号、抖音、快手、微博，西城家园等区属媒体平台全程直播，总观看量达53万，同比增长246%，点赞量达6.2万，同时特邀新华社现场云、光明网、北京发布、北京日报客户端等参与直播推流，首次实现十屏同播，全网直播观看总量超1亿人次。</w:t>
      </w:r>
    </w:p>
    <w:p w14:paraId="4B98DAD5">
      <w:pPr>
        <w:pStyle w:val="2"/>
        <w:ind w:firstLine="560"/>
        <w:rPr>
          <w:rFonts w:hint="eastAsia" w:ascii="仿宋_GB2312" w:hAnsi="宋体" w:eastAsia="仿宋_GB2312" w:cs="宋体"/>
          <w:b w:val="0"/>
          <w:bCs w:val="0"/>
          <w:color w:val="000000"/>
          <w:kern w:val="0"/>
          <w:sz w:val="32"/>
          <w:szCs w:val="32"/>
          <w:lang w:val="en-US" w:eastAsia="zh-CN" w:bidi="ar-SA"/>
        </w:rPr>
      </w:pPr>
      <w:r>
        <w:rPr>
          <w:rFonts w:hint="eastAsia" w:ascii="仿宋_GB2312" w:hAnsi="宋体" w:eastAsia="仿宋_GB2312" w:cs="宋体"/>
          <w:b w:val="0"/>
          <w:bCs w:val="0"/>
          <w:color w:val="000000"/>
          <w:kern w:val="0"/>
          <w:sz w:val="32"/>
          <w:szCs w:val="32"/>
          <w:lang w:val="en-US" w:eastAsia="zh-CN" w:bidi="ar-SA"/>
        </w:rPr>
        <w:t>文化活动品牌更具吸引力。充分挖掘区域文化院团资源潜力，深化央地合作，成功举办中国原创话剧邀请展、2024全国小剧场京剧群英会、老舍戏剧节、当代小剧场戏曲艺术节、2024西城百姓戏剧展演活动。活动策划实施中，注重引入精品剧目，注重宣传推介</w:t>
      </w:r>
      <w:r>
        <w:rPr>
          <w:rFonts w:hint="eastAsia" w:ascii="仿宋_GB2312" w:hAnsi="宋体" w:eastAsia="仿宋_GB2312" w:cs="宋体"/>
          <w:b w:val="0"/>
          <w:bCs w:val="0"/>
          <w:color w:val="auto"/>
          <w:kern w:val="0"/>
          <w:sz w:val="32"/>
          <w:szCs w:val="32"/>
          <w:lang w:val="en-US" w:eastAsia="zh-CN" w:bidi="ar-SA"/>
        </w:rPr>
        <w:t>。共组织303场演出、211场活动，吸引14万余人走进剧场、400余万人参与互动体验。</w:t>
      </w:r>
      <w:r>
        <w:rPr>
          <w:rFonts w:hint="eastAsia" w:ascii="仿宋_GB2312" w:hAnsi="宋体" w:eastAsia="仿宋_GB2312" w:cs="宋体"/>
          <w:b w:val="0"/>
          <w:bCs w:val="0"/>
          <w:color w:val="000000"/>
          <w:kern w:val="0"/>
          <w:sz w:val="32"/>
          <w:szCs w:val="32"/>
          <w:lang w:val="en-US" w:eastAsia="zh-CN" w:bidi="ar-SA"/>
        </w:rPr>
        <w:t>人民日报、新华网等央媒给予持续报道。持续推进演艺新空间建设，今年新增第二批北京湖广会馆、北京人民剧场等6家“演艺新空间”，两批共认定14家西城区演艺新空间。</w:t>
      </w:r>
    </w:p>
    <w:p w14:paraId="39EA3FFD">
      <w:pPr>
        <w:pStyle w:val="2"/>
        <w:ind w:firstLine="560"/>
        <w:rPr>
          <w:rFonts w:hint="eastAsia" w:ascii="仿宋_GB2312" w:hAnsi="宋体" w:eastAsia="仿宋_GB2312" w:cs="宋体"/>
          <w:b w:val="0"/>
          <w:bCs w:val="0"/>
          <w:color w:val="000000"/>
          <w:kern w:val="0"/>
          <w:sz w:val="32"/>
          <w:szCs w:val="32"/>
          <w:lang w:val="en-US" w:eastAsia="zh-CN" w:bidi="ar-SA"/>
        </w:rPr>
      </w:pPr>
      <w:r>
        <w:rPr>
          <w:rFonts w:hint="eastAsia" w:ascii="仿宋_GB2312" w:hAnsi="宋体" w:eastAsia="仿宋_GB2312" w:cs="宋体"/>
          <w:b w:val="0"/>
          <w:bCs w:val="0"/>
          <w:color w:val="000000"/>
          <w:kern w:val="0"/>
          <w:sz w:val="32"/>
          <w:szCs w:val="32"/>
          <w:lang w:val="en-US" w:eastAsia="zh-CN" w:bidi="ar-SA"/>
        </w:rPr>
        <w:t>（4）服务力度持续加大。完成产业体制机制调整，旅游业服务保障更加精准高效。强化主动服务，搭建企业合作交流平台，推进招商引资。以企业需求为导向，持续开展“大走访”和“服务包”工作。中国首列跨境旅游列车首发。优化酒店、景区、博物馆支付环境，120家单位开通外币刷卡功能并通过系统测试，增设10家高品质酒店为外币代兑点，全区实现了33家酒店人工外币兑换点的品质升级。全年西城区旅游接待总量7729.2万人次，旅游总收入超1103亿元。</w:t>
      </w:r>
    </w:p>
    <w:p w14:paraId="779D33CD">
      <w:pPr>
        <w:pStyle w:val="2"/>
        <w:ind w:firstLine="560"/>
        <w:rPr>
          <w:rFonts w:hint="eastAsia" w:ascii="仿宋_GB2312" w:hAnsi="宋体" w:eastAsia="仿宋_GB2312" w:cs="宋体"/>
          <w:b w:val="0"/>
          <w:bCs w:val="0"/>
          <w:color w:val="000000"/>
          <w:kern w:val="0"/>
          <w:sz w:val="32"/>
          <w:szCs w:val="32"/>
          <w:lang w:val="en-US" w:eastAsia="zh-CN" w:bidi="ar-SA"/>
        </w:rPr>
      </w:pPr>
      <w:r>
        <w:rPr>
          <w:rFonts w:hint="eastAsia" w:ascii="仿宋_GB2312" w:hAnsi="宋体" w:eastAsia="仿宋_GB2312" w:cs="宋体"/>
          <w:b w:val="0"/>
          <w:bCs w:val="0"/>
          <w:color w:val="000000"/>
          <w:kern w:val="0"/>
          <w:sz w:val="32"/>
          <w:szCs w:val="32"/>
          <w:lang w:val="en-US" w:eastAsia="zh-CN" w:bidi="ar-SA"/>
        </w:rPr>
        <w:t>宣传推介成效明显。参加全市旅游推介大会，推介西城特色文旅产品，设计推出46条文旅线路。充分利用“文旅西城”抖音官方账号，擦亮西城文化品牌。2024年共发布视频196个，视频总播放量1123.7万，总点赞量43.4万，全年有52条视频登上抖音同城热搜榜。策划拍摄的南中轴、运河文化等4条研学短视频，在北京市文化和旅游局主办的“巡游北京——暑期亲子游”北京文旅短视频征集活动中获奖。文化西城平台发布活动295场，其中包含演出152场、讲座115场、培训18场、电影7场、体验类3场、志愿者服务240场，用户浏览量超510万人次。</w:t>
      </w:r>
    </w:p>
    <w:p w14:paraId="7EF348DB">
      <w:pPr>
        <w:pStyle w:val="2"/>
        <w:ind w:firstLine="560"/>
        <w:rPr>
          <w:rFonts w:hint="eastAsia" w:ascii="仿宋_GB2312" w:hAnsi="宋体" w:eastAsia="仿宋_GB2312" w:cs="宋体"/>
          <w:b w:val="0"/>
          <w:bCs w:val="0"/>
          <w:color w:val="000000"/>
          <w:kern w:val="0"/>
          <w:sz w:val="32"/>
          <w:szCs w:val="32"/>
          <w:lang w:val="en-US" w:eastAsia="zh-CN" w:bidi="ar-SA"/>
        </w:rPr>
      </w:pPr>
      <w:r>
        <w:rPr>
          <w:rFonts w:hint="eastAsia" w:ascii="仿宋_GB2312" w:hAnsi="宋体" w:eastAsia="仿宋_GB2312" w:cs="宋体"/>
          <w:b w:val="0"/>
          <w:bCs w:val="0"/>
          <w:color w:val="000000"/>
          <w:kern w:val="0"/>
          <w:sz w:val="32"/>
          <w:szCs w:val="32"/>
          <w:lang w:val="en-US" w:eastAsia="zh-CN" w:bidi="ar-SA"/>
        </w:rPr>
        <w:t>文旅消费活动组织严密。什刹海文化旅游节暨荷花市场开市活动聚焦文商旅融合发展，发布与多所高校启动共促西城文旅高质量发展先行先试合作项目等相关内容，组织举办近百项活动和千余场精彩演出，统筹发放 800万元消费券，辐射全区商业企业开展线上、线下系列活动，打造消费新场景、新体验。“打卡鼓西、漫步斜街”文化消费活动以北京中轴线遗产保护为契机，将历史悠久、文化底蕴深厚的鼓楼西大街作为核心载体，通过政府、企业、社会组织、公众等多方合作，成功打造了一个集文化展示、消费体验、旅游观光、商业发展于一体的综合性文化消费品牌，实现了历史文化街区的保护与活化利用、文化消费活力的激发、文科商旅体的融合发展等的创新模式和示范样本。</w:t>
      </w:r>
    </w:p>
    <w:p w14:paraId="75963765">
      <w:pPr>
        <w:pStyle w:val="2"/>
        <w:ind w:firstLine="560"/>
        <w:rPr>
          <w:rFonts w:hint="eastAsia" w:ascii="仿宋_GB2312" w:hAnsi="宋体" w:eastAsia="仿宋_GB2312" w:cs="宋体"/>
          <w:b w:val="0"/>
          <w:bCs w:val="0"/>
          <w:color w:val="000000"/>
          <w:kern w:val="0"/>
          <w:sz w:val="32"/>
          <w:szCs w:val="32"/>
          <w:lang w:val="en-US" w:eastAsia="zh-CN" w:bidi="ar-SA"/>
        </w:rPr>
      </w:pPr>
      <w:r>
        <w:rPr>
          <w:rFonts w:hint="eastAsia" w:ascii="仿宋_GB2312" w:hAnsi="宋体" w:eastAsia="仿宋_GB2312" w:cs="宋体"/>
          <w:b w:val="0"/>
          <w:bCs w:val="0"/>
          <w:color w:val="000000"/>
          <w:kern w:val="0"/>
          <w:sz w:val="32"/>
          <w:szCs w:val="32"/>
          <w:lang w:val="en-US" w:eastAsia="zh-CN" w:bidi="ar-SA"/>
        </w:rPr>
        <w:t>住宿业转型升级年度任务提前完成。制订《西城区住宿业转型升级攻坚行动方案（2024年-2025年）》，建立联席会议工作机制，推动存量住宿业转型提升，促进住宿业高质量发展。提前三个月完成市级10家“疏整促”任务。</w:t>
      </w:r>
    </w:p>
    <w:p w14:paraId="5DEEF8AC">
      <w:pPr>
        <w:pStyle w:val="2"/>
        <w:ind w:firstLine="560"/>
        <w:rPr>
          <w:rFonts w:hint="eastAsia" w:ascii="仿宋_GB2312" w:hAnsi="宋体" w:eastAsia="仿宋_GB2312" w:cs="宋体"/>
          <w:b w:val="0"/>
          <w:bCs w:val="0"/>
          <w:color w:val="000000"/>
          <w:kern w:val="0"/>
          <w:sz w:val="32"/>
          <w:szCs w:val="32"/>
          <w:lang w:val="en-US" w:eastAsia="zh-CN" w:bidi="ar-SA"/>
        </w:rPr>
      </w:pPr>
      <w:r>
        <w:rPr>
          <w:rFonts w:hint="eastAsia" w:ascii="仿宋_GB2312" w:hAnsi="宋体" w:eastAsia="仿宋_GB2312" w:cs="宋体"/>
          <w:b w:val="0"/>
          <w:bCs w:val="0"/>
          <w:color w:val="000000"/>
          <w:kern w:val="0"/>
          <w:sz w:val="32"/>
          <w:szCs w:val="32"/>
          <w:lang w:val="en-US" w:eastAsia="zh-CN" w:bidi="ar-SA"/>
        </w:rPr>
        <w:t>（5）行业审批服务便捷周到。以提升企业群众获得感和满意度为目标，全面优化营商环境，助力打造“北京服务”品牌。积极做好外商投资设立演出场所、娱乐场所、互联网上网服务场所的审批事项承接工作。优化提升大型营业性演出活动审批流程和服务。持续推动涉文旅行业“一业一证”改革，完成区首家书画艺术馆“一业一证”办理。文化市场行政审批系统实现证照电子化，企业全程网办。截止到2024年12月，市场经营单位登记注册2073家，办理行政许可及备案类事项共计2869件。其中营业性演出新审批2003台、29610场次。</w:t>
      </w:r>
    </w:p>
    <w:p w14:paraId="5C7EAE93">
      <w:pPr>
        <w:pStyle w:val="2"/>
        <w:ind w:firstLine="560"/>
        <w:rPr>
          <w:rFonts w:hint="eastAsia" w:ascii="仿宋_GB2312" w:hAnsi="宋体" w:eastAsia="仿宋_GB2312" w:cs="宋体"/>
          <w:b w:val="0"/>
          <w:bCs w:val="0"/>
          <w:color w:val="000000"/>
          <w:kern w:val="0"/>
          <w:sz w:val="32"/>
          <w:szCs w:val="32"/>
          <w:lang w:val="en-US" w:eastAsia="zh-CN" w:bidi="ar-SA"/>
        </w:rPr>
      </w:pPr>
      <w:r>
        <w:rPr>
          <w:rFonts w:hint="eastAsia" w:ascii="仿宋_GB2312" w:hAnsi="宋体" w:eastAsia="仿宋_GB2312" w:cs="宋体"/>
          <w:b w:val="0"/>
          <w:bCs w:val="0"/>
          <w:color w:val="000000"/>
          <w:kern w:val="0"/>
          <w:sz w:val="32"/>
          <w:szCs w:val="32"/>
          <w:lang w:val="en-US" w:eastAsia="zh-CN" w:bidi="ar-SA"/>
        </w:rPr>
        <w:t>文旅市场监管有力。一手抓有力监管、一手促市场繁荣，围绕五一、十一、寒暑假等重点时段和重大会议服务保障，提前研判、统筹部署，严格落实一体化综合监管工作最新要求，持续转变监管理念、提高监管精准度，不断提升非现场检查占比率，减少实地检查对企业经营的影响，力求“无事不扰、有事必到”。先后对国家大剧院、天桥演艺区等重点企业开展事前执法帮扶，宣讲《营业性演出管理条例》、制发《致西城区音乐剧主办方和票务销售企业的一封信》。深入开展安全培训和应急演练，指导文旅企业提升安全生产意识和能力。组织80家企业完成安全生产标准化创建，完成126家市、区级文保单位安全责任公告公示工作，不断推动安全生产规范化建设。持续开展安全生产治本攻坚三年行动。截至12月底，共检查各类文旅市场主体7762家次，其中非现场检查5804家次，占比74.77%，办理案件131件。12人次获得市总队评选的“季度办案能手”。</w:t>
      </w:r>
    </w:p>
    <w:p w14:paraId="42F6A03C">
      <w:pPr>
        <w:pStyle w:val="2"/>
        <w:ind w:firstLine="560"/>
        <w:rPr>
          <w:rFonts w:hint="eastAsia" w:ascii="仿宋_GB2312" w:hAnsi="宋体" w:eastAsia="仿宋_GB2312" w:cs="宋体"/>
          <w:b w:val="0"/>
          <w:bCs w:val="0"/>
          <w:color w:val="000000"/>
          <w:kern w:val="0"/>
          <w:sz w:val="32"/>
          <w:szCs w:val="32"/>
          <w:lang w:val="en-US" w:eastAsia="zh-CN" w:bidi="ar-SA"/>
        </w:rPr>
      </w:pPr>
      <w:r>
        <w:rPr>
          <w:rFonts w:hint="eastAsia" w:ascii="仿宋_GB2312" w:hAnsi="宋体" w:eastAsia="仿宋_GB2312" w:cs="宋体"/>
          <w:b w:val="0"/>
          <w:bCs w:val="0"/>
          <w:color w:val="000000"/>
          <w:kern w:val="0"/>
          <w:sz w:val="32"/>
          <w:szCs w:val="32"/>
          <w:lang w:val="en-US" w:eastAsia="zh-CN" w:bidi="ar-SA"/>
        </w:rPr>
        <w:t>（6）法治政府建设不断加强。持续开展八五普法，加强法治宣传和法治教育，组织法治培训。圆满完成了全国、市级、区级共60件建议提案的办理工作，实现按期办复率、沟通率和代表委员满意率均达100%。圆满完成人大1号议案答复工作。注重人才队伍建设，提升队伍工作能力水平。聘请律师事务所单位法律顾问单位，全年合法性审查合同、协议270余份。不断加强政府信息公开和行政调解工作，支持法院、检察院司法检察，行政领导出庭应诉5人次，胜诉率100%。</w:t>
      </w:r>
    </w:p>
    <w:p w14:paraId="5CADF504">
      <w:pPr>
        <w:pStyle w:val="2"/>
        <w:ind w:firstLine="560"/>
      </w:pPr>
      <w:r>
        <w:rPr>
          <w:rFonts w:hint="eastAsia" w:ascii="仿宋_GB2312" w:hAnsi="宋体" w:eastAsia="仿宋_GB2312" w:cs="宋体"/>
          <w:b w:val="0"/>
          <w:bCs w:val="0"/>
          <w:color w:val="000000"/>
          <w:kern w:val="0"/>
          <w:sz w:val="32"/>
          <w:szCs w:val="32"/>
          <w:lang w:val="en-US" w:eastAsia="zh-CN" w:bidi="ar-SA"/>
        </w:rPr>
        <w:t>接诉即办源头治理、提质减量。严格落实全区2024年接诉即办“力争第一”的目标，主动向前，攻坚克难，提升解决率、提高满意度，以“每月一题”旅行社管理小切口，聚焦我区文旅行业发展的难点、堵点问题，优化营商环境，推动文旅企业高质量发展。</w:t>
      </w:r>
    </w:p>
    <w:p w14:paraId="1B7F5E44">
      <w:pPr>
        <w:spacing w:line="600" w:lineRule="exact"/>
        <w:ind w:left="105" w:leftChars="50" w:firstLine="480" w:firstLineChars="150"/>
        <w:rPr>
          <w:rFonts w:ascii="仿宋_GB2312" w:hAnsi="宋体" w:eastAsia="仿宋_GB2312" w:cs="宋体"/>
          <w:b w:val="0"/>
          <w:bCs w:val="0"/>
          <w:color w:val="000000"/>
          <w:kern w:val="0"/>
          <w:sz w:val="32"/>
          <w:szCs w:val="32"/>
        </w:rPr>
      </w:pPr>
      <w:r>
        <w:rPr>
          <w:rFonts w:hint="eastAsia" w:ascii="仿宋_GB2312" w:hAnsi="宋体" w:eastAsia="仿宋_GB2312" w:cs="宋体"/>
          <w:b w:val="0"/>
          <w:bCs w:val="0"/>
          <w:color w:val="000000"/>
          <w:kern w:val="0"/>
          <w:sz w:val="32"/>
          <w:szCs w:val="32"/>
          <w:lang w:val="en-US" w:eastAsia="zh-CN"/>
        </w:rPr>
        <w:t>2</w:t>
      </w:r>
      <w:r>
        <w:rPr>
          <w:rFonts w:hint="eastAsia" w:ascii="仿宋_GB2312" w:hAnsi="宋体" w:eastAsia="仿宋_GB2312" w:cs="宋体"/>
          <w:b w:val="0"/>
          <w:bCs w:val="0"/>
          <w:color w:val="000000"/>
          <w:kern w:val="0"/>
          <w:sz w:val="32"/>
          <w:szCs w:val="32"/>
        </w:rPr>
        <w:t>.产出</w:t>
      </w:r>
      <w:r>
        <w:rPr>
          <w:rFonts w:ascii="仿宋_GB2312" w:hAnsi="宋体" w:eastAsia="仿宋_GB2312" w:cs="宋体"/>
          <w:b w:val="0"/>
          <w:bCs w:val="0"/>
          <w:color w:val="000000"/>
          <w:kern w:val="0"/>
          <w:sz w:val="32"/>
          <w:szCs w:val="32"/>
        </w:rPr>
        <w:t>进度</w:t>
      </w:r>
    </w:p>
    <w:p w14:paraId="27EA5CDD">
      <w:pPr>
        <w:pStyle w:val="2"/>
      </w:pPr>
      <w:r>
        <w:rPr>
          <w:rFonts w:hint="eastAsia" w:ascii="仿宋_GB2312" w:hAnsi="宋体" w:eastAsia="仿宋_GB2312" w:cs="宋体"/>
          <w:b w:val="0"/>
          <w:bCs w:val="0"/>
          <w:color w:val="000000"/>
          <w:kern w:val="0"/>
          <w:sz w:val="32"/>
          <w:szCs w:val="32"/>
          <w:lang w:val="en-US" w:eastAsia="zh-CN" w:bidi="ar-SA"/>
        </w:rPr>
        <w:t>所有项目严格按照计划实施，各个时间节点与活动方案相符。与绩效目标没有偏差。</w:t>
      </w:r>
    </w:p>
    <w:p w14:paraId="7D797751">
      <w:pPr>
        <w:spacing w:line="600" w:lineRule="exact"/>
        <w:ind w:left="105" w:leftChars="50" w:firstLine="480" w:firstLineChars="150"/>
        <w:rPr>
          <w:rFonts w:ascii="仿宋_GB2312" w:hAnsi="宋体" w:eastAsia="仿宋_GB2312" w:cs="宋体"/>
          <w:b w:val="0"/>
          <w:bCs w:val="0"/>
          <w:color w:val="000000"/>
          <w:kern w:val="0"/>
          <w:sz w:val="32"/>
          <w:szCs w:val="32"/>
        </w:rPr>
      </w:pPr>
      <w:r>
        <w:rPr>
          <w:rFonts w:hint="eastAsia" w:ascii="仿宋_GB2312" w:hAnsi="宋体" w:eastAsia="仿宋_GB2312" w:cs="宋体"/>
          <w:b w:val="0"/>
          <w:bCs w:val="0"/>
          <w:color w:val="000000"/>
          <w:kern w:val="0"/>
          <w:sz w:val="32"/>
          <w:szCs w:val="32"/>
          <w:lang w:val="en-US" w:eastAsia="zh-CN"/>
        </w:rPr>
        <w:t>3</w:t>
      </w:r>
      <w:r>
        <w:rPr>
          <w:rFonts w:ascii="仿宋_GB2312" w:hAnsi="宋体" w:eastAsia="仿宋_GB2312" w:cs="宋体"/>
          <w:b w:val="0"/>
          <w:bCs w:val="0"/>
          <w:color w:val="000000"/>
          <w:kern w:val="0"/>
          <w:sz w:val="32"/>
          <w:szCs w:val="32"/>
        </w:rPr>
        <w:t>.</w:t>
      </w:r>
      <w:r>
        <w:rPr>
          <w:rFonts w:hint="eastAsia" w:ascii="仿宋_GB2312" w:hAnsi="宋体" w:eastAsia="仿宋_GB2312" w:cs="宋体"/>
          <w:b w:val="0"/>
          <w:bCs w:val="0"/>
          <w:color w:val="000000"/>
          <w:kern w:val="0"/>
          <w:sz w:val="32"/>
          <w:szCs w:val="32"/>
        </w:rPr>
        <w:t>产出</w:t>
      </w:r>
      <w:r>
        <w:rPr>
          <w:rFonts w:ascii="仿宋_GB2312" w:hAnsi="宋体" w:eastAsia="仿宋_GB2312" w:cs="宋体"/>
          <w:b w:val="0"/>
          <w:bCs w:val="0"/>
          <w:color w:val="000000"/>
          <w:kern w:val="0"/>
          <w:sz w:val="32"/>
          <w:szCs w:val="32"/>
        </w:rPr>
        <w:t>成本</w:t>
      </w:r>
    </w:p>
    <w:p w14:paraId="75AF9D94">
      <w:pPr>
        <w:spacing w:line="600" w:lineRule="exact"/>
        <w:ind w:left="105" w:leftChars="50" w:firstLine="480" w:firstLineChars="150"/>
        <w:rPr>
          <w:rFonts w:ascii="仿宋_GB2312" w:hAnsi="宋体" w:eastAsia="仿宋_GB2312" w:cs="宋体"/>
          <w:b w:val="0"/>
          <w:bCs w:val="0"/>
          <w:color w:val="000000"/>
          <w:kern w:val="0"/>
          <w:sz w:val="32"/>
          <w:szCs w:val="32"/>
        </w:rPr>
      </w:pPr>
      <w:r>
        <w:rPr>
          <w:rFonts w:hint="eastAsia" w:ascii="仿宋_GB2312" w:hAnsi="宋体" w:eastAsia="仿宋_GB2312" w:cs="宋体"/>
          <w:b w:val="0"/>
          <w:bCs w:val="0"/>
          <w:color w:val="000000"/>
          <w:kern w:val="0"/>
          <w:sz w:val="32"/>
          <w:szCs w:val="32"/>
          <w:lang w:val="en-US" w:eastAsia="zh-CN"/>
        </w:rPr>
        <w:t>所有</w:t>
      </w:r>
      <w:r>
        <w:rPr>
          <w:rFonts w:hint="eastAsia" w:ascii="仿宋_GB2312" w:hAnsi="宋体" w:eastAsia="仿宋_GB2312" w:cs="宋体"/>
          <w:b w:val="0"/>
          <w:bCs w:val="0"/>
          <w:color w:val="000000"/>
          <w:kern w:val="0"/>
          <w:sz w:val="32"/>
          <w:szCs w:val="32"/>
        </w:rPr>
        <w:t xml:space="preserve">项目根据预算计划合理安排资金，与申报各项预算资金金额相符。                                     </w:t>
      </w:r>
    </w:p>
    <w:p w14:paraId="6A90B7CE">
      <w:pPr>
        <w:spacing w:line="600" w:lineRule="exact"/>
        <w:ind w:left="105" w:leftChars="50" w:firstLine="480" w:firstLineChars="150"/>
        <w:rPr>
          <w:rFonts w:hint="default" w:ascii="仿宋_GB2312" w:hAnsi="宋体" w:eastAsia="仿宋_GB2312" w:cs="宋体"/>
          <w:b w:val="0"/>
          <w:bCs w:val="0"/>
          <w:color w:val="000000"/>
          <w:kern w:val="0"/>
          <w:sz w:val="32"/>
          <w:szCs w:val="32"/>
          <w:lang w:val="en-US" w:eastAsia="zh-CN"/>
        </w:rPr>
      </w:pPr>
      <w:r>
        <w:rPr>
          <w:rFonts w:hint="eastAsia" w:ascii="楷体_GB2312" w:eastAsia="楷体_GB2312"/>
          <w:b w:val="0"/>
          <w:bCs w:val="0"/>
          <w:sz w:val="32"/>
          <w:szCs w:val="32"/>
        </w:rPr>
        <w:t>（二）效果</w:t>
      </w:r>
      <w:r>
        <w:rPr>
          <w:rFonts w:ascii="楷体_GB2312" w:eastAsia="楷体_GB2312"/>
          <w:b w:val="0"/>
          <w:bCs w:val="0"/>
          <w:sz w:val="32"/>
          <w:szCs w:val="32"/>
        </w:rPr>
        <w:t>实现情况分析</w:t>
      </w:r>
    </w:p>
    <w:p w14:paraId="7E906E20">
      <w:pPr>
        <w:spacing w:line="600" w:lineRule="exact"/>
        <w:ind w:firstLine="640" w:firstLineChars="200"/>
        <w:rPr>
          <w:rFonts w:hint="eastAsia" w:ascii="仿宋_GB2312" w:hAnsi="宋体" w:eastAsia="仿宋_GB2312" w:cs="宋体"/>
          <w:b w:val="0"/>
          <w:bCs w:val="0"/>
          <w:color w:val="000000"/>
          <w:kern w:val="0"/>
          <w:sz w:val="32"/>
          <w:szCs w:val="32"/>
          <w:lang w:eastAsia="zh-CN"/>
        </w:rPr>
      </w:pPr>
      <w:r>
        <w:rPr>
          <w:rFonts w:hint="eastAsia" w:ascii="仿宋_GB2312" w:hAnsi="宋体" w:eastAsia="仿宋_GB2312" w:cs="宋体"/>
          <w:b w:val="0"/>
          <w:bCs w:val="0"/>
          <w:color w:val="000000"/>
          <w:kern w:val="0"/>
          <w:sz w:val="32"/>
          <w:szCs w:val="32"/>
          <w:lang w:val="en-US" w:eastAsia="zh-CN"/>
        </w:rPr>
        <w:t>1</w:t>
      </w:r>
      <w:r>
        <w:rPr>
          <w:rFonts w:hint="eastAsia" w:ascii="仿宋_GB2312" w:hAnsi="宋体" w:eastAsia="仿宋_GB2312" w:cs="宋体"/>
          <w:b w:val="0"/>
          <w:bCs w:val="0"/>
          <w:color w:val="000000"/>
          <w:kern w:val="0"/>
          <w:sz w:val="32"/>
          <w:szCs w:val="32"/>
        </w:rPr>
        <w:t>.社会效益</w:t>
      </w:r>
      <w:r>
        <w:rPr>
          <w:rFonts w:hint="eastAsia" w:ascii="仿宋_GB2312" w:hAnsi="宋体" w:eastAsia="仿宋_GB2312" w:cs="宋体"/>
          <w:b w:val="0"/>
          <w:bCs w:val="0"/>
          <w:color w:val="000000"/>
          <w:kern w:val="0"/>
          <w:sz w:val="32"/>
          <w:szCs w:val="32"/>
          <w:lang w:eastAsia="zh-CN"/>
        </w:rPr>
        <w:t>：丰富了居民文化生活，提升了居民文化素养；促进了文化交流与传承，增强了区域文化凝聚力；推动了文化和旅游产业发展，创造了更多就业机会 。</w:t>
      </w:r>
    </w:p>
    <w:p w14:paraId="2C7AF58F">
      <w:pPr>
        <w:spacing w:line="600" w:lineRule="exact"/>
        <w:ind w:left="105" w:leftChars="50" w:firstLine="480" w:firstLineChars="150"/>
        <w:rPr>
          <w:rFonts w:hint="eastAsia" w:ascii="仿宋_GB2312" w:hAnsi="宋体" w:eastAsia="仿宋_GB2312" w:cs="宋体"/>
          <w:b w:val="0"/>
          <w:bCs w:val="0"/>
          <w:color w:val="000000"/>
          <w:kern w:val="0"/>
          <w:sz w:val="32"/>
          <w:szCs w:val="32"/>
        </w:rPr>
      </w:pPr>
      <w:r>
        <w:rPr>
          <w:rFonts w:hint="eastAsia" w:ascii="仿宋_GB2312" w:hAnsi="宋体" w:eastAsia="仿宋_GB2312" w:cs="宋体"/>
          <w:b w:val="0"/>
          <w:bCs w:val="0"/>
          <w:color w:val="000000"/>
          <w:kern w:val="0"/>
          <w:sz w:val="32"/>
          <w:szCs w:val="32"/>
          <w:lang w:val="en-US" w:eastAsia="zh-CN"/>
        </w:rPr>
        <w:t>2</w:t>
      </w:r>
      <w:r>
        <w:rPr>
          <w:rFonts w:hint="eastAsia" w:ascii="仿宋_GB2312" w:hAnsi="宋体" w:eastAsia="仿宋_GB2312" w:cs="宋体"/>
          <w:b w:val="0"/>
          <w:bCs w:val="0"/>
          <w:color w:val="000000"/>
          <w:kern w:val="0"/>
          <w:sz w:val="32"/>
          <w:szCs w:val="32"/>
        </w:rPr>
        <w:t>.可持续</w:t>
      </w:r>
      <w:r>
        <w:rPr>
          <w:rFonts w:ascii="仿宋_GB2312" w:hAnsi="宋体" w:eastAsia="仿宋_GB2312" w:cs="宋体"/>
          <w:b w:val="0"/>
          <w:bCs w:val="0"/>
          <w:color w:val="000000"/>
          <w:kern w:val="0"/>
          <w:sz w:val="32"/>
          <w:szCs w:val="32"/>
        </w:rPr>
        <w:t>性影响</w:t>
      </w:r>
      <w:r>
        <w:rPr>
          <w:rFonts w:hint="eastAsia" w:ascii="仿宋_GB2312" w:hAnsi="宋体" w:eastAsia="仿宋_GB2312" w:cs="宋体"/>
          <w:b w:val="0"/>
          <w:bCs w:val="0"/>
          <w:color w:val="000000"/>
          <w:kern w:val="0"/>
          <w:sz w:val="32"/>
          <w:szCs w:val="32"/>
        </w:rPr>
        <w:t>：完善了公共文化服务设施，为长期开展文化活动提供保障；培养了文化人才队伍，为文化事业发展提供人才支撑；建立了文化和旅游产业发展长效机制，促进产业持续健康发展。</w:t>
      </w:r>
    </w:p>
    <w:p w14:paraId="0AB6CD23">
      <w:pPr>
        <w:pStyle w:val="2"/>
        <w:rPr>
          <w:rFonts w:hint="default" w:eastAsia="仿宋_GB2312"/>
          <w:lang w:val="en-US" w:eastAsia="zh-CN"/>
        </w:rPr>
      </w:pPr>
      <w:r>
        <w:rPr>
          <w:rFonts w:hint="eastAsia" w:ascii="仿宋_GB2312" w:hAnsi="宋体" w:eastAsia="仿宋_GB2312" w:cs="宋体"/>
          <w:b w:val="0"/>
          <w:bCs w:val="0"/>
          <w:color w:val="000000"/>
          <w:kern w:val="0"/>
          <w:sz w:val="32"/>
          <w:szCs w:val="32"/>
          <w:lang w:val="en-US" w:eastAsia="zh-CN"/>
        </w:rPr>
        <w:t>3.</w:t>
      </w:r>
      <w:r>
        <w:rPr>
          <w:rFonts w:hint="eastAsia" w:ascii="仿宋_GB2312" w:hAnsi="宋体" w:eastAsia="仿宋_GB2312" w:cs="宋体"/>
          <w:b w:val="0"/>
          <w:bCs w:val="0"/>
          <w:color w:val="000000"/>
          <w:kern w:val="0"/>
          <w:sz w:val="32"/>
          <w:szCs w:val="32"/>
        </w:rPr>
        <w:t>经济</w:t>
      </w:r>
      <w:r>
        <w:rPr>
          <w:rFonts w:ascii="仿宋_GB2312" w:hAnsi="宋体" w:eastAsia="仿宋_GB2312" w:cs="宋体"/>
          <w:b w:val="0"/>
          <w:bCs w:val="0"/>
          <w:color w:val="000000"/>
          <w:kern w:val="0"/>
          <w:sz w:val="32"/>
          <w:szCs w:val="32"/>
        </w:rPr>
        <w:t>效益</w:t>
      </w:r>
      <w:r>
        <w:rPr>
          <w:rFonts w:hint="eastAsia" w:ascii="仿宋_GB2312" w:hAnsi="宋体" w:eastAsia="仿宋_GB2312" w:cs="宋体"/>
          <w:b w:val="0"/>
          <w:bCs w:val="0"/>
          <w:color w:val="000000"/>
          <w:kern w:val="0"/>
          <w:sz w:val="32"/>
          <w:szCs w:val="32"/>
          <w:lang w:eastAsia="zh-CN"/>
        </w:rPr>
        <w:t>：</w:t>
      </w:r>
      <w:r>
        <w:rPr>
          <w:rFonts w:hint="eastAsia" w:ascii="仿宋_GB2312" w:hAnsi="宋体" w:eastAsia="仿宋_GB2312" w:cs="宋体"/>
          <w:b w:val="0"/>
          <w:bCs w:val="0"/>
          <w:color w:val="000000"/>
          <w:kern w:val="0"/>
          <w:sz w:val="32"/>
          <w:szCs w:val="32"/>
          <w:lang w:val="en-US" w:eastAsia="zh-CN"/>
        </w:rPr>
        <w:t>行政事业单位，公益性演出活动。</w:t>
      </w:r>
    </w:p>
    <w:p w14:paraId="0C98F602">
      <w:pPr>
        <w:spacing w:line="600" w:lineRule="exact"/>
        <w:ind w:left="105" w:leftChars="50" w:firstLine="480" w:firstLineChars="150"/>
        <w:rPr>
          <w:rFonts w:hint="eastAsia" w:ascii="仿宋_GB2312" w:hAnsi="宋体" w:eastAsia="仿宋_GB2312" w:cs="宋体"/>
          <w:b w:val="0"/>
          <w:bCs w:val="0"/>
          <w:color w:val="000000"/>
          <w:kern w:val="0"/>
          <w:sz w:val="32"/>
          <w:szCs w:val="32"/>
          <w:lang w:eastAsia="zh-CN"/>
        </w:rPr>
      </w:pPr>
      <w:r>
        <w:rPr>
          <w:rFonts w:hint="eastAsia" w:ascii="仿宋_GB2312" w:hAnsi="宋体" w:eastAsia="仿宋_GB2312" w:cs="宋体"/>
          <w:b w:val="0"/>
          <w:bCs w:val="0"/>
          <w:color w:val="000000"/>
          <w:kern w:val="0"/>
          <w:sz w:val="32"/>
          <w:szCs w:val="32"/>
          <w:lang w:val="en-US" w:eastAsia="zh-CN"/>
        </w:rPr>
        <w:t>4</w:t>
      </w:r>
      <w:r>
        <w:rPr>
          <w:rFonts w:hint="eastAsia" w:ascii="仿宋_GB2312" w:hAnsi="宋体" w:eastAsia="仿宋_GB2312" w:cs="宋体"/>
          <w:b w:val="0"/>
          <w:bCs w:val="0"/>
          <w:color w:val="000000"/>
          <w:kern w:val="0"/>
          <w:sz w:val="32"/>
          <w:szCs w:val="32"/>
        </w:rPr>
        <w:t>.服务对象</w:t>
      </w:r>
      <w:r>
        <w:rPr>
          <w:rFonts w:ascii="仿宋_GB2312" w:hAnsi="宋体" w:eastAsia="仿宋_GB2312" w:cs="宋体"/>
          <w:b w:val="0"/>
          <w:bCs w:val="0"/>
          <w:color w:val="000000"/>
          <w:kern w:val="0"/>
          <w:sz w:val="32"/>
          <w:szCs w:val="32"/>
        </w:rPr>
        <w:t>满意度</w:t>
      </w:r>
      <w:r>
        <w:rPr>
          <w:rFonts w:hint="eastAsia" w:ascii="仿宋_GB2312" w:hAnsi="宋体" w:eastAsia="仿宋_GB2312" w:cs="宋体"/>
          <w:b w:val="0"/>
          <w:bCs w:val="0"/>
          <w:color w:val="000000"/>
          <w:kern w:val="0"/>
          <w:sz w:val="32"/>
          <w:szCs w:val="32"/>
          <w:lang w:eastAsia="zh-CN"/>
        </w:rPr>
        <w:t>：通过问卷调查、意见反馈等方式收集服务对象意见，满意度达到</w:t>
      </w:r>
      <w:r>
        <w:rPr>
          <w:rFonts w:hint="eastAsia" w:ascii="仿宋_GB2312" w:hAnsi="宋体" w:eastAsia="仿宋_GB2312" w:cs="宋体"/>
          <w:b w:val="0"/>
          <w:bCs w:val="0"/>
          <w:color w:val="000000"/>
          <w:kern w:val="0"/>
          <w:sz w:val="32"/>
          <w:szCs w:val="32"/>
          <w:lang w:val="en-US" w:eastAsia="zh-CN"/>
        </w:rPr>
        <w:t>95</w:t>
      </w:r>
      <w:r>
        <w:rPr>
          <w:rFonts w:hint="eastAsia" w:ascii="仿宋_GB2312" w:hAnsi="宋体" w:eastAsia="仿宋_GB2312" w:cs="宋体"/>
          <w:b w:val="0"/>
          <w:bCs w:val="0"/>
          <w:color w:val="000000"/>
          <w:kern w:val="0"/>
          <w:sz w:val="32"/>
          <w:szCs w:val="32"/>
          <w:lang w:eastAsia="zh-CN"/>
        </w:rPr>
        <w:t>%，大部分服务对象对文化和旅游服务表示满意。</w:t>
      </w:r>
    </w:p>
    <w:p w14:paraId="0211103B">
      <w:pPr>
        <w:spacing w:line="600" w:lineRule="exact"/>
        <w:ind w:left="105" w:leftChars="50" w:firstLine="480" w:firstLineChars="150"/>
        <w:rPr>
          <w:rFonts w:hint="eastAsia" w:ascii="黑体" w:hAnsi="黑体" w:eastAsia="黑体" w:cs="宋体"/>
          <w:b w:val="0"/>
          <w:bCs w:val="0"/>
          <w:color w:val="000000"/>
          <w:kern w:val="0"/>
          <w:sz w:val="32"/>
          <w:szCs w:val="32"/>
        </w:rPr>
      </w:pPr>
      <w:r>
        <w:rPr>
          <w:rFonts w:hint="eastAsia" w:ascii="黑体" w:hAnsi="黑体" w:eastAsia="黑体" w:cs="宋体"/>
          <w:b w:val="0"/>
          <w:bCs w:val="0"/>
          <w:color w:val="000000"/>
          <w:kern w:val="0"/>
          <w:sz w:val="32"/>
          <w:szCs w:val="32"/>
        </w:rPr>
        <w:t>四</w:t>
      </w:r>
      <w:r>
        <w:rPr>
          <w:rFonts w:ascii="黑体" w:hAnsi="黑体" w:eastAsia="黑体" w:cs="宋体"/>
          <w:b w:val="0"/>
          <w:bCs w:val="0"/>
          <w:color w:val="000000"/>
          <w:kern w:val="0"/>
          <w:sz w:val="32"/>
          <w:szCs w:val="32"/>
        </w:rPr>
        <w:t>、预算管理</w:t>
      </w:r>
      <w:r>
        <w:rPr>
          <w:rFonts w:hint="eastAsia" w:ascii="黑体" w:hAnsi="黑体" w:eastAsia="黑体" w:cs="宋体"/>
          <w:b w:val="0"/>
          <w:bCs w:val="0"/>
          <w:color w:val="000000"/>
          <w:kern w:val="0"/>
          <w:sz w:val="32"/>
          <w:szCs w:val="32"/>
        </w:rPr>
        <w:t>情况分</w:t>
      </w:r>
      <w:r>
        <w:rPr>
          <w:rFonts w:ascii="黑体" w:hAnsi="黑体" w:eastAsia="黑体" w:cs="宋体"/>
          <w:b w:val="0"/>
          <w:bCs w:val="0"/>
          <w:color w:val="000000"/>
          <w:kern w:val="0"/>
          <w:sz w:val="32"/>
          <w:szCs w:val="32"/>
        </w:rPr>
        <w:t>析</w:t>
      </w:r>
    </w:p>
    <w:p w14:paraId="160B4D8E">
      <w:pPr>
        <w:spacing w:line="600" w:lineRule="exact"/>
        <w:ind w:left="105" w:leftChars="50" w:firstLine="480" w:firstLineChars="150"/>
        <w:rPr>
          <w:rFonts w:ascii="楷体_GB2312" w:eastAsia="楷体_GB2312"/>
          <w:b w:val="0"/>
          <w:bCs w:val="0"/>
          <w:sz w:val="32"/>
          <w:szCs w:val="32"/>
        </w:rPr>
      </w:pPr>
      <w:r>
        <w:rPr>
          <w:rFonts w:hint="eastAsia" w:ascii="楷体_GB2312" w:eastAsia="楷体_GB2312"/>
          <w:b w:val="0"/>
          <w:bCs w:val="0"/>
          <w:sz w:val="32"/>
          <w:szCs w:val="32"/>
        </w:rPr>
        <w:t>（一）财务管理</w:t>
      </w:r>
    </w:p>
    <w:p w14:paraId="4A172B57">
      <w:pPr>
        <w:spacing w:line="600" w:lineRule="exact"/>
        <w:ind w:left="105" w:leftChars="50" w:firstLine="480" w:firstLineChars="150"/>
        <w:rPr>
          <w:rFonts w:hint="eastAsia" w:ascii="仿宋_GB2312" w:hAnsi="宋体" w:eastAsia="仿宋_GB2312" w:cs="宋体"/>
          <w:b w:val="0"/>
          <w:bCs w:val="0"/>
          <w:color w:val="000000"/>
          <w:kern w:val="0"/>
          <w:sz w:val="32"/>
          <w:szCs w:val="32"/>
          <w:lang w:eastAsia="zh-CN"/>
        </w:rPr>
      </w:pPr>
      <w:r>
        <w:rPr>
          <w:rFonts w:hint="eastAsia" w:ascii="仿宋_GB2312" w:hAnsi="宋体" w:eastAsia="仿宋_GB2312" w:cs="宋体"/>
          <w:b w:val="0"/>
          <w:bCs w:val="0"/>
          <w:color w:val="000000"/>
          <w:kern w:val="0"/>
          <w:sz w:val="32"/>
          <w:szCs w:val="32"/>
        </w:rPr>
        <w:t>1.财务</w:t>
      </w:r>
      <w:r>
        <w:rPr>
          <w:rFonts w:ascii="仿宋_GB2312" w:hAnsi="宋体" w:eastAsia="仿宋_GB2312" w:cs="宋体"/>
          <w:b w:val="0"/>
          <w:bCs w:val="0"/>
          <w:color w:val="000000"/>
          <w:kern w:val="0"/>
          <w:sz w:val="32"/>
          <w:szCs w:val="32"/>
        </w:rPr>
        <w:t>管理制度健全性</w:t>
      </w:r>
      <w:r>
        <w:rPr>
          <w:rFonts w:hint="eastAsia" w:ascii="仿宋_GB2312" w:hAnsi="宋体" w:eastAsia="仿宋_GB2312" w:cs="宋体"/>
          <w:b w:val="0"/>
          <w:bCs w:val="0"/>
          <w:color w:val="000000"/>
          <w:kern w:val="0"/>
          <w:sz w:val="32"/>
          <w:szCs w:val="32"/>
          <w:lang w:eastAsia="zh-CN"/>
        </w:rPr>
        <w:t>，建立健全了财务管理制度，涵盖预算编制、执行、资金审批、费用报销等各个环节，制度内容符合国家财务法规和相关政策要求，且根据实际情况及时更新完善。</w:t>
      </w:r>
    </w:p>
    <w:p w14:paraId="45BF1BEC">
      <w:pPr>
        <w:spacing w:line="600" w:lineRule="exact"/>
        <w:ind w:left="105" w:leftChars="50" w:firstLine="480" w:firstLineChars="150"/>
        <w:rPr>
          <w:rFonts w:hint="eastAsia" w:ascii="仿宋_GB2312" w:hAnsi="宋体" w:eastAsia="仿宋_GB2312" w:cs="宋体"/>
          <w:b w:val="0"/>
          <w:bCs w:val="0"/>
          <w:color w:val="000000"/>
          <w:kern w:val="0"/>
          <w:sz w:val="32"/>
          <w:szCs w:val="32"/>
          <w:lang w:eastAsia="zh-CN"/>
        </w:rPr>
      </w:pPr>
      <w:r>
        <w:rPr>
          <w:rFonts w:hint="eastAsia" w:ascii="仿宋_GB2312" w:hAnsi="宋体" w:eastAsia="仿宋_GB2312" w:cs="宋体"/>
          <w:b w:val="0"/>
          <w:bCs w:val="0"/>
          <w:color w:val="000000"/>
          <w:kern w:val="0"/>
          <w:sz w:val="32"/>
          <w:szCs w:val="32"/>
        </w:rPr>
        <w:t>2.资金使用合规性</w:t>
      </w:r>
      <w:r>
        <w:rPr>
          <w:rFonts w:ascii="仿宋_GB2312" w:hAnsi="宋体" w:eastAsia="仿宋_GB2312" w:cs="宋体"/>
          <w:b w:val="0"/>
          <w:bCs w:val="0"/>
          <w:color w:val="000000"/>
          <w:kern w:val="0"/>
          <w:sz w:val="32"/>
          <w:szCs w:val="32"/>
        </w:rPr>
        <w:t>和安全性</w:t>
      </w:r>
      <w:r>
        <w:rPr>
          <w:rFonts w:hint="eastAsia" w:ascii="仿宋_GB2312" w:hAnsi="宋体" w:eastAsia="仿宋_GB2312" w:cs="宋体"/>
          <w:b w:val="0"/>
          <w:bCs w:val="0"/>
          <w:color w:val="000000"/>
          <w:kern w:val="0"/>
          <w:sz w:val="32"/>
          <w:szCs w:val="32"/>
          <w:lang w:eastAsia="zh-CN"/>
        </w:rPr>
        <w:t>，资金使用严格按照预算安排和财务制度执行，审批流程规范，无截留、挪用、虚报冒领等违规行为，资金存放安全，定期进行资金盘点和账目核对。</w:t>
      </w:r>
    </w:p>
    <w:p w14:paraId="4D137891">
      <w:pPr>
        <w:spacing w:line="600" w:lineRule="exact"/>
        <w:ind w:left="105" w:leftChars="50" w:firstLine="480" w:firstLineChars="150"/>
        <w:rPr>
          <w:rFonts w:hint="eastAsia" w:ascii="仿宋_GB2312" w:hAnsi="宋体" w:eastAsia="仿宋_GB2312" w:cs="宋体"/>
          <w:b w:val="0"/>
          <w:bCs w:val="0"/>
          <w:color w:val="000000"/>
          <w:kern w:val="0"/>
          <w:sz w:val="32"/>
          <w:szCs w:val="32"/>
          <w:lang w:eastAsia="zh-CN"/>
        </w:rPr>
      </w:pPr>
      <w:r>
        <w:rPr>
          <w:rFonts w:ascii="仿宋_GB2312" w:hAnsi="宋体" w:eastAsia="仿宋_GB2312" w:cs="宋体"/>
          <w:b w:val="0"/>
          <w:bCs w:val="0"/>
          <w:color w:val="000000"/>
          <w:kern w:val="0"/>
          <w:sz w:val="32"/>
          <w:szCs w:val="32"/>
        </w:rPr>
        <w:t>3.</w:t>
      </w:r>
      <w:r>
        <w:rPr>
          <w:rFonts w:hint="eastAsia" w:ascii="仿宋_GB2312" w:hAnsi="宋体" w:eastAsia="仿宋_GB2312" w:cs="宋体"/>
          <w:b w:val="0"/>
          <w:bCs w:val="0"/>
          <w:color w:val="000000"/>
          <w:kern w:val="0"/>
          <w:sz w:val="32"/>
          <w:szCs w:val="32"/>
        </w:rPr>
        <w:t>会计</w:t>
      </w:r>
      <w:r>
        <w:rPr>
          <w:rFonts w:ascii="仿宋_GB2312" w:hAnsi="宋体" w:eastAsia="仿宋_GB2312" w:cs="宋体"/>
          <w:b w:val="0"/>
          <w:bCs w:val="0"/>
          <w:color w:val="000000"/>
          <w:kern w:val="0"/>
          <w:sz w:val="32"/>
          <w:szCs w:val="32"/>
        </w:rPr>
        <w:t>基础信息完善性</w:t>
      </w:r>
      <w:r>
        <w:rPr>
          <w:rFonts w:hint="eastAsia" w:ascii="仿宋_GB2312" w:hAnsi="宋体" w:eastAsia="仿宋_GB2312" w:cs="宋体"/>
          <w:b w:val="0"/>
          <w:bCs w:val="0"/>
          <w:color w:val="000000"/>
          <w:kern w:val="0"/>
          <w:sz w:val="32"/>
          <w:szCs w:val="32"/>
          <w:lang w:eastAsia="zh-CN"/>
        </w:rPr>
        <w:t>，会计凭证、账簿、报表等会计资料真实、准确、完整，会计核算及时、规范，财务信息系统运行稳定，能够及时提供准确的财务数据。</w:t>
      </w:r>
    </w:p>
    <w:p w14:paraId="4240C7F7">
      <w:pPr>
        <w:spacing w:line="600" w:lineRule="exact"/>
        <w:ind w:left="105" w:leftChars="50" w:firstLine="480" w:firstLineChars="150"/>
        <w:rPr>
          <w:rFonts w:hint="eastAsia" w:ascii="楷体_GB2312" w:eastAsia="楷体_GB2312"/>
          <w:b w:val="0"/>
          <w:bCs w:val="0"/>
          <w:sz w:val="32"/>
          <w:szCs w:val="32"/>
        </w:rPr>
      </w:pPr>
      <w:r>
        <w:rPr>
          <w:rFonts w:hint="eastAsia" w:ascii="楷体_GB2312" w:eastAsia="楷体_GB2312"/>
          <w:b w:val="0"/>
          <w:bCs w:val="0"/>
          <w:sz w:val="32"/>
          <w:szCs w:val="32"/>
        </w:rPr>
        <w:t>（二）资产管理</w:t>
      </w:r>
    </w:p>
    <w:p w14:paraId="05CD0816">
      <w:pPr>
        <w:pStyle w:val="2"/>
        <w:rPr>
          <w:rFonts w:hint="eastAsia"/>
          <w:lang w:eastAsia="zh-CN"/>
        </w:rPr>
      </w:pPr>
      <w:r>
        <w:rPr>
          <w:rFonts w:hint="eastAsia" w:ascii="仿宋_GB2312" w:hAnsi="宋体" w:eastAsia="仿宋_GB2312" w:cs="宋体"/>
          <w:b w:val="0"/>
          <w:bCs w:val="0"/>
          <w:color w:val="000000"/>
          <w:kern w:val="0"/>
          <w:sz w:val="32"/>
          <w:szCs w:val="32"/>
          <w:lang w:val="en-US" w:eastAsia="zh-CN" w:bidi="ar-SA"/>
        </w:rPr>
        <w:t>建立了资产管理制度，对资产的购置、验收、登记、保管、使用、处置等环节进行规范管理。定期进行资产清查盘点，资产账实相符，资产配置合理，资产使用效率较高。</w:t>
      </w:r>
    </w:p>
    <w:p w14:paraId="631FB437">
      <w:pPr>
        <w:numPr>
          <w:ilvl w:val="0"/>
          <w:numId w:val="1"/>
        </w:numPr>
        <w:spacing w:line="600" w:lineRule="exact"/>
        <w:ind w:left="105" w:leftChars="50" w:firstLine="480" w:firstLineChars="150"/>
        <w:rPr>
          <w:rFonts w:ascii="楷体_GB2312" w:eastAsia="楷体_GB2312"/>
          <w:b w:val="0"/>
          <w:bCs w:val="0"/>
          <w:sz w:val="32"/>
          <w:szCs w:val="32"/>
        </w:rPr>
      </w:pPr>
      <w:r>
        <w:rPr>
          <w:rFonts w:hint="eastAsia" w:ascii="楷体_GB2312" w:eastAsia="楷体_GB2312"/>
          <w:b w:val="0"/>
          <w:bCs w:val="0"/>
          <w:sz w:val="32"/>
          <w:szCs w:val="32"/>
        </w:rPr>
        <w:t>绩效</w:t>
      </w:r>
      <w:r>
        <w:rPr>
          <w:rFonts w:ascii="楷体_GB2312" w:eastAsia="楷体_GB2312"/>
          <w:b w:val="0"/>
          <w:bCs w:val="0"/>
          <w:sz w:val="32"/>
          <w:szCs w:val="32"/>
        </w:rPr>
        <w:t>管理</w:t>
      </w:r>
    </w:p>
    <w:p w14:paraId="7C931144">
      <w:pPr>
        <w:pStyle w:val="2"/>
        <w:rPr>
          <w:rFonts w:hint="eastAsia" w:ascii="仿宋_GB2312" w:hAnsi="宋体" w:eastAsia="仿宋_GB2312" w:cs="宋体"/>
          <w:b w:val="0"/>
          <w:bCs w:val="0"/>
          <w:color w:val="000000"/>
          <w:kern w:val="0"/>
          <w:sz w:val="32"/>
          <w:szCs w:val="32"/>
          <w:lang w:val="en-US" w:eastAsia="zh-CN" w:bidi="ar-SA"/>
        </w:rPr>
      </w:pPr>
      <w:r>
        <w:rPr>
          <w:rFonts w:hint="eastAsia" w:ascii="仿宋_GB2312" w:hAnsi="宋体" w:eastAsia="仿宋_GB2312" w:cs="宋体"/>
          <w:b w:val="0"/>
          <w:bCs w:val="0"/>
          <w:color w:val="000000"/>
          <w:kern w:val="0"/>
          <w:sz w:val="32"/>
          <w:szCs w:val="32"/>
          <w:lang w:val="en-US" w:eastAsia="zh-CN" w:bidi="ar-SA"/>
        </w:rPr>
        <w:t>制定了绩效管理制度和工作流程，明确绩效目标设定、绩效监控、绩效评价、结果应用等各环节职责和要求。绩效目标设定科学合理，与部门职责和工作任务紧密结合；定期开展绩效监控，及时发现并解决绩效运行中存在的问题；绩效评价工作规范有序，评价结果客观公正，并将评价结果作为预算安排和调整的重要依据 。</w:t>
      </w:r>
    </w:p>
    <w:p w14:paraId="52D4E71E">
      <w:pPr>
        <w:numPr>
          <w:ilvl w:val="0"/>
          <w:numId w:val="1"/>
        </w:numPr>
        <w:spacing w:line="600" w:lineRule="exact"/>
        <w:ind w:left="105" w:leftChars="50" w:firstLine="480" w:firstLineChars="150"/>
        <w:rPr>
          <w:rFonts w:hint="eastAsia" w:ascii="楷体_GB2312" w:eastAsia="楷体_GB2312"/>
          <w:b w:val="0"/>
          <w:bCs w:val="0"/>
          <w:sz w:val="32"/>
          <w:szCs w:val="32"/>
        </w:rPr>
      </w:pPr>
      <w:r>
        <w:rPr>
          <w:rFonts w:hint="eastAsia" w:ascii="楷体_GB2312" w:eastAsia="楷体_GB2312"/>
          <w:b w:val="0"/>
          <w:bCs w:val="0"/>
          <w:sz w:val="32"/>
          <w:szCs w:val="32"/>
        </w:rPr>
        <w:t>结转结余率</w:t>
      </w:r>
    </w:p>
    <w:p w14:paraId="0E6BD850">
      <w:pPr>
        <w:pStyle w:val="2"/>
        <w:rPr>
          <w:rFonts w:hint="eastAsia" w:ascii="仿宋_GB2312" w:hAnsi="宋体" w:eastAsia="仿宋_GB2312" w:cs="宋体"/>
          <w:b w:val="0"/>
          <w:bCs w:val="0"/>
          <w:color w:val="000000"/>
          <w:kern w:val="0"/>
          <w:sz w:val="32"/>
          <w:szCs w:val="32"/>
          <w:lang w:val="en-US" w:eastAsia="zh-CN" w:bidi="ar-SA"/>
        </w:rPr>
      </w:pPr>
      <w:r>
        <w:rPr>
          <w:rFonts w:hint="eastAsia" w:ascii="仿宋_GB2312" w:hAnsi="宋体" w:eastAsia="仿宋_GB2312" w:cs="宋体"/>
          <w:b w:val="0"/>
          <w:bCs w:val="0"/>
          <w:color w:val="000000"/>
          <w:kern w:val="0"/>
          <w:sz w:val="32"/>
          <w:szCs w:val="32"/>
          <w:lang w:val="en-US" w:eastAsia="zh-CN" w:bidi="ar-SA"/>
        </w:rPr>
        <w:t>本年度无结转结余，本年年底预算资金全部上交财政。</w:t>
      </w:r>
    </w:p>
    <w:p w14:paraId="7464A618">
      <w:pPr>
        <w:numPr>
          <w:ilvl w:val="0"/>
          <w:numId w:val="1"/>
        </w:numPr>
        <w:spacing w:line="600" w:lineRule="exact"/>
        <w:ind w:left="105" w:leftChars="50" w:firstLine="480" w:firstLineChars="150"/>
        <w:rPr>
          <w:rFonts w:ascii="楷体_GB2312" w:eastAsia="楷体_GB2312"/>
          <w:b w:val="0"/>
          <w:bCs w:val="0"/>
          <w:sz w:val="32"/>
          <w:szCs w:val="32"/>
        </w:rPr>
      </w:pPr>
      <w:r>
        <w:rPr>
          <w:rFonts w:hint="eastAsia" w:ascii="楷体_GB2312" w:eastAsia="楷体_GB2312"/>
          <w:b w:val="0"/>
          <w:bCs w:val="0"/>
          <w:sz w:val="32"/>
          <w:szCs w:val="32"/>
        </w:rPr>
        <w:t>部门</w:t>
      </w:r>
      <w:r>
        <w:rPr>
          <w:rFonts w:ascii="楷体_GB2312" w:eastAsia="楷体_GB2312"/>
          <w:b w:val="0"/>
          <w:bCs w:val="0"/>
          <w:sz w:val="32"/>
          <w:szCs w:val="32"/>
        </w:rPr>
        <w:t>预决算差异率</w:t>
      </w:r>
    </w:p>
    <w:p w14:paraId="5D493EAD">
      <w:pPr>
        <w:pStyle w:val="2"/>
        <w:rPr>
          <w:rFonts w:hint="eastAsia" w:ascii="仿宋_GB2312" w:hAnsi="宋体" w:eastAsia="仿宋_GB2312" w:cs="宋体"/>
          <w:b w:val="0"/>
          <w:bCs w:val="0"/>
          <w:color w:val="000000"/>
          <w:kern w:val="0"/>
          <w:sz w:val="32"/>
          <w:szCs w:val="32"/>
          <w:lang w:val="en-US" w:eastAsia="zh-CN" w:bidi="ar-SA"/>
        </w:rPr>
      </w:pPr>
      <w:r>
        <w:rPr>
          <w:rFonts w:hint="eastAsia" w:ascii="仿宋_GB2312" w:hAnsi="宋体" w:eastAsia="仿宋_GB2312" w:cs="宋体"/>
          <w:b w:val="0"/>
          <w:bCs w:val="0"/>
          <w:color w:val="auto"/>
          <w:kern w:val="0"/>
          <w:sz w:val="32"/>
          <w:szCs w:val="32"/>
          <w:lang w:val="en-US" w:eastAsia="zh-CN" w:bidi="ar-SA"/>
        </w:rPr>
        <w:t>部门预决算差异率为-0.49%，</w:t>
      </w:r>
      <w:r>
        <w:rPr>
          <w:rFonts w:hint="eastAsia" w:ascii="仿宋_GB2312" w:hAnsi="宋体" w:eastAsia="仿宋_GB2312" w:cs="宋体"/>
          <w:b w:val="0"/>
          <w:bCs w:val="0"/>
          <w:color w:val="000000"/>
          <w:kern w:val="0"/>
          <w:sz w:val="32"/>
          <w:szCs w:val="32"/>
          <w:lang w:val="en-US" w:eastAsia="zh-CN" w:bidi="ar-SA"/>
        </w:rPr>
        <w:t>差异主要原因是</w:t>
      </w:r>
      <w:r>
        <w:rPr>
          <w:rFonts w:hint="eastAsia" w:ascii="仿宋_GB2312" w:hAnsi="宋体" w:eastAsia="仿宋_GB2312" w:cs="宋体"/>
          <w:b w:val="0"/>
          <w:bCs w:val="0"/>
          <w:color w:val="auto"/>
          <w:kern w:val="0"/>
          <w:sz w:val="32"/>
          <w:szCs w:val="32"/>
          <w:lang w:val="en-US" w:eastAsia="zh-CN" w:bidi="ar-SA"/>
        </w:rPr>
        <w:t>：响应国家政策，压减各项经费，精打细算，有保有压，降本增效。</w:t>
      </w:r>
      <w:r>
        <w:rPr>
          <w:rFonts w:hint="eastAsia" w:ascii="仿宋_GB2312" w:hAnsi="宋体" w:eastAsia="仿宋_GB2312" w:cs="宋体"/>
          <w:b w:val="0"/>
          <w:bCs w:val="0"/>
          <w:color w:val="000000"/>
          <w:kern w:val="0"/>
          <w:sz w:val="32"/>
          <w:szCs w:val="32"/>
          <w:lang w:val="en-US" w:eastAsia="zh-CN" w:bidi="ar-SA"/>
        </w:rPr>
        <w:t>在今后的预算编制中，继续加强对各项因素的分析和预测，确保预算编制的准确性。</w:t>
      </w:r>
    </w:p>
    <w:p w14:paraId="06D1AF6C">
      <w:pPr>
        <w:spacing w:line="600" w:lineRule="exact"/>
        <w:ind w:left="105" w:leftChars="50" w:firstLine="480" w:firstLineChars="150"/>
        <w:rPr>
          <w:rFonts w:ascii="黑体" w:hAnsi="黑体" w:eastAsia="黑体"/>
          <w:b w:val="0"/>
          <w:bCs w:val="0"/>
          <w:sz w:val="32"/>
          <w:szCs w:val="32"/>
        </w:rPr>
      </w:pPr>
      <w:r>
        <w:rPr>
          <w:rFonts w:hint="eastAsia" w:ascii="黑体" w:hAnsi="黑体" w:eastAsia="黑体"/>
          <w:b w:val="0"/>
          <w:bCs w:val="0"/>
          <w:sz w:val="32"/>
          <w:szCs w:val="32"/>
        </w:rPr>
        <w:t>五、总体</w:t>
      </w:r>
      <w:r>
        <w:rPr>
          <w:rFonts w:ascii="黑体" w:hAnsi="黑体" w:eastAsia="黑体"/>
          <w:b w:val="0"/>
          <w:bCs w:val="0"/>
          <w:sz w:val="32"/>
          <w:szCs w:val="32"/>
        </w:rPr>
        <w:t>评价结论</w:t>
      </w:r>
    </w:p>
    <w:p w14:paraId="29C01041">
      <w:pPr>
        <w:spacing w:line="600" w:lineRule="exact"/>
        <w:ind w:left="105" w:leftChars="50" w:firstLine="480" w:firstLineChars="150"/>
        <w:rPr>
          <w:rFonts w:hint="eastAsia" w:ascii="楷体_GB2312" w:eastAsia="楷体_GB2312"/>
          <w:b w:val="0"/>
          <w:bCs w:val="0"/>
          <w:sz w:val="32"/>
          <w:szCs w:val="32"/>
          <w:lang w:eastAsia="zh-CN"/>
        </w:rPr>
      </w:pPr>
      <w:r>
        <w:rPr>
          <w:rFonts w:hint="eastAsia" w:ascii="楷体_GB2312" w:eastAsia="楷体_GB2312"/>
          <w:b w:val="0"/>
          <w:bCs w:val="0"/>
          <w:sz w:val="32"/>
          <w:szCs w:val="32"/>
        </w:rPr>
        <w:t>（一）评价</w:t>
      </w:r>
      <w:r>
        <w:rPr>
          <w:rFonts w:ascii="楷体_GB2312" w:eastAsia="楷体_GB2312"/>
          <w:b w:val="0"/>
          <w:bCs w:val="0"/>
          <w:sz w:val="32"/>
          <w:szCs w:val="32"/>
        </w:rPr>
        <w:t>得分</w:t>
      </w:r>
      <w:r>
        <w:rPr>
          <w:rFonts w:hint="eastAsia" w:ascii="楷体_GB2312" w:eastAsia="楷体_GB2312"/>
          <w:b w:val="0"/>
          <w:bCs w:val="0"/>
          <w:sz w:val="32"/>
          <w:szCs w:val="32"/>
        </w:rPr>
        <w:t>情况</w:t>
      </w:r>
    </w:p>
    <w:p w14:paraId="22D186F6">
      <w:pPr>
        <w:spacing w:line="600" w:lineRule="exact"/>
        <w:ind w:left="105" w:leftChars="50" w:firstLine="480" w:firstLineChars="150"/>
        <w:rPr>
          <w:rFonts w:hint="default" w:ascii="仿宋_GB2312" w:hAnsi="宋体" w:eastAsia="仿宋_GB2312" w:cs="宋体"/>
          <w:b w:val="0"/>
          <w:bCs w:val="0"/>
          <w:color w:val="000000"/>
          <w:kern w:val="0"/>
          <w:sz w:val="32"/>
          <w:szCs w:val="32"/>
          <w:lang w:val="en-US" w:eastAsia="zh-CN"/>
        </w:rPr>
      </w:pPr>
      <w:r>
        <w:rPr>
          <w:rFonts w:hint="eastAsia" w:ascii="仿宋_GB2312" w:hAnsi="宋体" w:eastAsia="仿宋_GB2312" w:cs="宋体"/>
          <w:b w:val="0"/>
          <w:bCs w:val="0"/>
          <w:color w:val="auto"/>
          <w:kern w:val="0"/>
          <w:sz w:val="32"/>
          <w:szCs w:val="32"/>
          <w:lang w:val="en-US" w:eastAsia="zh-CN"/>
        </w:rPr>
        <w:t>文旅局全系统2024年自评项目总数量为91个，自评平均得分为97.25分，绩效级别为“优秀”。其中：预算执行9.64分，产出指标52.53分，效益指标25.53分，满意度指标9.55分。</w:t>
      </w:r>
    </w:p>
    <w:p w14:paraId="70D03420">
      <w:pPr>
        <w:numPr>
          <w:ilvl w:val="0"/>
          <w:numId w:val="2"/>
        </w:numPr>
        <w:spacing w:line="600" w:lineRule="exact"/>
        <w:ind w:left="105" w:leftChars="50" w:firstLine="480" w:firstLineChars="150"/>
        <w:rPr>
          <w:rFonts w:hint="eastAsia" w:ascii="楷体_GB2312" w:eastAsia="楷体_GB2312"/>
          <w:b w:val="0"/>
          <w:bCs w:val="0"/>
          <w:sz w:val="32"/>
          <w:szCs w:val="32"/>
        </w:rPr>
      </w:pPr>
      <w:r>
        <w:rPr>
          <w:rFonts w:hint="eastAsia" w:ascii="楷体_GB2312" w:eastAsia="楷体_GB2312"/>
          <w:b w:val="0"/>
          <w:bCs w:val="0"/>
          <w:sz w:val="32"/>
          <w:szCs w:val="32"/>
        </w:rPr>
        <w:t>存在的问题及原因分析</w:t>
      </w:r>
    </w:p>
    <w:p w14:paraId="338D03B0">
      <w:pPr>
        <w:pStyle w:val="2"/>
        <w:numPr>
          <w:ilvl w:val="0"/>
          <w:numId w:val="0"/>
        </w:numPr>
        <w:ind w:firstLine="640" w:firstLineChars="200"/>
        <w:rPr>
          <w:rFonts w:hint="eastAsia" w:ascii="仿宋_GB2312" w:hAnsi="宋体" w:eastAsia="仿宋_GB2312" w:cs="宋体"/>
          <w:b w:val="0"/>
          <w:bCs w:val="0"/>
          <w:color w:val="000000"/>
          <w:kern w:val="0"/>
          <w:sz w:val="32"/>
          <w:szCs w:val="32"/>
          <w:lang w:val="en-US" w:eastAsia="zh-CN" w:bidi="ar-SA"/>
        </w:rPr>
      </w:pPr>
      <w:r>
        <w:rPr>
          <w:rFonts w:hint="eastAsia" w:ascii="仿宋_GB2312" w:hAnsi="宋体" w:eastAsia="仿宋_GB2312" w:cs="宋体"/>
          <w:b w:val="0"/>
          <w:bCs w:val="0"/>
          <w:color w:val="000000"/>
          <w:kern w:val="0"/>
          <w:sz w:val="32"/>
          <w:szCs w:val="32"/>
          <w:lang w:val="en-US" w:eastAsia="zh-CN" w:bidi="ar-SA"/>
        </w:rPr>
        <w:t>1.部分项目绩效目标设置不够细化：部分项目绩效目标仅设定了总体目标，缺乏具体的、可量化的绩效指标，导致在绩效评价过程中难以准确衡量项目的完成情况和效果，原因是对绩效目标编制的重视程度不够，编制人员业务水平有待提高。</w:t>
      </w:r>
    </w:p>
    <w:p w14:paraId="4FC7F9DF">
      <w:pPr>
        <w:pStyle w:val="2"/>
        <w:numPr>
          <w:ilvl w:val="0"/>
          <w:numId w:val="0"/>
        </w:numPr>
        <w:rPr>
          <w:rFonts w:hint="eastAsia" w:ascii="仿宋_GB2312" w:hAnsi="宋体" w:eastAsia="仿宋_GB2312" w:cs="宋体"/>
          <w:b w:val="0"/>
          <w:bCs w:val="0"/>
          <w:color w:val="000000"/>
          <w:kern w:val="0"/>
          <w:sz w:val="32"/>
          <w:szCs w:val="32"/>
          <w:lang w:val="en-US" w:eastAsia="zh-CN" w:bidi="ar-SA"/>
        </w:rPr>
      </w:pPr>
      <w:r>
        <w:rPr>
          <w:rFonts w:hint="eastAsia" w:ascii="仿宋_GB2312" w:hAnsi="宋体" w:eastAsia="仿宋_GB2312" w:cs="宋体"/>
          <w:b w:val="0"/>
          <w:bCs w:val="0"/>
          <w:color w:val="000000"/>
          <w:kern w:val="0"/>
          <w:sz w:val="32"/>
          <w:szCs w:val="32"/>
          <w:lang w:val="en-US" w:eastAsia="zh-CN" w:bidi="ar-SA"/>
        </w:rPr>
        <w:tab/>
      </w:r>
      <w:r>
        <w:rPr>
          <w:rFonts w:hint="eastAsia" w:ascii="仿宋_GB2312" w:hAnsi="宋体" w:eastAsia="仿宋_GB2312" w:cs="宋体"/>
          <w:b w:val="0"/>
          <w:bCs w:val="0"/>
          <w:color w:val="000000"/>
          <w:kern w:val="0"/>
          <w:sz w:val="32"/>
          <w:szCs w:val="32"/>
          <w:lang w:val="en-US" w:eastAsia="zh-CN" w:bidi="ar-SA"/>
        </w:rPr>
        <w:t xml:space="preserve"> 2.绩效管理信息化水平有待提升：目前绩效管理主要依靠人工记录和统计，数据收集和分析效率较低，且容易出现错误，缺乏专业的绩效管理信息系统，无法实现绩效数据的实时监控和动态管理，原因是对信息化建设投入不足，信息化意识不够强。</w:t>
      </w:r>
    </w:p>
    <w:p w14:paraId="638FA014">
      <w:pPr>
        <w:pStyle w:val="2"/>
        <w:numPr>
          <w:ilvl w:val="0"/>
          <w:numId w:val="0"/>
        </w:numPr>
        <w:rPr>
          <w:rFonts w:hint="eastAsia" w:ascii="仿宋_GB2312" w:hAnsi="宋体" w:eastAsia="仿宋_GB2312" w:cs="宋体"/>
          <w:b w:val="0"/>
          <w:bCs w:val="0"/>
          <w:color w:val="000000"/>
          <w:kern w:val="0"/>
          <w:sz w:val="32"/>
          <w:szCs w:val="32"/>
          <w:lang w:val="en-US" w:eastAsia="zh-CN" w:bidi="ar-SA"/>
        </w:rPr>
      </w:pPr>
      <w:r>
        <w:rPr>
          <w:rFonts w:hint="eastAsia" w:ascii="仿宋_GB2312" w:hAnsi="宋体" w:eastAsia="仿宋_GB2312" w:cs="宋体"/>
          <w:b w:val="0"/>
          <w:bCs w:val="0"/>
          <w:color w:val="000000"/>
          <w:kern w:val="0"/>
          <w:sz w:val="32"/>
          <w:szCs w:val="32"/>
          <w:lang w:val="en-US" w:eastAsia="zh-CN" w:bidi="ar-SA"/>
        </w:rPr>
        <w:tab/>
      </w:r>
      <w:r>
        <w:rPr>
          <w:rFonts w:hint="eastAsia" w:ascii="仿宋_GB2312" w:hAnsi="宋体" w:eastAsia="仿宋_GB2312" w:cs="宋体"/>
          <w:b w:val="0"/>
          <w:bCs w:val="0"/>
          <w:color w:val="000000"/>
          <w:kern w:val="0"/>
          <w:sz w:val="32"/>
          <w:szCs w:val="32"/>
          <w:lang w:val="en-US" w:eastAsia="zh-CN" w:bidi="ar-SA"/>
        </w:rPr>
        <w:t xml:space="preserve"> 3.绩效评价结果应用不够充分：虽然将绩效评价结果作为预算安排的重要依据，但在项目调整、改进管理等方面应用不够深入，未能充分发挥绩效评价的导向和激励作用，原因是缺乏完善的绩效评价结果应用机制，对结果应用的重视程度不够。</w:t>
      </w:r>
    </w:p>
    <w:p w14:paraId="6729F012">
      <w:pPr>
        <w:spacing w:line="600" w:lineRule="exact"/>
        <w:ind w:firstLine="640" w:firstLineChars="200"/>
        <w:rPr>
          <w:rFonts w:hint="eastAsia" w:ascii="仿宋_GB2312" w:hAnsi="宋体" w:eastAsia="仿宋_GB2312" w:cs="宋体"/>
          <w:b w:val="0"/>
          <w:bCs w:val="0"/>
          <w:color w:val="000000"/>
          <w:kern w:val="0"/>
          <w:sz w:val="32"/>
          <w:szCs w:val="32"/>
          <w:lang w:eastAsia="zh-CN"/>
        </w:rPr>
      </w:pPr>
      <w:r>
        <w:rPr>
          <w:rFonts w:hint="eastAsia" w:ascii="黑体" w:hAnsi="黑体" w:eastAsia="黑体" w:cs="宋体"/>
          <w:b w:val="0"/>
          <w:bCs w:val="0"/>
          <w:color w:val="000000"/>
          <w:kern w:val="0"/>
          <w:sz w:val="32"/>
          <w:szCs w:val="32"/>
        </w:rPr>
        <w:t>六、措施建议</w:t>
      </w:r>
      <w:r>
        <w:rPr>
          <w:rFonts w:hint="eastAsia" w:ascii="仿宋_GB2312" w:hAnsi="宋体" w:eastAsia="仿宋_GB2312" w:cs="宋体"/>
          <w:b w:val="0"/>
          <w:bCs w:val="0"/>
          <w:color w:val="000000"/>
          <w:kern w:val="0"/>
          <w:sz w:val="32"/>
          <w:szCs w:val="32"/>
        </w:rPr>
        <w:t>（整改措施、下一步工作举措</w:t>
      </w:r>
      <w:r>
        <w:rPr>
          <w:rFonts w:hint="eastAsia" w:ascii="仿宋_GB2312" w:hAnsi="宋体" w:eastAsia="仿宋_GB2312" w:cs="宋体"/>
          <w:b w:val="0"/>
          <w:bCs w:val="0"/>
          <w:color w:val="000000"/>
          <w:kern w:val="0"/>
          <w:sz w:val="32"/>
          <w:szCs w:val="32"/>
          <w:lang w:eastAsia="zh-CN"/>
        </w:rPr>
        <w:t>）</w:t>
      </w:r>
    </w:p>
    <w:p w14:paraId="6CDD74B2">
      <w:pPr>
        <w:spacing w:line="600" w:lineRule="exact"/>
        <w:ind w:firstLine="640" w:firstLineChars="200"/>
        <w:rPr>
          <w:rFonts w:hint="eastAsia" w:ascii="仿宋_GB2312" w:hAnsi="宋体" w:eastAsia="仿宋_GB2312" w:cs="宋体"/>
          <w:b w:val="0"/>
          <w:bCs w:val="0"/>
          <w:color w:val="000000"/>
          <w:kern w:val="0"/>
          <w:sz w:val="32"/>
          <w:szCs w:val="32"/>
          <w:lang w:val="en-US" w:eastAsia="zh-CN" w:bidi="ar-SA"/>
        </w:rPr>
      </w:pPr>
      <w:r>
        <w:rPr>
          <w:rFonts w:hint="eastAsia" w:ascii="仿宋_GB2312" w:hAnsi="宋体" w:eastAsia="仿宋_GB2312" w:cs="宋体"/>
          <w:b w:val="0"/>
          <w:bCs w:val="0"/>
          <w:color w:val="000000"/>
          <w:kern w:val="0"/>
          <w:sz w:val="32"/>
          <w:szCs w:val="32"/>
          <w:lang w:val="en-US" w:eastAsia="zh-CN" w:bidi="ar-SA"/>
        </w:rPr>
        <w:t>（一）整改措施</w:t>
      </w:r>
    </w:p>
    <w:p w14:paraId="54DA119E">
      <w:pPr>
        <w:pStyle w:val="2"/>
        <w:numPr>
          <w:ilvl w:val="0"/>
          <w:numId w:val="0"/>
        </w:numPr>
        <w:ind w:firstLine="640" w:firstLineChars="200"/>
        <w:rPr>
          <w:rFonts w:hint="eastAsia" w:ascii="仿宋_GB2312" w:hAnsi="宋体" w:eastAsia="仿宋_GB2312" w:cs="宋体"/>
          <w:b w:val="0"/>
          <w:bCs w:val="0"/>
          <w:color w:val="000000"/>
          <w:kern w:val="0"/>
          <w:sz w:val="32"/>
          <w:szCs w:val="32"/>
          <w:lang w:val="en-US" w:eastAsia="zh-CN" w:bidi="ar-SA"/>
        </w:rPr>
      </w:pPr>
      <w:r>
        <w:rPr>
          <w:rFonts w:hint="eastAsia" w:ascii="仿宋_GB2312" w:hAnsi="宋体" w:eastAsia="仿宋_GB2312" w:cs="宋体"/>
          <w:b w:val="0"/>
          <w:bCs w:val="0"/>
          <w:color w:val="000000"/>
          <w:kern w:val="0"/>
          <w:sz w:val="32"/>
          <w:szCs w:val="32"/>
          <w:lang w:val="en-US" w:eastAsia="zh-CN" w:bidi="ar-SA"/>
        </w:rPr>
        <w:t>1.加强绩效目标编制培训：多组织相关人员参加绩效目标编制培训，学习绩效目标编制的方法和技巧，提高绩效目标编制的科学性和规范性，要求在编制绩效目标时，必须明确具体的绩效指标和指标值，确保绩效目标可衡量、可考核。</w:t>
      </w:r>
    </w:p>
    <w:p w14:paraId="305B1BDB">
      <w:pPr>
        <w:pStyle w:val="2"/>
        <w:numPr>
          <w:ilvl w:val="0"/>
          <w:numId w:val="0"/>
        </w:numPr>
        <w:ind w:firstLine="640" w:firstLineChars="200"/>
        <w:rPr>
          <w:rFonts w:hint="eastAsia" w:ascii="仿宋_GB2312" w:hAnsi="宋体" w:eastAsia="仿宋_GB2312" w:cs="宋体"/>
          <w:b w:val="0"/>
          <w:bCs w:val="0"/>
          <w:color w:val="000000"/>
          <w:kern w:val="0"/>
          <w:sz w:val="32"/>
          <w:szCs w:val="32"/>
          <w:lang w:val="en-US" w:eastAsia="zh-CN" w:bidi="ar-SA"/>
        </w:rPr>
      </w:pPr>
      <w:r>
        <w:rPr>
          <w:rFonts w:hint="eastAsia" w:ascii="仿宋_GB2312" w:hAnsi="宋体" w:eastAsia="仿宋_GB2312" w:cs="宋体"/>
          <w:b w:val="0"/>
          <w:bCs w:val="0"/>
          <w:color w:val="000000"/>
          <w:kern w:val="0"/>
          <w:sz w:val="32"/>
          <w:szCs w:val="32"/>
          <w:lang w:val="en-US" w:eastAsia="zh-CN" w:bidi="ar-SA"/>
        </w:rPr>
        <w:t>2.推进绩效管理信息化建设：加大对绩效管理信息化建设的投入，引入专业的绩效管理信息系统，实现绩效目标录入、绩效监控、绩效评价、结果查询等功能的信息化管理，提高绩效管理效率和数据准确性。</w:t>
      </w:r>
    </w:p>
    <w:p w14:paraId="6925DF62">
      <w:pPr>
        <w:pStyle w:val="2"/>
        <w:numPr>
          <w:ilvl w:val="0"/>
          <w:numId w:val="0"/>
        </w:numPr>
        <w:ind w:firstLine="640" w:firstLineChars="200"/>
        <w:rPr>
          <w:rFonts w:hint="eastAsia" w:ascii="仿宋_GB2312" w:hAnsi="宋体" w:eastAsia="仿宋_GB2312" w:cs="宋体"/>
          <w:b w:val="0"/>
          <w:bCs w:val="0"/>
          <w:color w:val="000000"/>
          <w:kern w:val="0"/>
          <w:sz w:val="32"/>
          <w:szCs w:val="32"/>
          <w:lang w:val="en-US" w:eastAsia="zh-CN" w:bidi="ar-SA"/>
        </w:rPr>
      </w:pPr>
      <w:r>
        <w:rPr>
          <w:rFonts w:hint="eastAsia" w:ascii="仿宋_GB2312" w:hAnsi="宋体" w:eastAsia="仿宋_GB2312" w:cs="宋体"/>
          <w:b w:val="0"/>
          <w:bCs w:val="0"/>
          <w:color w:val="000000"/>
          <w:kern w:val="0"/>
          <w:sz w:val="32"/>
          <w:szCs w:val="32"/>
          <w:lang w:val="en-US" w:eastAsia="zh-CN" w:bidi="ar-SA"/>
        </w:rPr>
        <w:t>3.完善绩效评价结果应用机制：建立健全绩效评价结果与预算安排、项目调整、改进管理、问责问效等挂钩的机制，明确结果应用的具体方式和程序，强化绩效评价结果的刚性约束 。</w:t>
      </w:r>
    </w:p>
    <w:p w14:paraId="5A56765E">
      <w:pPr>
        <w:pStyle w:val="2"/>
        <w:numPr>
          <w:ilvl w:val="0"/>
          <w:numId w:val="0"/>
        </w:numPr>
        <w:rPr>
          <w:rFonts w:hint="eastAsia" w:ascii="仿宋_GB2312" w:hAnsi="宋体" w:eastAsia="仿宋_GB2312" w:cs="宋体"/>
          <w:b w:val="0"/>
          <w:bCs w:val="0"/>
          <w:color w:val="000000"/>
          <w:kern w:val="0"/>
          <w:sz w:val="32"/>
          <w:szCs w:val="32"/>
          <w:lang w:val="en-US" w:eastAsia="zh-CN" w:bidi="ar-SA"/>
        </w:rPr>
      </w:pPr>
      <w:r>
        <w:rPr>
          <w:rFonts w:hint="eastAsia" w:ascii="仿宋_GB2312" w:hAnsi="宋体" w:eastAsia="仿宋_GB2312" w:cs="宋体"/>
          <w:b w:val="0"/>
          <w:bCs w:val="0"/>
          <w:color w:val="000000"/>
          <w:kern w:val="0"/>
          <w:sz w:val="32"/>
          <w:szCs w:val="32"/>
          <w:lang w:val="en-US" w:eastAsia="zh-CN" w:bidi="ar-SA"/>
        </w:rPr>
        <w:t>（二）下一步工作举措</w:t>
      </w:r>
    </w:p>
    <w:p w14:paraId="7546BF71">
      <w:pPr>
        <w:pStyle w:val="2"/>
        <w:numPr>
          <w:ilvl w:val="0"/>
          <w:numId w:val="0"/>
        </w:numPr>
        <w:rPr>
          <w:rFonts w:hint="eastAsia" w:ascii="仿宋_GB2312" w:hAnsi="宋体" w:eastAsia="仿宋_GB2312" w:cs="宋体"/>
          <w:b w:val="0"/>
          <w:bCs w:val="0"/>
          <w:color w:val="000000"/>
          <w:kern w:val="0"/>
          <w:sz w:val="32"/>
          <w:szCs w:val="32"/>
          <w:lang w:val="en-US" w:eastAsia="zh-CN" w:bidi="ar-SA"/>
        </w:rPr>
      </w:pPr>
      <w:r>
        <w:rPr>
          <w:rFonts w:hint="eastAsia" w:ascii="仿宋_GB2312" w:hAnsi="宋体" w:eastAsia="仿宋_GB2312" w:cs="宋体"/>
          <w:b w:val="0"/>
          <w:bCs w:val="0"/>
          <w:color w:val="000000"/>
          <w:kern w:val="0"/>
          <w:sz w:val="32"/>
          <w:szCs w:val="32"/>
          <w:lang w:val="en-US" w:eastAsia="zh-CN" w:bidi="ar-SA"/>
        </w:rPr>
        <w:tab/>
      </w:r>
      <w:r>
        <w:rPr>
          <w:rFonts w:hint="eastAsia" w:ascii="仿宋_GB2312" w:hAnsi="宋体" w:eastAsia="仿宋_GB2312" w:cs="宋体"/>
          <w:b w:val="0"/>
          <w:bCs w:val="0"/>
          <w:color w:val="000000"/>
          <w:kern w:val="0"/>
          <w:sz w:val="32"/>
          <w:szCs w:val="32"/>
          <w:lang w:val="en-US" w:eastAsia="zh-CN" w:bidi="ar-SA"/>
        </w:rPr>
        <w:t>1.</w:t>
      </w:r>
      <w:r>
        <w:rPr>
          <w:rFonts w:hint="eastAsia" w:ascii="仿宋_GB2312" w:hAnsi="宋体" w:eastAsia="仿宋_GB2312" w:cs="宋体"/>
          <w:b w:val="0"/>
          <w:bCs w:val="0"/>
          <w:color w:val="000000"/>
          <w:kern w:val="0"/>
          <w:sz w:val="32"/>
          <w:szCs w:val="32"/>
          <w:lang w:val="en-US" w:eastAsia="zh-CN" w:bidi="ar-SA"/>
        </w:rPr>
        <w:tab/>
      </w:r>
      <w:r>
        <w:rPr>
          <w:rFonts w:hint="eastAsia" w:ascii="仿宋_GB2312" w:hAnsi="宋体" w:eastAsia="仿宋_GB2312" w:cs="宋体"/>
          <w:b w:val="0"/>
          <w:bCs w:val="0"/>
          <w:color w:val="000000"/>
          <w:kern w:val="0"/>
          <w:sz w:val="32"/>
          <w:szCs w:val="32"/>
          <w:lang w:val="en-US" w:eastAsia="zh-CN" w:bidi="ar-SA"/>
        </w:rPr>
        <w:t>持续优化预算管理：加强预算编制的前瞻性和准确性，结合部门发展规划和工作重点，合理安排预算资金；强化预算执行监控，定期对预算执行情况进行分析和通报，及时发现并解决预算执行中存在的问题；严格预算调整和追加管理，规范预算调整和追加程序。</w:t>
      </w:r>
    </w:p>
    <w:p w14:paraId="4C344CDB">
      <w:pPr>
        <w:pStyle w:val="2"/>
        <w:numPr>
          <w:ilvl w:val="0"/>
          <w:numId w:val="0"/>
        </w:numPr>
        <w:rPr>
          <w:rFonts w:hint="eastAsia" w:ascii="仿宋_GB2312" w:hAnsi="宋体" w:eastAsia="仿宋_GB2312" w:cs="宋体"/>
          <w:b w:val="0"/>
          <w:bCs w:val="0"/>
          <w:color w:val="000000"/>
          <w:kern w:val="0"/>
          <w:sz w:val="32"/>
          <w:szCs w:val="32"/>
          <w:lang w:val="en-US" w:eastAsia="zh-CN" w:bidi="ar-SA"/>
        </w:rPr>
      </w:pPr>
      <w:r>
        <w:rPr>
          <w:rFonts w:hint="eastAsia" w:ascii="仿宋_GB2312" w:hAnsi="宋体" w:eastAsia="仿宋_GB2312" w:cs="宋体"/>
          <w:b w:val="0"/>
          <w:bCs w:val="0"/>
          <w:color w:val="000000"/>
          <w:kern w:val="0"/>
          <w:sz w:val="32"/>
          <w:szCs w:val="32"/>
          <w:lang w:val="en-US" w:eastAsia="zh-CN" w:bidi="ar-SA"/>
        </w:rPr>
        <w:tab/>
      </w:r>
      <w:r>
        <w:rPr>
          <w:rFonts w:hint="eastAsia" w:ascii="仿宋_GB2312" w:hAnsi="宋体" w:eastAsia="仿宋_GB2312" w:cs="宋体"/>
          <w:b w:val="0"/>
          <w:bCs w:val="0"/>
          <w:color w:val="000000"/>
          <w:kern w:val="0"/>
          <w:sz w:val="32"/>
          <w:szCs w:val="32"/>
          <w:lang w:val="en-US" w:eastAsia="zh-CN" w:bidi="ar-SA"/>
        </w:rPr>
        <w:t>2.</w:t>
      </w:r>
      <w:r>
        <w:rPr>
          <w:rFonts w:hint="eastAsia" w:ascii="仿宋_GB2312" w:hAnsi="宋体" w:eastAsia="仿宋_GB2312" w:cs="宋体"/>
          <w:b w:val="0"/>
          <w:bCs w:val="0"/>
          <w:color w:val="000000"/>
          <w:kern w:val="0"/>
          <w:sz w:val="32"/>
          <w:szCs w:val="32"/>
          <w:lang w:val="en-US" w:eastAsia="zh-CN" w:bidi="ar-SA"/>
        </w:rPr>
        <w:tab/>
      </w:r>
      <w:r>
        <w:rPr>
          <w:rFonts w:hint="eastAsia" w:ascii="仿宋_GB2312" w:hAnsi="宋体" w:eastAsia="仿宋_GB2312" w:cs="宋体"/>
          <w:b w:val="0"/>
          <w:bCs w:val="0"/>
          <w:color w:val="000000"/>
          <w:kern w:val="0"/>
          <w:sz w:val="32"/>
          <w:szCs w:val="32"/>
          <w:lang w:val="en-US" w:eastAsia="zh-CN" w:bidi="ar-SA"/>
        </w:rPr>
        <w:t>提升项目管理水平：加强项目前期论证和可行性研究，确保项目立项的科学性和合理性；规范项目实施过程管理，严格按照项目实施方案和进度计划推进项目实施；加强项目验收和绩效评价，及时总结项目经验教训，不断提高项目管理水平和资金使用效益。</w:t>
      </w:r>
    </w:p>
    <w:p w14:paraId="3DDA5FB3">
      <w:pPr>
        <w:pStyle w:val="2"/>
        <w:numPr>
          <w:ilvl w:val="0"/>
          <w:numId w:val="0"/>
        </w:numPr>
        <w:rPr>
          <w:rFonts w:hint="eastAsia"/>
          <w:lang w:eastAsia="zh-CN"/>
        </w:rPr>
      </w:pPr>
      <w:r>
        <w:rPr>
          <w:rFonts w:hint="eastAsia" w:ascii="仿宋_GB2312" w:hAnsi="宋体" w:eastAsia="仿宋_GB2312" w:cs="宋体"/>
          <w:b w:val="0"/>
          <w:bCs w:val="0"/>
          <w:color w:val="000000"/>
          <w:kern w:val="0"/>
          <w:sz w:val="32"/>
          <w:szCs w:val="32"/>
          <w:lang w:val="en-US" w:eastAsia="zh-CN" w:bidi="ar-SA"/>
        </w:rPr>
        <w:tab/>
      </w:r>
      <w:r>
        <w:rPr>
          <w:rFonts w:hint="eastAsia" w:ascii="仿宋_GB2312" w:hAnsi="宋体" w:eastAsia="仿宋_GB2312" w:cs="宋体"/>
          <w:b w:val="0"/>
          <w:bCs w:val="0"/>
          <w:color w:val="000000"/>
          <w:kern w:val="0"/>
          <w:sz w:val="32"/>
          <w:szCs w:val="32"/>
          <w:lang w:val="en-US" w:eastAsia="zh-CN" w:bidi="ar-SA"/>
        </w:rPr>
        <w:t>3.</w:t>
      </w:r>
      <w:r>
        <w:rPr>
          <w:rFonts w:hint="eastAsia" w:ascii="仿宋_GB2312" w:hAnsi="宋体" w:eastAsia="仿宋_GB2312" w:cs="宋体"/>
          <w:b w:val="0"/>
          <w:bCs w:val="0"/>
          <w:color w:val="000000"/>
          <w:kern w:val="0"/>
          <w:sz w:val="32"/>
          <w:szCs w:val="32"/>
          <w:lang w:val="en-US" w:eastAsia="zh-CN" w:bidi="ar-SA"/>
        </w:rPr>
        <w:tab/>
      </w:r>
      <w:r>
        <w:rPr>
          <w:rFonts w:hint="eastAsia" w:ascii="仿宋_GB2312" w:hAnsi="宋体" w:eastAsia="仿宋_GB2312" w:cs="宋体"/>
          <w:b w:val="0"/>
          <w:bCs w:val="0"/>
          <w:color w:val="000000"/>
          <w:kern w:val="0"/>
          <w:sz w:val="32"/>
          <w:szCs w:val="32"/>
          <w:lang w:val="en-US" w:eastAsia="zh-CN" w:bidi="ar-SA"/>
        </w:rPr>
        <w:t>加强部门协同配合：文化和旅游工作涉及多个部门和领域，需要加强部门之间的协同配合，建立健全沟通协调机制，形成工作合力，共同推进文化和旅游事业的发展 。</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4E7251">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DD25B90">
                          <w:pPr>
                            <w:pStyle w:val="3"/>
                          </w:pPr>
                          <w:r>
                            <w:fldChar w:fldCharType="begin"/>
                          </w:r>
                          <w:r>
                            <w:instrText xml:space="preserve"> PAGE  \* MERGEFORMAT </w:instrText>
                          </w:r>
                          <w:r>
                            <w:fldChar w:fldCharType="separate"/>
                          </w:r>
                          <w:r>
                            <w:t>- 10 -</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6DD25B90">
                    <w:pPr>
                      <w:pStyle w:val="3"/>
                    </w:pPr>
                    <w:r>
                      <w:fldChar w:fldCharType="begin"/>
                    </w:r>
                    <w:r>
                      <w:instrText xml:space="preserve"> PAGE  \* MERGEFORMAT </w:instrText>
                    </w:r>
                    <w:r>
                      <w:fldChar w:fldCharType="separate"/>
                    </w:r>
                    <w:r>
                      <w:t>- 10 -</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79BBB58"/>
    <w:multiLevelType w:val="singleLevel"/>
    <w:tmpl w:val="E79BBB58"/>
    <w:lvl w:ilvl="0" w:tentative="0">
      <w:start w:val="2"/>
      <w:numFmt w:val="chineseCounting"/>
      <w:suff w:val="nothing"/>
      <w:lvlText w:val="（%1）"/>
      <w:lvlJc w:val="left"/>
      <w:rPr>
        <w:rFonts w:hint="eastAsia"/>
      </w:rPr>
    </w:lvl>
  </w:abstractNum>
  <w:abstractNum w:abstractNumId="1">
    <w:nsid w:val="0A6EFC24"/>
    <w:multiLevelType w:val="singleLevel"/>
    <w:tmpl w:val="0A6EFC24"/>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AE3E9D"/>
    <w:rsid w:val="00B74503"/>
    <w:rsid w:val="08F100CC"/>
    <w:rsid w:val="09BF7490"/>
    <w:rsid w:val="0F135E80"/>
    <w:rsid w:val="149C6B07"/>
    <w:rsid w:val="1A6E211F"/>
    <w:rsid w:val="1BCC3CE6"/>
    <w:rsid w:val="280B28B9"/>
    <w:rsid w:val="286B1575"/>
    <w:rsid w:val="331F6D47"/>
    <w:rsid w:val="41CF1F6F"/>
    <w:rsid w:val="459A72B8"/>
    <w:rsid w:val="483E3EB5"/>
    <w:rsid w:val="4A382EA2"/>
    <w:rsid w:val="4C994472"/>
    <w:rsid w:val="4CA8446C"/>
    <w:rsid w:val="4FAC64A5"/>
    <w:rsid w:val="507D450E"/>
    <w:rsid w:val="5A331CA5"/>
    <w:rsid w:val="68AE3E9D"/>
    <w:rsid w:val="72700A47"/>
    <w:rsid w:val="769824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ind w:firstLine="200" w:firstLineChars="200"/>
    </w:pPr>
  </w:style>
  <w:style w:type="paragraph" w:styleId="3">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0</Words>
  <Characters>0</Characters>
  <Lines>0</Lines>
  <Paragraphs>0</Paragraphs>
  <TotalTime>6</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2025-07-24T06:37:00Z</dcterms:created>
  <dc:creator>糖果玥</dc:creator>
  <cp:lastModifiedBy>石彦珍</cp:lastModifiedBy>
  <dcterms:modified xsi:type="dcterms:W3CDTF">2026-03-02T02:13:35Z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322B5AFB08964C08A9935BF6B1E18821_12</vt:lpwstr>
  </property>
</Properties>
</file>