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10282" w:type="dxa"/>
        <w:jc w:val="center"/>
        <w:tblInd w:w="0" w:type="dxa"/>
        <w:tblLayout w:type="fixed"/>
        <w:tblCellMar>
          <w:top w:w="0" w:type="dxa"/>
          <w:left w:w="108" w:type="dxa"/>
          <w:bottom w:w="0" w:type="dxa"/>
          <w:right w:w="108" w:type="dxa"/>
        </w:tblCellMar>
      </w:tblPr>
      <w:tblGrid>
        <w:gridCol w:w="578"/>
        <w:gridCol w:w="963"/>
        <w:gridCol w:w="1092"/>
        <w:gridCol w:w="718"/>
        <w:gridCol w:w="1114"/>
        <w:gridCol w:w="397"/>
        <w:gridCol w:w="1660"/>
        <w:gridCol w:w="1271"/>
        <w:gridCol w:w="134"/>
        <w:gridCol w:w="404"/>
        <w:gridCol w:w="416"/>
        <w:gridCol w:w="141"/>
        <w:gridCol w:w="695"/>
        <w:gridCol w:w="699"/>
      </w:tblGrid>
      <w:tr>
        <w:tblPrEx>
          <w:tblLayout w:type="fixed"/>
          <w:tblCellMar>
            <w:top w:w="0" w:type="dxa"/>
            <w:left w:w="108" w:type="dxa"/>
            <w:bottom w:w="0" w:type="dxa"/>
            <w:right w:w="108" w:type="dxa"/>
          </w:tblCellMar>
        </w:tblPrEx>
        <w:trPr>
          <w:trHeight w:val="440" w:hRule="exact"/>
          <w:jc w:val="center"/>
        </w:trPr>
        <w:tc>
          <w:tcPr>
            <w:tcW w:w="10282"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10282"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2024年度）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8741"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2024“白塔夜话”文化系列活动</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981"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355"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98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35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20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8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252万元</w:t>
            </w:r>
          </w:p>
        </w:tc>
        <w:tc>
          <w:tcPr>
            <w:tcW w:w="20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252万元</w:t>
            </w: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color w:val="000000"/>
                <w:sz w:val="15"/>
                <w:szCs w:val="15"/>
              </w:rPr>
              <w:t>251.5</w:t>
            </w:r>
            <w:r>
              <w:rPr>
                <w:rFonts w:hint="eastAsia" w:ascii="宋体" w:hAnsi="宋体" w:eastAsia="宋体" w:cs="宋体"/>
                <w:kern w:val="0"/>
                <w:sz w:val="18"/>
                <w:szCs w:val="18"/>
              </w:rPr>
              <w:t>万元</w:t>
            </w:r>
          </w:p>
        </w:tc>
        <w:tc>
          <w:tcPr>
            <w:tcW w:w="8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99.8%</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252万元</w:t>
            </w:r>
          </w:p>
        </w:tc>
        <w:tc>
          <w:tcPr>
            <w:tcW w:w="20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252万元</w:t>
            </w: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color w:val="000000"/>
                <w:sz w:val="15"/>
                <w:szCs w:val="15"/>
              </w:rPr>
              <w:t>251.5</w:t>
            </w:r>
            <w:r>
              <w:rPr>
                <w:rFonts w:hint="eastAsia" w:ascii="宋体" w:hAnsi="宋体" w:eastAsia="宋体" w:cs="宋体"/>
                <w:kern w:val="0"/>
                <w:sz w:val="18"/>
                <w:szCs w:val="18"/>
              </w:rPr>
              <w:t>万元</w:t>
            </w:r>
          </w:p>
        </w:tc>
        <w:tc>
          <w:tcPr>
            <w:tcW w:w="8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94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预期目标</w:t>
            </w:r>
          </w:p>
        </w:tc>
        <w:tc>
          <w:tcPr>
            <w:tcW w:w="376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实际完成情况</w:t>
            </w:r>
          </w:p>
        </w:tc>
      </w:tr>
      <w:tr>
        <w:tblPrEx>
          <w:tblLayout w:type="fixed"/>
          <w:tblCellMar>
            <w:top w:w="0" w:type="dxa"/>
            <w:left w:w="108" w:type="dxa"/>
            <w:bottom w:w="0" w:type="dxa"/>
            <w:right w:w="108" w:type="dxa"/>
          </w:tblCellMar>
        </w:tblPrEx>
        <w:trPr>
          <w:trHeight w:val="425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944"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Style w:val="6"/>
                <w:rFonts w:hint="eastAsia" w:ascii="宋体" w:hAnsi="宋体" w:eastAsia="宋体" w:cs="宋体"/>
                <w:b w:val="0"/>
                <w:bCs w:val="0"/>
                <w:kern w:val="0"/>
                <w:sz w:val="18"/>
                <w:szCs w:val="18"/>
              </w:rPr>
            </w:pPr>
            <w:r>
              <w:rPr>
                <w:rFonts w:hint="eastAsia" w:ascii="宋体" w:hAnsi="宋体" w:eastAsia="宋体" w:cs="宋体"/>
                <w:kern w:val="0"/>
                <w:sz w:val="18"/>
                <w:szCs w:val="18"/>
              </w:rPr>
              <w:t>通过系列活动开展，进一步推动</w:t>
            </w:r>
            <w:r>
              <w:rPr>
                <w:rFonts w:ascii="宋体" w:hAnsi="宋体" w:eastAsia="宋体" w:cs="宋体"/>
                <w:kern w:val="0"/>
                <w:sz w:val="18"/>
                <w:szCs w:val="18"/>
              </w:rPr>
              <w:t>文化传承与发展</w:t>
            </w:r>
            <w:r>
              <w:rPr>
                <w:rFonts w:hint="eastAsia" w:ascii="宋体" w:hAnsi="宋体" w:eastAsia="宋体" w:cs="宋体"/>
                <w:kern w:val="0"/>
                <w:sz w:val="18"/>
                <w:szCs w:val="18"/>
              </w:rPr>
              <w:t>,</w:t>
            </w:r>
            <w:r>
              <w:rPr>
                <w:rFonts w:ascii="宋体" w:hAnsi="宋体" w:eastAsia="宋体" w:cs="宋体"/>
                <w:kern w:val="0"/>
                <w:sz w:val="18"/>
                <w:szCs w:val="18"/>
              </w:rPr>
              <w:t xml:space="preserve"> </w:t>
            </w:r>
            <w:r>
              <w:rPr>
                <w:rFonts w:hint="eastAsia" w:ascii="宋体" w:hAnsi="宋体" w:eastAsia="宋体" w:cs="宋体"/>
                <w:kern w:val="0"/>
                <w:sz w:val="18"/>
                <w:szCs w:val="18"/>
              </w:rPr>
              <w:t>促进</w:t>
            </w:r>
            <w:r>
              <w:rPr>
                <w:rFonts w:ascii="宋体" w:hAnsi="宋体" w:eastAsia="宋体" w:cs="宋体"/>
                <w:kern w:val="0"/>
                <w:sz w:val="18"/>
                <w:szCs w:val="18"/>
              </w:rPr>
              <w:t>文商旅融合</w:t>
            </w:r>
            <w:r>
              <w:rPr>
                <w:rFonts w:hint="eastAsia" w:ascii="宋体" w:hAnsi="宋体" w:eastAsia="宋体" w:cs="宋体"/>
                <w:kern w:val="0"/>
                <w:sz w:val="18"/>
                <w:szCs w:val="18"/>
              </w:rPr>
              <w:t>,</w:t>
            </w:r>
            <w:r>
              <w:rPr>
                <w:rFonts w:ascii="宋体" w:hAnsi="宋体" w:eastAsia="宋体" w:cs="宋体"/>
                <w:kern w:val="0"/>
                <w:sz w:val="18"/>
                <w:szCs w:val="18"/>
              </w:rPr>
              <w:t xml:space="preserve"> </w:t>
            </w:r>
            <w:r>
              <w:rPr>
                <w:rFonts w:hint="eastAsia" w:ascii="宋体" w:hAnsi="宋体" w:eastAsia="宋体" w:cs="宋体"/>
                <w:kern w:val="0"/>
                <w:sz w:val="18"/>
                <w:szCs w:val="18"/>
              </w:rPr>
              <w:t>加强</w:t>
            </w:r>
            <w:r>
              <w:rPr>
                <w:rFonts w:ascii="宋体" w:hAnsi="宋体" w:eastAsia="宋体" w:cs="宋体"/>
                <w:kern w:val="0"/>
                <w:sz w:val="18"/>
                <w:szCs w:val="18"/>
              </w:rPr>
              <w:t>文化传播与推广</w:t>
            </w:r>
            <w:r>
              <w:rPr>
                <w:rFonts w:hint="eastAsia" w:ascii="宋体" w:hAnsi="宋体" w:eastAsia="宋体" w:cs="宋体"/>
                <w:kern w:val="0"/>
                <w:sz w:val="18"/>
                <w:szCs w:val="18"/>
              </w:rPr>
              <w:t>,</w:t>
            </w:r>
            <w:r>
              <w:rPr>
                <w:rFonts w:ascii="宋体" w:hAnsi="宋体" w:eastAsia="宋体" w:cs="宋体"/>
                <w:kern w:val="0"/>
                <w:sz w:val="18"/>
                <w:szCs w:val="18"/>
              </w:rPr>
              <w:t xml:space="preserve"> 丰富夜间经济与休闲体验</w:t>
            </w:r>
            <w:r>
              <w:rPr>
                <w:rFonts w:hint="eastAsia" w:ascii="宋体" w:hAnsi="宋体" w:eastAsia="宋体" w:cs="宋体"/>
                <w:kern w:val="0"/>
                <w:sz w:val="18"/>
                <w:szCs w:val="18"/>
              </w:rPr>
              <w:t>。</w:t>
            </w:r>
          </w:p>
          <w:p>
            <w:pPr>
              <w:widowControl/>
              <w:spacing w:line="240" w:lineRule="exact"/>
              <w:rPr>
                <w:rFonts w:ascii="宋体" w:hAnsi="宋体" w:eastAsia="宋体" w:cs="宋体"/>
                <w:kern w:val="0"/>
                <w:sz w:val="18"/>
                <w:szCs w:val="18"/>
              </w:rPr>
            </w:pPr>
          </w:p>
        </w:tc>
        <w:tc>
          <w:tcPr>
            <w:tcW w:w="3760"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1. 主活动围绕 “守护文化瑰宝 绽放时代光彩” 主题，邀请专家学者共话文化遗产保护，共商文脉发展传承之策，促进了中华优秀传统文化在新时代绽放更加璀璨的光彩。</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 xml:space="preserve"> 文化市集活动联动西城区众多商户，让市民游客沉浸式解锁城市文商旅融合空间新体验，推动文化、金融、科技、旅游等领域深度融合，为首都功能核心区、全国文化中心的高质量发展增添</w:t>
            </w:r>
            <w:r>
              <w:rPr>
                <w:rFonts w:hint="eastAsia" w:ascii="宋体" w:hAnsi="宋体" w:eastAsia="宋体" w:cs="宋体"/>
                <w:kern w:val="0"/>
                <w:sz w:val="18"/>
                <w:szCs w:val="18"/>
              </w:rPr>
              <w:t>了</w:t>
            </w:r>
            <w:r>
              <w:rPr>
                <w:rFonts w:ascii="宋体" w:hAnsi="宋体" w:eastAsia="宋体" w:cs="宋体"/>
                <w:kern w:val="0"/>
                <w:sz w:val="18"/>
                <w:szCs w:val="18"/>
              </w:rPr>
              <w:t>文化动能。</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文化直播活动围绕与活动相关的文化路线、文化活动、文化市集、文化消费等进行对话互动，吸引更多人了解和关注西城</w:t>
            </w:r>
            <w:r>
              <w:rPr>
                <w:rFonts w:hint="eastAsia" w:ascii="宋体" w:hAnsi="宋体" w:eastAsia="宋体" w:cs="宋体"/>
                <w:kern w:val="0"/>
                <w:sz w:val="18"/>
                <w:szCs w:val="18"/>
              </w:rPr>
              <w:t>文旅资源</w:t>
            </w:r>
            <w:r>
              <w:rPr>
                <w:rFonts w:ascii="宋体" w:hAnsi="宋体" w:eastAsia="宋体" w:cs="宋体"/>
                <w:kern w:val="0"/>
                <w:sz w:val="18"/>
                <w:szCs w:val="18"/>
              </w:rPr>
              <w:t>和活动，促进西城</w:t>
            </w:r>
            <w:r>
              <w:rPr>
                <w:rFonts w:hint="eastAsia" w:ascii="宋体" w:hAnsi="宋体" w:eastAsia="宋体" w:cs="宋体"/>
                <w:kern w:val="0"/>
                <w:sz w:val="18"/>
                <w:szCs w:val="18"/>
              </w:rPr>
              <w:t>文旅</w:t>
            </w:r>
            <w:r>
              <w:rPr>
                <w:rFonts w:ascii="宋体" w:hAnsi="宋体" w:eastAsia="宋体" w:cs="宋体"/>
                <w:kern w:val="0"/>
                <w:sz w:val="18"/>
                <w:szCs w:val="18"/>
              </w:rPr>
              <w:t>资源的传播与推广。</w:t>
            </w:r>
          </w:p>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4.</w:t>
            </w:r>
            <w:r>
              <w:rPr>
                <w:rFonts w:ascii="宋体" w:hAnsi="宋体" w:eastAsia="宋体" w:cs="宋体"/>
                <w:kern w:val="0"/>
                <w:sz w:val="18"/>
                <w:szCs w:val="18"/>
              </w:rPr>
              <w:t xml:space="preserve"> 整合西城区夜间文旅资源，推出 “西城夜时光” 夜游指南，为市民游客提供多元化、沉浸式的夜间休闲娱乐新业态、新场景和新体验，进一步拉动西城区夜经济，激发城市活力。</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2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6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2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green"/>
              </w:rPr>
              <w:t>偏差原因分析及改进措施</w:t>
            </w: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_Hlk198222643"/>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指标1：开展活动数量</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 xml:space="preserve">≥2 个                     </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4个</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指标2：活动覆盖人次</w:t>
            </w:r>
          </w:p>
        </w:tc>
        <w:tc>
          <w:tcPr>
            <w:tcW w:w="1660" w:type="dxa"/>
            <w:tcBorders>
              <w:top w:val="nil"/>
              <w:left w:val="nil"/>
              <w:bottom w:val="single" w:color="auto" w:sz="4" w:space="0"/>
              <w:right w:val="single" w:color="auto" w:sz="4" w:space="0"/>
            </w:tcBorders>
          </w:tcPr>
          <w:p>
            <w:pPr>
              <w:ind w:right="-94" w:rightChars="-45"/>
              <w:rPr>
                <w:sz w:val="13"/>
                <w:szCs w:val="13"/>
              </w:rPr>
            </w:pPr>
            <w:r>
              <w:rPr>
                <w:rFonts w:hint="eastAsia"/>
                <w:sz w:val="13"/>
                <w:szCs w:val="13"/>
              </w:rPr>
              <w:t>≥1000人次</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线上线下万人以上</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指标3：活动覆盖商家</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≥30家</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30家</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指标4：直播次数</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≥1次</w:t>
            </w:r>
          </w:p>
        </w:tc>
        <w:tc>
          <w:tcPr>
            <w:tcW w:w="1271" w:type="dxa"/>
            <w:tcBorders>
              <w:top w:val="nil"/>
              <w:left w:val="nil"/>
              <w:bottom w:val="single" w:color="auto" w:sz="4" w:space="0"/>
              <w:right w:val="single" w:color="auto" w:sz="4" w:space="0"/>
            </w:tcBorders>
            <w:vAlign w:val="center"/>
          </w:tcPr>
          <w:p>
            <w:pPr>
              <w:ind w:right="-164" w:rightChars="-78"/>
              <w:rPr>
                <w:rFonts w:ascii="宋体" w:hAnsi="宋体" w:eastAsia="宋体" w:cs="宋体"/>
                <w:kern w:val="0"/>
                <w:sz w:val="13"/>
                <w:szCs w:val="13"/>
              </w:rPr>
            </w:pPr>
            <w:r>
              <w:rPr>
                <w:rFonts w:hint="eastAsia"/>
                <w:color w:val="000000"/>
                <w:sz w:val="13"/>
                <w:szCs w:val="13"/>
              </w:rPr>
              <w:t>2次</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指标5：活动照片</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≥200张</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857张</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指标6：活动视频</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≥2个</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3个</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sz w:val="13"/>
                <w:szCs w:val="13"/>
              </w:rPr>
            </w:pPr>
            <w:r>
              <w:rPr>
                <w:rFonts w:hint="eastAsia"/>
                <w:color w:val="000000"/>
                <w:sz w:val="13"/>
                <w:szCs w:val="13"/>
              </w:rPr>
              <w:t>指标7：活动主形象设计</w:t>
            </w:r>
          </w:p>
        </w:tc>
        <w:tc>
          <w:tcPr>
            <w:tcW w:w="1660" w:type="dxa"/>
            <w:tcBorders>
              <w:top w:val="nil"/>
              <w:left w:val="nil"/>
              <w:bottom w:val="single" w:color="auto" w:sz="4" w:space="0"/>
              <w:right w:val="single" w:color="auto" w:sz="4" w:space="0"/>
            </w:tcBorders>
          </w:tcPr>
          <w:p>
            <w:pPr>
              <w:rPr>
                <w:sz w:val="13"/>
                <w:szCs w:val="13"/>
              </w:rPr>
            </w:pPr>
            <w:r>
              <w:rPr>
                <w:rFonts w:hint="eastAsia"/>
                <w:sz w:val="13"/>
                <w:szCs w:val="13"/>
              </w:rPr>
              <w:t>≥1个</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1个</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bookmarkEnd w:id="0"/>
      <w:tr>
        <w:tblPrEx>
          <w:tblLayout w:type="fixed"/>
          <w:tblCellMar>
            <w:top w:w="0" w:type="dxa"/>
            <w:left w:w="108" w:type="dxa"/>
            <w:bottom w:w="0" w:type="dxa"/>
            <w:right w:w="108" w:type="dxa"/>
          </w:tblCellMar>
        </w:tblPrEx>
        <w:trPr>
          <w:trHeight w:val="5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29" w:type="dxa"/>
            <w:gridSpan w:val="3"/>
            <w:tcBorders>
              <w:top w:val="single" w:color="auto" w:sz="4" w:space="0"/>
              <w:left w:val="nil"/>
              <w:bottom w:val="single" w:color="auto" w:sz="4" w:space="0"/>
              <w:right w:val="single" w:color="auto" w:sz="4" w:space="0"/>
            </w:tcBorders>
            <w:vAlign w:val="center"/>
          </w:tcPr>
          <w:p>
            <w:pPr>
              <w:spacing w:line="240" w:lineRule="exact"/>
              <w:rPr>
                <w:color w:val="000000"/>
                <w:sz w:val="13"/>
                <w:szCs w:val="13"/>
              </w:rPr>
            </w:pPr>
            <w:r>
              <w:rPr>
                <w:rFonts w:hint="eastAsia"/>
                <w:color w:val="000000"/>
                <w:sz w:val="13"/>
                <w:szCs w:val="13"/>
              </w:rPr>
              <w:t>指标1：整体活动各个现场执行率好，无重大事故情况出现</w:t>
            </w:r>
          </w:p>
        </w:tc>
        <w:tc>
          <w:tcPr>
            <w:tcW w:w="1660" w:type="dxa"/>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100%</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bookmarkStart w:id="1" w:name="OLE_LINK1"/>
            <w:r>
              <w:rPr>
                <w:rFonts w:hint="eastAsia"/>
                <w:color w:val="000000"/>
                <w:sz w:val="13"/>
                <w:szCs w:val="13"/>
              </w:rPr>
              <w:t>100%</w:t>
            </w:r>
            <w:bookmarkEnd w:id="1"/>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spacing w:line="240" w:lineRule="exact"/>
              <w:rPr>
                <w:color w:val="000000"/>
                <w:sz w:val="13"/>
                <w:szCs w:val="13"/>
              </w:rPr>
            </w:pPr>
            <w:r>
              <w:rPr>
                <w:rFonts w:hint="eastAsia"/>
                <w:color w:val="000000"/>
                <w:sz w:val="13"/>
                <w:szCs w:val="13"/>
              </w:rPr>
              <w:t>指标2：嘉宾活动参与度</w:t>
            </w:r>
          </w:p>
        </w:tc>
        <w:tc>
          <w:tcPr>
            <w:tcW w:w="1660" w:type="dxa"/>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》95%</w:t>
            </w:r>
          </w:p>
        </w:tc>
        <w:tc>
          <w:tcPr>
            <w:tcW w:w="1271" w:type="dxa"/>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100%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8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vAlign w:val="center"/>
          </w:tcPr>
          <w:p>
            <w:pPr>
              <w:spacing w:line="240" w:lineRule="exact"/>
              <w:rPr>
                <w:color w:val="000000"/>
                <w:sz w:val="13"/>
                <w:szCs w:val="13"/>
              </w:rPr>
            </w:pPr>
            <w:r>
              <w:rPr>
                <w:rFonts w:hint="eastAsia"/>
                <w:color w:val="000000"/>
                <w:sz w:val="13"/>
                <w:szCs w:val="13"/>
              </w:rPr>
              <w:t>指标3：</w:t>
            </w:r>
            <w:r>
              <w:rPr>
                <w:color w:val="000000"/>
                <w:sz w:val="13"/>
                <w:szCs w:val="13"/>
              </w:rPr>
              <w:t>嘉宾专业背景与主题匹配度</w:t>
            </w:r>
          </w:p>
        </w:tc>
        <w:tc>
          <w:tcPr>
            <w:tcW w:w="1660" w:type="dxa"/>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》90%</w:t>
            </w: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100%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29" w:type="dxa"/>
            <w:gridSpan w:val="3"/>
            <w:tcBorders>
              <w:top w:val="single" w:color="auto" w:sz="4" w:space="0"/>
              <w:left w:val="nil"/>
              <w:bottom w:val="single" w:color="auto" w:sz="4" w:space="0"/>
              <w:right w:val="single" w:color="auto" w:sz="4" w:space="0"/>
            </w:tcBorders>
            <w:vAlign w:val="center"/>
          </w:tcPr>
          <w:p>
            <w:pPr>
              <w:rPr>
                <w:rFonts w:ascii="宋体" w:hAnsi="宋体" w:eastAsia="宋体" w:cs="宋体"/>
                <w:color w:val="000000"/>
                <w:kern w:val="0"/>
                <w:sz w:val="13"/>
                <w:szCs w:val="13"/>
              </w:rPr>
            </w:pPr>
            <w:r>
              <w:rPr>
                <w:rFonts w:hint="eastAsia"/>
                <w:color w:val="000000"/>
                <w:sz w:val="13"/>
                <w:szCs w:val="13"/>
              </w:rPr>
              <w:t>指标1：完成活动举办</w:t>
            </w:r>
          </w:p>
        </w:tc>
        <w:tc>
          <w:tcPr>
            <w:tcW w:w="1660" w:type="dxa"/>
            <w:tcBorders>
              <w:top w:val="nil"/>
              <w:left w:val="nil"/>
              <w:bottom w:val="single" w:color="auto" w:sz="4" w:space="0"/>
              <w:right w:val="single" w:color="auto" w:sz="4" w:space="0"/>
            </w:tcBorders>
            <w:vAlign w:val="center"/>
          </w:tcPr>
          <w:p>
            <w:pPr>
              <w:rPr>
                <w:color w:val="000000"/>
                <w:sz w:val="13"/>
                <w:szCs w:val="13"/>
              </w:rPr>
            </w:pPr>
            <w:r>
              <w:rPr>
                <w:color w:val="000000"/>
                <w:sz w:val="13"/>
                <w:szCs w:val="13"/>
              </w:rPr>
              <w:t>下半年</w:t>
            </w:r>
          </w:p>
          <w:p>
            <w:pPr>
              <w:widowControl/>
              <w:spacing w:line="240" w:lineRule="exact"/>
              <w:jc w:val="center"/>
              <w:rPr>
                <w:rFonts w:ascii="宋体" w:hAnsi="宋体" w:eastAsia="宋体" w:cs="宋体"/>
                <w:kern w:val="0"/>
                <w:sz w:val="13"/>
                <w:szCs w:val="13"/>
              </w:rPr>
            </w:pPr>
          </w:p>
        </w:tc>
        <w:tc>
          <w:tcPr>
            <w:tcW w:w="1271" w:type="dxa"/>
            <w:tcBorders>
              <w:top w:val="nil"/>
              <w:left w:val="nil"/>
              <w:bottom w:val="single" w:color="auto" w:sz="4" w:space="0"/>
              <w:right w:val="single" w:color="auto" w:sz="4" w:space="0"/>
            </w:tcBorders>
            <w:vAlign w:val="center"/>
          </w:tcPr>
          <w:p>
            <w:pPr>
              <w:rPr>
                <w:rFonts w:ascii="宋体" w:hAnsi="宋体" w:eastAsia="宋体" w:cs="宋体"/>
                <w:kern w:val="0"/>
                <w:sz w:val="13"/>
                <w:szCs w:val="13"/>
              </w:rPr>
            </w:pPr>
            <w:r>
              <w:rPr>
                <w:rFonts w:hint="eastAsia"/>
                <w:color w:val="000000"/>
                <w:sz w:val="13"/>
                <w:szCs w:val="13"/>
              </w:rPr>
              <w:t>2024年9月</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29" w:type="dxa"/>
            <w:gridSpan w:val="3"/>
            <w:tcBorders>
              <w:top w:val="single" w:color="auto" w:sz="4" w:space="0"/>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指标1：活动总成本预算控制数</w:t>
            </w:r>
          </w:p>
        </w:tc>
        <w:tc>
          <w:tcPr>
            <w:tcW w:w="1660" w:type="dxa"/>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252万元</w:t>
            </w:r>
          </w:p>
        </w:tc>
        <w:tc>
          <w:tcPr>
            <w:tcW w:w="1271" w:type="dxa"/>
            <w:tcBorders>
              <w:top w:val="nil"/>
              <w:left w:val="nil"/>
              <w:bottom w:val="single" w:color="auto" w:sz="4" w:space="0"/>
              <w:right w:val="single" w:color="auto" w:sz="4" w:space="0"/>
            </w:tcBorders>
            <w:vAlign w:val="center"/>
          </w:tcPr>
          <w:p>
            <w:pPr>
              <w:ind w:right="-189" w:rightChars="-90"/>
              <w:rPr>
                <w:color w:val="000000"/>
                <w:sz w:val="13"/>
                <w:szCs w:val="13"/>
              </w:rPr>
            </w:pPr>
            <w:r>
              <w:rPr>
                <w:rFonts w:hint="eastAsia"/>
                <w:color w:val="000000"/>
                <w:sz w:val="13"/>
                <w:szCs w:val="13"/>
              </w:rPr>
              <w:t>251.5万元</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29" w:type="dxa"/>
            <w:gridSpan w:val="3"/>
            <w:tcBorders>
              <w:top w:val="single" w:color="auto" w:sz="4" w:space="0"/>
              <w:left w:val="nil"/>
              <w:bottom w:val="single" w:color="auto" w:sz="4" w:space="0"/>
              <w:right w:val="single" w:color="auto" w:sz="4" w:space="0"/>
            </w:tcBorders>
          </w:tcPr>
          <w:p>
            <w:pPr>
              <w:rPr>
                <w:color w:val="000000"/>
                <w:sz w:val="13"/>
                <w:szCs w:val="13"/>
              </w:rPr>
            </w:pPr>
            <w:r>
              <w:rPr>
                <w:rFonts w:hint="eastAsia"/>
                <w:color w:val="000000"/>
                <w:sz w:val="13"/>
                <w:szCs w:val="13"/>
              </w:rPr>
              <w:t>指标1：构建白塔消费新场景</w:t>
            </w:r>
          </w:p>
        </w:tc>
        <w:tc>
          <w:tcPr>
            <w:tcW w:w="1660" w:type="dxa"/>
            <w:tcBorders>
              <w:top w:val="nil"/>
              <w:left w:val="nil"/>
              <w:bottom w:val="single" w:color="auto" w:sz="4" w:space="0"/>
              <w:right w:val="single" w:color="auto" w:sz="4" w:space="0"/>
            </w:tcBorders>
          </w:tcPr>
          <w:p>
            <w:pPr>
              <w:rPr>
                <w:color w:val="000000"/>
                <w:sz w:val="13"/>
                <w:szCs w:val="13"/>
              </w:rPr>
            </w:pPr>
            <w:r>
              <w:rPr>
                <w:rFonts w:hint="eastAsia"/>
                <w:color w:val="000000"/>
                <w:sz w:val="13"/>
                <w:szCs w:val="13"/>
              </w:rPr>
              <w:t>消费提升</w:t>
            </w:r>
          </w:p>
        </w:tc>
        <w:tc>
          <w:tcPr>
            <w:tcW w:w="1271" w:type="dxa"/>
            <w:tcBorders>
              <w:top w:val="nil"/>
              <w:left w:val="nil"/>
              <w:bottom w:val="single" w:color="auto" w:sz="4" w:space="0"/>
              <w:right w:val="single" w:color="auto" w:sz="4" w:space="0"/>
            </w:tcBorders>
          </w:tcPr>
          <w:p>
            <w:pPr>
              <w:rPr>
                <w:sz w:val="13"/>
                <w:szCs w:val="13"/>
              </w:rPr>
            </w:pPr>
            <w:r>
              <w:rPr>
                <w:rFonts w:hint="eastAsia"/>
                <w:color w:val="000000"/>
                <w:sz w:val="13"/>
                <w:szCs w:val="13"/>
              </w:rPr>
              <w:t>消费提升</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9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29" w:type="dxa"/>
            <w:gridSpan w:val="3"/>
            <w:tcBorders>
              <w:top w:val="single" w:color="auto" w:sz="4" w:space="0"/>
              <w:left w:val="nil"/>
              <w:bottom w:val="single" w:color="auto" w:sz="4" w:space="0"/>
              <w:right w:val="single" w:color="auto" w:sz="4" w:space="0"/>
            </w:tcBorders>
          </w:tcPr>
          <w:p>
            <w:pPr>
              <w:spacing w:line="200" w:lineRule="exact"/>
              <w:ind w:right="-225" w:rightChars="-107"/>
              <w:rPr>
                <w:color w:val="000000"/>
                <w:sz w:val="13"/>
                <w:szCs w:val="13"/>
              </w:rPr>
            </w:pPr>
            <w:r>
              <w:rPr>
                <w:rFonts w:hint="eastAsia"/>
                <w:color w:val="000000"/>
                <w:sz w:val="13"/>
                <w:szCs w:val="13"/>
              </w:rPr>
              <w:t>指标1：满足人民群众对高品质文化生活的需求</w:t>
            </w:r>
          </w:p>
        </w:tc>
        <w:tc>
          <w:tcPr>
            <w:tcW w:w="1660" w:type="dxa"/>
            <w:tcBorders>
              <w:top w:val="nil"/>
              <w:left w:val="nil"/>
              <w:bottom w:val="single" w:color="auto" w:sz="4" w:space="0"/>
              <w:right w:val="single" w:color="auto" w:sz="4" w:space="0"/>
            </w:tcBorders>
          </w:tcPr>
          <w:p>
            <w:pPr>
              <w:rPr>
                <w:color w:val="000000"/>
                <w:sz w:val="13"/>
                <w:szCs w:val="13"/>
              </w:rPr>
            </w:pPr>
            <w:r>
              <w:rPr>
                <w:rFonts w:hint="eastAsia"/>
                <w:color w:val="000000"/>
                <w:sz w:val="13"/>
                <w:szCs w:val="13"/>
              </w:rPr>
              <w:t>持续提升</w:t>
            </w:r>
          </w:p>
        </w:tc>
        <w:tc>
          <w:tcPr>
            <w:tcW w:w="1271" w:type="dxa"/>
            <w:tcBorders>
              <w:top w:val="nil"/>
              <w:left w:val="nil"/>
              <w:bottom w:val="single" w:color="auto" w:sz="4" w:space="0"/>
              <w:right w:val="single" w:color="auto" w:sz="4" w:space="0"/>
            </w:tcBorders>
          </w:tcPr>
          <w:p>
            <w:pPr>
              <w:rPr>
                <w:sz w:val="13"/>
                <w:szCs w:val="13"/>
              </w:rPr>
            </w:pPr>
            <w:r>
              <w:rPr>
                <w:rFonts w:hint="eastAsia"/>
                <w:color w:val="000000"/>
                <w:sz w:val="13"/>
                <w:szCs w:val="13"/>
              </w:rPr>
              <w:t>持续提升</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29" w:type="dxa"/>
            <w:gridSpan w:val="3"/>
            <w:tcBorders>
              <w:top w:val="single" w:color="auto" w:sz="4" w:space="0"/>
              <w:left w:val="nil"/>
              <w:bottom w:val="single" w:color="auto" w:sz="4" w:space="0"/>
              <w:right w:val="single" w:color="auto" w:sz="4" w:space="0"/>
            </w:tcBorders>
          </w:tcPr>
          <w:p>
            <w:pPr>
              <w:ind w:right="-225" w:rightChars="-107"/>
              <w:rPr>
                <w:color w:val="000000"/>
                <w:sz w:val="13"/>
                <w:szCs w:val="13"/>
              </w:rPr>
            </w:pPr>
            <w:r>
              <w:rPr>
                <w:rFonts w:hint="eastAsia"/>
                <w:color w:val="000000"/>
                <w:sz w:val="13"/>
                <w:szCs w:val="13"/>
              </w:rPr>
              <w:t>指标1：打造“白塔夜话”IP</w:t>
            </w:r>
          </w:p>
        </w:tc>
        <w:tc>
          <w:tcPr>
            <w:tcW w:w="1660" w:type="dxa"/>
            <w:tcBorders>
              <w:top w:val="nil"/>
              <w:left w:val="nil"/>
              <w:bottom w:val="single" w:color="auto" w:sz="4" w:space="0"/>
              <w:right w:val="single" w:color="auto" w:sz="4" w:space="0"/>
            </w:tcBorders>
          </w:tcPr>
          <w:p>
            <w:pPr>
              <w:spacing w:line="200" w:lineRule="exact"/>
              <w:ind w:right="-225" w:rightChars="-107"/>
              <w:rPr>
                <w:color w:val="000000"/>
                <w:sz w:val="13"/>
                <w:szCs w:val="13"/>
              </w:rPr>
            </w:pPr>
            <w:r>
              <w:rPr>
                <w:rFonts w:hint="eastAsia"/>
                <w:color w:val="000000"/>
                <w:sz w:val="13"/>
                <w:szCs w:val="13"/>
              </w:rPr>
              <w:t>通过历届“白塔夜话”系列活动，将“白塔夜话”打造成为北京市标杆性特色活动品牌。</w:t>
            </w:r>
          </w:p>
        </w:tc>
        <w:tc>
          <w:tcPr>
            <w:tcW w:w="1271" w:type="dxa"/>
            <w:tcBorders>
              <w:top w:val="nil"/>
              <w:left w:val="nil"/>
              <w:bottom w:val="single" w:color="auto" w:sz="4" w:space="0"/>
              <w:right w:val="single" w:color="auto" w:sz="4" w:space="0"/>
            </w:tcBorders>
          </w:tcPr>
          <w:p>
            <w:pPr>
              <w:rPr>
                <w:sz w:val="13"/>
                <w:szCs w:val="13"/>
              </w:rPr>
            </w:pPr>
            <w:r>
              <w:rPr>
                <w:rFonts w:hint="eastAsia"/>
                <w:color w:val="000000"/>
                <w:sz w:val="13"/>
                <w:szCs w:val="13"/>
              </w:rPr>
              <w:t>持续提升</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229" w:type="dxa"/>
            <w:gridSpan w:val="3"/>
            <w:tcBorders>
              <w:top w:val="single" w:color="auto" w:sz="4" w:space="0"/>
              <w:left w:val="nil"/>
              <w:bottom w:val="single" w:color="auto" w:sz="4" w:space="0"/>
              <w:right w:val="single" w:color="auto" w:sz="4" w:space="0"/>
            </w:tcBorders>
          </w:tcPr>
          <w:p>
            <w:pPr>
              <w:ind w:right="-225" w:rightChars="-107"/>
              <w:rPr>
                <w:color w:val="000000"/>
                <w:sz w:val="13"/>
                <w:szCs w:val="13"/>
              </w:rPr>
            </w:pPr>
            <w:r>
              <w:rPr>
                <w:rFonts w:hint="eastAsia"/>
                <w:color w:val="000000"/>
                <w:sz w:val="13"/>
                <w:szCs w:val="13"/>
              </w:rPr>
              <w:t xml:space="preserve"> 指标1：主活动嘉宾满意率</w:t>
            </w:r>
          </w:p>
        </w:tc>
        <w:tc>
          <w:tcPr>
            <w:tcW w:w="1660" w:type="dxa"/>
            <w:tcBorders>
              <w:top w:val="single" w:color="auto" w:sz="4" w:space="0"/>
              <w:left w:val="nil"/>
              <w:bottom w:val="single" w:color="auto" w:sz="4" w:space="0"/>
              <w:right w:val="single" w:color="auto" w:sz="4" w:space="0"/>
            </w:tcBorders>
          </w:tcPr>
          <w:p>
            <w:pPr>
              <w:ind w:right="-225" w:rightChars="-107"/>
              <w:rPr>
                <w:color w:val="000000"/>
                <w:sz w:val="13"/>
                <w:szCs w:val="13"/>
              </w:rPr>
            </w:pPr>
            <w:r>
              <w:rPr>
                <w:rFonts w:hint="eastAsia"/>
                <w:color w:val="000000"/>
                <w:sz w:val="13"/>
                <w:szCs w:val="13"/>
              </w:rPr>
              <w:t>≥90%</w:t>
            </w:r>
          </w:p>
        </w:tc>
        <w:tc>
          <w:tcPr>
            <w:tcW w:w="1271" w:type="dxa"/>
            <w:tcBorders>
              <w:top w:val="single" w:color="auto" w:sz="4" w:space="0"/>
              <w:left w:val="nil"/>
              <w:bottom w:val="single" w:color="auto" w:sz="4" w:space="0"/>
              <w:right w:val="single" w:color="auto" w:sz="4" w:space="0"/>
            </w:tcBorders>
          </w:tcPr>
          <w:p>
            <w:pPr>
              <w:rPr>
                <w:sz w:val="13"/>
                <w:szCs w:val="13"/>
              </w:rPr>
            </w:pPr>
            <w:r>
              <w:rPr>
                <w:rFonts w:hint="eastAsia"/>
                <w:color w:val="000000"/>
                <w:sz w:val="13"/>
                <w:szCs w:val="13"/>
              </w:rPr>
              <w:t>》90%</w:t>
            </w:r>
          </w:p>
        </w:tc>
        <w:tc>
          <w:tcPr>
            <w:tcW w:w="5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29" w:type="dxa"/>
            <w:gridSpan w:val="3"/>
            <w:tcBorders>
              <w:top w:val="single" w:color="auto" w:sz="4" w:space="0"/>
              <w:left w:val="nil"/>
              <w:bottom w:val="single" w:color="auto" w:sz="4" w:space="0"/>
              <w:right w:val="single" w:color="auto" w:sz="4" w:space="0"/>
            </w:tcBorders>
          </w:tcPr>
          <w:p>
            <w:pPr>
              <w:ind w:right="-225" w:rightChars="-107"/>
              <w:rPr>
                <w:color w:val="000000"/>
                <w:sz w:val="13"/>
                <w:szCs w:val="13"/>
              </w:rPr>
            </w:pPr>
            <w:r>
              <w:rPr>
                <w:rFonts w:hint="eastAsia"/>
                <w:color w:val="000000"/>
                <w:sz w:val="13"/>
                <w:szCs w:val="13"/>
              </w:rPr>
              <w:t xml:space="preserve"> 指标2：市集商户、顾客满意率</w:t>
            </w:r>
          </w:p>
        </w:tc>
        <w:tc>
          <w:tcPr>
            <w:tcW w:w="1660" w:type="dxa"/>
            <w:tcBorders>
              <w:top w:val="nil"/>
              <w:left w:val="nil"/>
              <w:bottom w:val="single" w:color="auto" w:sz="4" w:space="0"/>
              <w:right w:val="single" w:color="auto" w:sz="4" w:space="0"/>
            </w:tcBorders>
          </w:tcPr>
          <w:p>
            <w:pPr>
              <w:ind w:right="-225" w:rightChars="-107"/>
              <w:rPr>
                <w:color w:val="000000"/>
                <w:sz w:val="13"/>
                <w:szCs w:val="13"/>
              </w:rPr>
            </w:pPr>
            <w:r>
              <w:rPr>
                <w:rFonts w:hint="eastAsia"/>
                <w:color w:val="000000"/>
                <w:sz w:val="13"/>
                <w:szCs w:val="13"/>
              </w:rPr>
              <w:t>≥90%</w:t>
            </w:r>
          </w:p>
        </w:tc>
        <w:tc>
          <w:tcPr>
            <w:tcW w:w="1271" w:type="dxa"/>
            <w:tcBorders>
              <w:top w:val="nil"/>
              <w:left w:val="nil"/>
              <w:bottom w:val="single" w:color="auto" w:sz="4" w:space="0"/>
              <w:right w:val="single" w:color="auto" w:sz="4" w:space="0"/>
            </w:tcBorders>
          </w:tcPr>
          <w:p>
            <w:pPr>
              <w:rPr>
                <w:sz w:val="13"/>
                <w:szCs w:val="13"/>
              </w:rPr>
            </w:pPr>
            <w:r>
              <w:rPr>
                <w:rFonts w:hint="eastAsia"/>
                <w:color w:val="000000"/>
                <w:sz w:val="13"/>
                <w:szCs w:val="13"/>
              </w:rPr>
              <w:t>》90%</w:t>
            </w:r>
          </w:p>
        </w:tc>
        <w:tc>
          <w:tcPr>
            <w:tcW w:w="5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r>
              <w:rPr>
                <w:rFonts w:hint="eastAsia" w:ascii="宋体" w:hAnsi="宋体" w:eastAsia="宋体" w:cs="宋体"/>
                <w:kern w:val="0"/>
                <w:sz w:val="13"/>
                <w:szCs w:val="13"/>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779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8" w:type="dxa"/>
            <w:gridSpan w:val="2"/>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100</w:t>
            </w:r>
          </w:p>
        </w:tc>
        <w:tc>
          <w:tcPr>
            <w:tcW w:w="557" w:type="dxa"/>
            <w:gridSpan w:val="2"/>
            <w:tcBorders>
              <w:top w:val="nil"/>
              <w:left w:val="nil"/>
              <w:bottom w:val="single" w:color="auto" w:sz="4" w:space="0"/>
              <w:right w:val="single" w:color="auto" w:sz="4" w:space="0"/>
            </w:tcBorders>
            <w:vAlign w:val="center"/>
          </w:tcPr>
          <w:p>
            <w:pPr>
              <w:rPr>
                <w:color w:val="000000"/>
                <w:sz w:val="13"/>
                <w:szCs w:val="13"/>
              </w:rPr>
            </w:pPr>
            <w:r>
              <w:rPr>
                <w:rFonts w:hint="eastAsia"/>
                <w:color w:val="000000"/>
                <w:sz w:val="13"/>
                <w:szCs w:val="13"/>
              </w:rPr>
              <w:t>99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jc w:val="center"/>
        <w:rPr>
          <w:rFonts w:ascii="Times New Roman" w:hAnsi="Times New Roman" w:eastAsia="宋体" w:cs="Times New Roman"/>
          <w:sz w:val="52"/>
          <w:szCs w:val="52"/>
        </w:rPr>
      </w:pPr>
      <w:bookmarkStart w:id="2" w:name="_Toc380588482"/>
      <w:bookmarkStart w:id="3" w:name="_Toc396293517"/>
      <w:r>
        <w:rPr>
          <w:rFonts w:hint="eastAsia" w:ascii="Times New Roman" w:hAnsi="Times New Roman" w:eastAsia="宋体" w:cs="Times New Roman"/>
          <w:b/>
          <w:sz w:val="52"/>
          <w:szCs w:val="52"/>
        </w:rPr>
        <w:t>2.西城区项目支出绩效报告</w:t>
      </w:r>
      <w:bookmarkEnd w:id="2"/>
      <w:bookmarkEnd w:id="3"/>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   2024  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西城区文化和旅游局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2024“白塔夜话”文化系列活动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r>
        <w:rPr>
          <w:rFonts w:ascii="仿宋_GB2312" w:hAnsi="宋体" w:eastAsia="宋体" w:cs="Times New Roman"/>
          <w:sz w:val="32"/>
          <w:szCs w:val="32"/>
          <w:u w:val="single"/>
        </w:rPr>
        <w:t>2025年4月25日</w:t>
      </w:r>
      <w:r>
        <w:rPr>
          <w:rFonts w:hint="eastAsia" w:ascii="仿宋_GB2312" w:hAnsi="宋体" w:eastAsia="宋体" w:cs="Times New Roman"/>
          <w:sz w:val="32"/>
          <w:szCs w:val="32"/>
          <w:u w:val="single"/>
        </w:rPr>
        <w:t xml:space="preserve">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30"/>
        </w:rPr>
      </w:pPr>
      <w:bookmarkStart w:id="6" w:name="_GoBack"/>
      <w:bookmarkEnd w:id="6"/>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一、基本情况</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（一）项目概况。</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白塔夜话”文化系列活动是西城区打造历史文化名城保护和城市文化建设特色品牌的重要举措，自2020年以来，已连续成功举办四次。2024“白塔夜话”文化系列活动由北京市文化和旅游局、北京市文物局、西城区委区政府主办，西城区文化和旅游局组织实施</w:t>
      </w:r>
      <w:r>
        <w:rPr>
          <w:rFonts w:ascii="宋体" w:hAnsi="宋体" w:eastAsia="宋体" w:cs="宋体"/>
          <w:color w:val="000000"/>
          <w:kern w:val="0"/>
          <w:sz w:val="22"/>
          <w:szCs w:val="24"/>
        </w:rPr>
        <w:t>。</w:t>
      </w:r>
      <w:r>
        <w:rPr>
          <w:rFonts w:hint="eastAsia" w:ascii="宋体" w:hAnsi="宋体" w:eastAsia="宋体" w:cs="宋体"/>
          <w:color w:val="000000"/>
          <w:kern w:val="0"/>
          <w:sz w:val="22"/>
          <w:szCs w:val="24"/>
        </w:rPr>
        <w:t>本次活动由1个主会场活动和3个平行活动构成。主会场活动围绕“守护文化瑰宝 绽放时代光彩”主题，以北京中轴线申遗成功为契机，结合文物和文化遗产保护传承、推动文商旅深度融合等方面，以文会友共话文化遗产保护之道，共商文脉发展传承之策。平行活动首次推出文化直播活动，以“动态走播”的形式，带领线上观众深入探访西城区的深厚文化底蕴，推介西城特色文旅路线。文化市集活动联动西城区众多特色商户，让市民游客解锁城市文商旅融合空间新体验。同时，本次活动特别推出“西城夜时光”夜游指南，为市民游客提供多元化、沉浸式的夜间休闲娱乐新业态、新场景和新体验，进一步拉动西城区夜经济，激发城市活力。本项目经区财政批复预算资金252万元，目前项目已完成。</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（二）项目绩效目标。</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项目目标：围绕“大文化”的理念，将建设文化强区作为着眼点，加速拓展“文化+”维度，推动文化事业和产业贯通发展，推动西城区由“文化大区”向“文化强区”的转变。</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社会效益：通过“白塔夜话”文化系列活动，汇聚创新观点，共话文化发展，发挥西城区作为全国文化中心核心承载区的作用，让中华优秀传统文化融入社会生活，推动文化繁荣发展。</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经济效益：通过白塔妙会文创市集活动，进一步释放文化消费，助力文旅商融合发展。</w:t>
      </w:r>
    </w:p>
    <w:p>
      <w:pPr>
        <w:spacing w:line="480" w:lineRule="exact"/>
        <w:ind w:firstLine="660" w:firstLineChars="300"/>
        <w:rPr>
          <w:rFonts w:ascii="宋体" w:hAnsi="宋体" w:eastAsia="宋体" w:cs="宋体"/>
          <w:color w:val="000000"/>
          <w:kern w:val="0"/>
          <w:sz w:val="22"/>
          <w:szCs w:val="24"/>
        </w:rPr>
      </w:pPr>
      <w:r>
        <w:rPr>
          <w:rFonts w:hint="eastAsia" w:ascii="宋体" w:hAnsi="宋体" w:eastAsia="宋体" w:cs="宋体"/>
          <w:color w:val="000000"/>
          <w:kern w:val="0"/>
          <w:sz w:val="22"/>
          <w:szCs w:val="24"/>
        </w:rPr>
        <w:t>二、绩效评价工作开展情况</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1.绩效评价目的</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一是加强预算绩效管理，强化支出责任，提高财政资金使用效益；二是进一步总结和分析项目资金的实施效果，检验财政支出预期目标实现程度、支出效率和综合效果；三是为以后年度相关项目提供参考依据。</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本次绩效评价重点对2024年“白塔夜话”文化系列活动项目实施成效进行整体评价。通过开展绩效评价工作，总结经验，发现问题，改进工作，进一步加强项目管理，提高财政资金的使用效益。</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2.绩效评价对象和范围</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本次绩效评价对象为区文化和旅游局2024年“白塔夜话”文化系列活动项目，实际支出金额合计</w:t>
      </w:r>
      <w:r>
        <w:rPr>
          <w:rFonts w:ascii="宋体" w:hAnsi="宋体" w:eastAsia="宋体" w:cs="宋体"/>
          <w:color w:val="000000"/>
          <w:kern w:val="0"/>
          <w:sz w:val="22"/>
          <w:szCs w:val="24"/>
        </w:rPr>
        <w:t>251.5</w:t>
      </w:r>
      <w:r>
        <w:rPr>
          <w:rFonts w:hint="eastAsia" w:ascii="宋体" w:hAnsi="宋体" w:eastAsia="宋体" w:cs="宋体"/>
          <w:color w:val="000000"/>
          <w:kern w:val="0"/>
          <w:sz w:val="22"/>
          <w:szCs w:val="24"/>
        </w:rPr>
        <w:t>万元。</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（二）绩效评价原则、评价指标体系（附表说明）、评价方法、评价标准等。</w:t>
      </w:r>
    </w:p>
    <w:p>
      <w:pPr>
        <w:spacing w:line="480" w:lineRule="exact"/>
        <w:ind w:left="420" w:leftChars="200"/>
        <w:rPr>
          <w:rFonts w:ascii="宋体" w:hAnsi="宋体" w:eastAsia="宋体" w:cs="宋体"/>
          <w:color w:val="0000FF"/>
          <w:kern w:val="0"/>
          <w:sz w:val="22"/>
          <w:szCs w:val="24"/>
        </w:rPr>
      </w:pPr>
      <w:r>
        <w:rPr>
          <w:rFonts w:hint="eastAsia" w:ascii="宋体" w:hAnsi="宋体" w:eastAsia="宋体" w:cs="宋体"/>
          <w:kern w:val="0"/>
          <w:sz w:val="22"/>
          <w:szCs w:val="24"/>
        </w:rPr>
        <w:t>1.绩效评价原则：遵循科学公正、统筹兼顾、激励约束、公开透明四项原则。</w:t>
      </w:r>
    </w:p>
    <w:p>
      <w:pPr>
        <w:spacing w:line="480" w:lineRule="exact"/>
        <w:ind w:left="420" w:leftChars="200"/>
        <w:rPr>
          <w:rFonts w:ascii="宋体" w:hAnsi="宋体" w:eastAsia="宋体" w:cs="宋体"/>
          <w:kern w:val="0"/>
          <w:sz w:val="22"/>
          <w:szCs w:val="24"/>
        </w:rPr>
      </w:pPr>
      <w:r>
        <w:rPr>
          <w:rFonts w:hint="eastAsia" w:ascii="宋体" w:hAnsi="宋体" w:eastAsia="宋体" w:cs="宋体"/>
          <w:kern w:val="0"/>
          <w:sz w:val="22"/>
          <w:szCs w:val="24"/>
        </w:rPr>
        <w:t>2.评价标准：通过申请预算时制定的目标、计划、预算、活动效果作为评价标准。</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（三）绩效评价工作过程。</w:t>
      </w:r>
    </w:p>
    <w:p>
      <w:pPr>
        <w:spacing w:line="480" w:lineRule="exact"/>
        <w:ind w:firstLine="440" w:firstLineChars="200"/>
        <w:rPr>
          <w:rFonts w:ascii="宋体" w:hAnsi="宋体" w:eastAsia="宋体" w:cs="宋体"/>
          <w:kern w:val="0"/>
          <w:sz w:val="22"/>
          <w:szCs w:val="24"/>
        </w:rPr>
      </w:pPr>
      <w:r>
        <w:rPr>
          <w:rFonts w:hint="eastAsia" w:ascii="宋体" w:hAnsi="宋体" w:eastAsia="宋体" w:cs="宋体"/>
          <w:kern w:val="0"/>
          <w:sz w:val="22"/>
          <w:szCs w:val="24"/>
        </w:rPr>
        <w:t>本单位自评工作主要包括前期准备、组织实施、提交报告、成果应用四个阶段，具体如下：</w:t>
      </w:r>
    </w:p>
    <w:p>
      <w:pPr>
        <w:spacing w:line="480" w:lineRule="exact"/>
        <w:ind w:firstLine="440" w:firstLineChars="200"/>
        <w:rPr>
          <w:rFonts w:ascii="宋体" w:hAnsi="宋体" w:eastAsia="宋体" w:cs="宋体"/>
          <w:kern w:val="0"/>
          <w:sz w:val="22"/>
          <w:szCs w:val="24"/>
        </w:rPr>
      </w:pPr>
      <w:r>
        <w:rPr>
          <w:rFonts w:hint="eastAsia" w:ascii="宋体" w:hAnsi="宋体" w:eastAsia="宋体" w:cs="宋体"/>
          <w:kern w:val="0"/>
          <w:sz w:val="22"/>
          <w:szCs w:val="24"/>
        </w:rPr>
        <w:t>1.前期准备：文化旅游科成立了自评工作领导小组，科室负责人担任组长，各项目负责人为成员，负责协调、处理、决定本单位自评工作中的重大事项，研究解决工作中遇到的重大问题。</w:t>
      </w:r>
    </w:p>
    <w:p>
      <w:pPr>
        <w:spacing w:line="480" w:lineRule="exact"/>
        <w:ind w:firstLine="440" w:firstLineChars="200"/>
        <w:rPr>
          <w:rFonts w:ascii="宋体" w:hAnsi="宋体" w:eastAsia="宋体" w:cs="宋体"/>
          <w:kern w:val="0"/>
          <w:sz w:val="22"/>
          <w:szCs w:val="24"/>
        </w:rPr>
      </w:pPr>
      <w:r>
        <w:rPr>
          <w:rFonts w:hint="eastAsia" w:ascii="宋体" w:hAnsi="宋体" w:eastAsia="宋体" w:cs="宋体"/>
          <w:kern w:val="0"/>
          <w:sz w:val="22"/>
          <w:szCs w:val="24"/>
        </w:rPr>
        <w:t>2.组织实施：通过开展内部培训、搜集资料等过程，填报《项目支出绩效自评表》及撰写《项目支出绩效评价报告》，进而自查本单位项目完成预计绩效情况。</w:t>
      </w:r>
    </w:p>
    <w:p>
      <w:pPr>
        <w:spacing w:line="480" w:lineRule="exact"/>
        <w:ind w:firstLine="440" w:firstLineChars="200"/>
        <w:rPr>
          <w:rFonts w:ascii="宋体" w:hAnsi="宋体" w:eastAsia="宋体" w:cs="宋体"/>
          <w:kern w:val="0"/>
          <w:sz w:val="22"/>
          <w:szCs w:val="24"/>
        </w:rPr>
      </w:pPr>
      <w:r>
        <w:rPr>
          <w:rFonts w:hint="eastAsia" w:ascii="宋体" w:hAnsi="宋体" w:eastAsia="宋体" w:cs="宋体"/>
          <w:kern w:val="0"/>
          <w:sz w:val="22"/>
          <w:szCs w:val="24"/>
        </w:rPr>
        <w:t>3.提交报告：根据该项目绩效评价报告，依据项目自定的评分体系对提交的自评表填报内容、评分、绩效资料以及绩效评价报告等的合理性、完整性、客观性等进行审核。</w:t>
      </w:r>
    </w:p>
    <w:p>
      <w:pPr>
        <w:spacing w:line="480" w:lineRule="exact"/>
        <w:ind w:firstLine="440" w:firstLineChars="200"/>
        <w:rPr>
          <w:rFonts w:ascii="宋体" w:hAnsi="宋体" w:eastAsia="宋体" w:cs="宋体"/>
          <w:kern w:val="0"/>
          <w:sz w:val="22"/>
          <w:szCs w:val="24"/>
        </w:rPr>
      </w:pPr>
      <w:r>
        <w:rPr>
          <w:rFonts w:hint="eastAsia" w:ascii="宋体" w:hAnsi="宋体" w:eastAsia="宋体" w:cs="宋体"/>
          <w:kern w:val="0"/>
          <w:sz w:val="22"/>
          <w:szCs w:val="24"/>
        </w:rPr>
        <w:t>4.成果应用：根据自评绩效项目进行整改，分析问题形成原因，及时提出整改措施，争取以后按照既定绩效目标完成工作任务。</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三、综合评价情况及评价结论</w:t>
      </w:r>
    </w:p>
    <w:p>
      <w:pPr>
        <w:spacing w:line="480" w:lineRule="exact"/>
        <w:ind w:firstLine="440" w:firstLineChars="200"/>
        <w:rPr>
          <w:rFonts w:ascii="宋体" w:hAnsi="宋体" w:eastAsia="宋体" w:cs="宋体"/>
          <w:bCs/>
          <w:color w:val="000000"/>
          <w:kern w:val="0"/>
          <w:sz w:val="22"/>
          <w:szCs w:val="24"/>
        </w:rPr>
      </w:pPr>
      <w:r>
        <w:rPr>
          <w:rFonts w:hint="eastAsia" w:ascii="宋体" w:hAnsi="宋体" w:eastAsia="宋体" w:cs="宋体"/>
          <w:bCs/>
          <w:color w:val="000000"/>
          <w:kern w:val="0"/>
          <w:sz w:val="22"/>
          <w:szCs w:val="24"/>
        </w:rPr>
        <w:t>综合评价情况：2024“白塔夜话”文化系列活动按计划圆满结项。</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bCs/>
          <w:color w:val="000000"/>
          <w:kern w:val="0"/>
          <w:sz w:val="22"/>
          <w:szCs w:val="24"/>
        </w:rPr>
        <w:t>评价结论： 2024“白塔夜话”文化系列活动自评得分</w:t>
      </w:r>
      <w:r>
        <w:rPr>
          <w:rFonts w:hint="eastAsia" w:ascii="宋体" w:hAnsi="宋体" w:eastAsia="宋体" w:cs="宋体"/>
          <w:color w:val="000000"/>
          <w:kern w:val="0"/>
          <w:sz w:val="18"/>
          <w:szCs w:val="18"/>
        </w:rPr>
        <w:t>99.9</w:t>
      </w:r>
      <w:r>
        <w:rPr>
          <w:rFonts w:hint="eastAsia" w:ascii="宋体" w:hAnsi="宋体" w:eastAsia="宋体" w:cs="宋体"/>
          <w:bCs/>
          <w:color w:val="000000"/>
          <w:kern w:val="0"/>
          <w:sz w:val="22"/>
          <w:szCs w:val="24"/>
        </w:rPr>
        <w:t>分，绩效级别为“优秀”。其中：预算执行9.9分，产出指标60分，项目效益20分，服务对象满意度10分。</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四、绩效评价指标分析</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 xml:space="preserve">1.项目立项情况：该项目依据《北京历史文化名城保护条例》（2021年3月修订）相关精神和《北京市西城区“十四五”时期文化和旅游发展规划》关于“打造国内著名文化活动品牌”等要求申报立项。近几年来举办百姓戏剧展演、什刹海文化旅游节，继续支持老舍戏剧节等活动，创新举办“白塔夜话”等品牌活动，重点打造“白塔夜话”“金融街论坛文化金融分论坛”等具有西城特色的文化活动品牌。通过历届“白塔夜话”文化系列活动，将“白塔夜话”打造成为北京市标杆性特色活动品牌。项目自2020年创办以来已连续举办四届，形成了一定的影响力，能够展示西城区历史文化名城保护和城市文化建设的特色。2024年继续开展“白塔夜话”文化系列活动。该项目立项的政策文件和区文化和旅游局的整体规划充分。 </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2.绩效目标设立情况：项目所设定的绩效目标依据充分，符合客观实际；项目绩效目标明确细化分解为具体的绩效指标，可以通过清晰、可衡量的指标值予以体现，能够与项目目标任务数或计划数相对应。</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3.资金投入情况：</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根据项目年度重点任务编制预算，预算内容与项目内容较匹配，资金量与工作任务相匹配。资金分配合理。</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（二）项目过程情况。</w:t>
      </w:r>
    </w:p>
    <w:p>
      <w:pPr>
        <w:spacing w:line="480" w:lineRule="exact"/>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 xml:space="preserve">    1.资金的管理情况：我单位该项目预算申请资金252万元，财政实际批复预算资金252万元，资金到位率100%。该项目预算资金按照年初预算申报书及项目绩效目标表里所列内容执行，资金使用符合我局财务管理及内控制度规定；资金拨付有完整的审批程序和手续；符合项目预算或合同规定的用途；不存在截留、挤占、挪用、虚列支出等。</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2.项目组织实施情况：按照年初制定的项目实施计划组织实施该项目。</w:t>
      </w:r>
    </w:p>
    <w:p>
      <w:pPr>
        <w:numPr>
          <w:ilvl w:val="0"/>
          <w:numId w:val="1"/>
        </w:num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项目产出情况。</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1.产出数量：</w:t>
      </w:r>
    </w:p>
    <w:p>
      <w:pPr>
        <w:spacing w:line="480" w:lineRule="exact"/>
        <w:ind w:firstLine="440" w:firstLineChars="200"/>
        <w:outlineLvl w:val="0"/>
        <w:rPr>
          <w:rFonts w:ascii="宋体" w:hAnsi="宋体" w:eastAsia="宋体" w:cs="宋体"/>
          <w:i/>
          <w:color w:val="000000"/>
          <w:kern w:val="0"/>
          <w:sz w:val="22"/>
          <w:szCs w:val="24"/>
        </w:rPr>
      </w:pPr>
      <w:r>
        <w:rPr>
          <w:rFonts w:hint="eastAsia" w:ascii="宋体" w:hAnsi="宋体" w:eastAsia="宋体" w:cs="宋体"/>
          <w:color w:val="000000"/>
          <w:kern w:val="0"/>
          <w:sz w:val="22"/>
          <w:szCs w:val="24"/>
        </w:rPr>
        <w:t>开展活动数量：举办主活动1场，平行活动4场。活动覆盖线上线下万人以上。</w:t>
      </w:r>
    </w:p>
    <w:p>
      <w:pPr>
        <w:spacing w:line="480" w:lineRule="exact"/>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文化市级商家30家。共开展2次直播。拍摄活动照片857张、视频3个。设计活动主形象1个。</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2.产出质量：主活动嘉宾参与度高、嘉宾专业背景与主题匹配度高；活动具有较强影响力；未发生重大事故。</w:t>
      </w:r>
    </w:p>
    <w:p>
      <w:pPr>
        <w:spacing w:line="48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3.产出时效：该项目严格按照计划实施，各个时间节点与活动方案相符。</w:t>
      </w:r>
    </w:p>
    <w:p>
      <w:pPr>
        <w:widowControl/>
        <w:spacing w:line="480" w:lineRule="exact"/>
        <w:ind w:firstLine="440" w:firstLineChars="200"/>
        <w:jc w:val="left"/>
        <w:rPr>
          <w:rFonts w:ascii="宋体" w:hAnsi="宋体" w:eastAsia="宋体" w:cs="宋体"/>
          <w:color w:val="000000"/>
          <w:kern w:val="0"/>
          <w:sz w:val="22"/>
          <w:szCs w:val="24"/>
        </w:rPr>
      </w:pPr>
      <w:r>
        <w:rPr>
          <w:rFonts w:hint="eastAsia" w:ascii="宋体" w:hAnsi="宋体" w:eastAsia="宋体" w:cs="宋体"/>
          <w:color w:val="000000"/>
          <w:kern w:val="0"/>
          <w:sz w:val="22"/>
          <w:szCs w:val="24"/>
        </w:rPr>
        <w:t>4.产出成本：该项目根据预算计划合理安排资金，与申报各项预算资金金额相符。</w:t>
      </w:r>
    </w:p>
    <w:p>
      <w:pPr>
        <w:widowControl/>
        <w:spacing w:line="480" w:lineRule="exact"/>
        <w:ind w:firstLine="440" w:firstLineChars="200"/>
        <w:jc w:val="left"/>
        <w:rPr>
          <w:rFonts w:ascii="宋体" w:hAnsi="宋体" w:eastAsia="宋体" w:cs="宋体"/>
          <w:color w:val="000000"/>
          <w:kern w:val="0"/>
          <w:sz w:val="22"/>
          <w:szCs w:val="24"/>
        </w:rPr>
      </w:pPr>
      <w:r>
        <w:rPr>
          <w:rFonts w:hint="eastAsia" w:ascii="宋体" w:hAnsi="宋体" w:eastAsia="宋体" w:cs="宋体"/>
          <w:color w:val="000000"/>
          <w:kern w:val="0"/>
          <w:sz w:val="22"/>
          <w:szCs w:val="24"/>
        </w:rPr>
        <w:t>（三）项目效益情况。</w:t>
      </w:r>
    </w:p>
    <w:p>
      <w:pPr>
        <w:widowControl/>
        <w:spacing w:line="480" w:lineRule="exact"/>
        <w:ind w:firstLine="440" w:firstLineChars="200"/>
        <w:jc w:val="left"/>
        <w:rPr>
          <w:rFonts w:ascii="宋体" w:hAnsi="宋体" w:eastAsia="宋体" w:cs="宋体"/>
          <w:color w:val="000000"/>
          <w:kern w:val="0"/>
          <w:sz w:val="22"/>
          <w:szCs w:val="24"/>
        </w:rPr>
      </w:pPr>
      <w:r>
        <w:rPr>
          <w:rFonts w:hint="eastAsia" w:ascii="宋体" w:hAnsi="宋体" w:eastAsia="宋体" w:cs="宋体"/>
          <w:color w:val="000000"/>
          <w:kern w:val="0"/>
          <w:sz w:val="22"/>
          <w:szCs w:val="24"/>
        </w:rPr>
        <w:t>社会效益：满足人民群众对高品质文化生活的需求</w:t>
      </w:r>
    </w:p>
    <w:p>
      <w:pPr>
        <w:widowControl/>
        <w:spacing w:line="480" w:lineRule="exact"/>
        <w:ind w:firstLine="440" w:firstLineChars="200"/>
        <w:jc w:val="left"/>
        <w:rPr>
          <w:rFonts w:ascii="宋体" w:hAnsi="宋体" w:eastAsia="宋体" w:cs="宋体"/>
          <w:color w:val="000000"/>
          <w:kern w:val="0"/>
          <w:sz w:val="22"/>
          <w:szCs w:val="24"/>
        </w:rPr>
      </w:pPr>
      <w:r>
        <w:rPr>
          <w:rFonts w:hint="eastAsia" w:ascii="宋体" w:hAnsi="宋体" w:eastAsia="宋体" w:cs="宋体"/>
          <w:color w:val="000000"/>
          <w:kern w:val="0"/>
          <w:sz w:val="22"/>
          <w:szCs w:val="24"/>
        </w:rPr>
        <w:t>可持续性影响：打造“白塔夜话”IP</w:t>
      </w:r>
      <w:r>
        <w:rPr>
          <w:rFonts w:hint="eastAsia" w:ascii="宋体" w:hAnsi="宋体" w:eastAsia="宋体" w:cs="宋体"/>
          <w:color w:val="000000"/>
          <w:kern w:val="0"/>
          <w:sz w:val="22"/>
          <w:szCs w:val="24"/>
        </w:rPr>
        <w:tab/>
      </w:r>
      <w:r>
        <w:rPr>
          <w:rFonts w:hint="eastAsia" w:ascii="宋体" w:hAnsi="宋体" w:eastAsia="宋体" w:cs="宋体"/>
          <w:color w:val="000000"/>
          <w:kern w:val="0"/>
          <w:sz w:val="22"/>
          <w:szCs w:val="24"/>
        </w:rPr>
        <w:t>通过历届“白塔夜话”系列活动，将“白塔夜话”打造成为北京市标杆性特色活动品牌。</w:t>
      </w:r>
    </w:p>
    <w:p>
      <w:pPr>
        <w:widowControl/>
        <w:spacing w:line="480" w:lineRule="exact"/>
        <w:ind w:firstLine="440" w:firstLineChars="200"/>
        <w:jc w:val="left"/>
        <w:rPr>
          <w:rFonts w:ascii="宋体" w:hAnsi="宋体" w:eastAsia="宋体" w:cs="宋体"/>
          <w:color w:val="000000"/>
          <w:kern w:val="0"/>
          <w:sz w:val="22"/>
          <w:szCs w:val="24"/>
        </w:rPr>
      </w:pPr>
      <w:r>
        <w:rPr>
          <w:rFonts w:hint="eastAsia" w:ascii="宋体" w:hAnsi="宋体" w:eastAsia="宋体" w:cs="宋体"/>
          <w:color w:val="000000"/>
          <w:kern w:val="0"/>
          <w:sz w:val="22"/>
          <w:szCs w:val="24"/>
        </w:rPr>
        <w:t>服务对象满意度：主活动嘉宾满意率、市集商户、顾客满意率均超过90%</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五、</w:t>
      </w:r>
      <w:bookmarkStart w:id="4" w:name="OLE_LINK2"/>
      <w:bookmarkStart w:id="5" w:name="OLE_LINK3"/>
      <w:r>
        <w:rPr>
          <w:rFonts w:hint="eastAsia" w:ascii="宋体" w:hAnsi="宋体" w:eastAsia="宋体" w:cs="宋体"/>
          <w:color w:val="000000"/>
          <w:kern w:val="0"/>
          <w:sz w:val="22"/>
          <w:szCs w:val="24"/>
        </w:rPr>
        <w:t>主要经验及做法</w:t>
      </w:r>
      <w:bookmarkEnd w:id="4"/>
      <w:bookmarkEnd w:id="5"/>
      <w:r>
        <w:rPr>
          <w:rFonts w:hint="eastAsia" w:ascii="宋体" w:hAnsi="宋体" w:eastAsia="宋体" w:cs="宋体"/>
          <w:color w:val="000000"/>
          <w:kern w:val="0"/>
          <w:sz w:val="22"/>
          <w:szCs w:val="24"/>
        </w:rPr>
        <w:t>、存在的问题及原因分析</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1.</w:t>
      </w:r>
      <w:r>
        <w:rPr>
          <w:rFonts w:ascii="宋体" w:hAnsi="宋体" w:eastAsia="宋体" w:cs="宋体"/>
          <w:color w:val="000000"/>
          <w:kern w:val="0"/>
          <w:sz w:val="22"/>
          <w:szCs w:val="24"/>
        </w:rPr>
        <w:t>紧扣文化主题</w:t>
      </w:r>
    </w:p>
    <w:p>
      <w:pPr>
        <w:spacing w:line="480" w:lineRule="exact"/>
        <w:ind w:firstLine="440" w:firstLineChars="200"/>
        <w:rPr>
          <w:rFonts w:ascii="宋体" w:hAnsi="宋体" w:eastAsia="宋体" w:cs="宋体"/>
          <w:color w:val="000000"/>
          <w:kern w:val="0"/>
          <w:sz w:val="22"/>
          <w:szCs w:val="24"/>
        </w:rPr>
      </w:pPr>
      <w:r>
        <w:rPr>
          <w:rFonts w:ascii="宋体" w:hAnsi="宋体" w:eastAsia="宋体" w:cs="宋体"/>
          <w:color w:val="000000"/>
          <w:kern w:val="0"/>
          <w:sz w:val="22"/>
          <w:szCs w:val="24"/>
        </w:rPr>
        <w:t>以 “守护文化瑰宝 绽放时代光彩” 为主题，结合北京中轴线申遗成功的契机，邀请众多专家学者、文化名人，通过主旨演讲、圆桌对话等形式，围绕文化遗产保护传承利用展开深入探讨，为文化遗产保护与城市发展提供思路和方向。</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w:t>
      </w:r>
      <w:r>
        <w:rPr>
          <w:rFonts w:ascii="宋体" w:hAnsi="宋体" w:eastAsia="宋体" w:cs="宋体"/>
          <w:color w:val="000000"/>
          <w:kern w:val="0"/>
          <w:sz w:val="22"/>
          <w:szCs w:val="24"/>
        </w:rPr>
        <w:t>打造多元活动形式</w:t>
      </w:r>
    </w:p>
    <w:p>
      <w:pPr>
        <w:spacing w:line="480" w:lineRule="exact"/>
        <w:ind w:firstLine="440" w:firstLineChars="200"/>
        <w:rPr>
          <w:rFonts w:ascii="宋体" w:hAnsi="宋体" w:eastAsia="宋体" w:cs="宋体"/>
          <w:color w:val="000000"/>
          <w:kern w:val="0"/>
          <w:sz w:val="22"/>
          <w:szCs w:val="24"/>
        </w:rPr>
      </w:pPr>
      <w:r>
        <w:rPr>
          <w:rFonts w:ascii="宋体" w:hAnsi="宋体" w:eastAsia="宋体" w:cs="宋体"/>
          <w:color w:val="000000"/>
          <w:kern w:val="0"/>
          <w:sz w:val="22"/>
          <w:szCs w:val="24"/>
        </w:rPr>
        <w:t>由 1 个主会场活动和 3 个平行活动构成，包括文化市集、文化直播、夜游指南发布等。主会场活动中，有精彩的文艺表演，如国家大剧院管弦乐团四重奏、“白塔之音” 西城文化主题曲《情满西城》的发布等；文化市集设置文创产品、创意服饰、非遗体验等主题板块及非遗互动项目，还推出 “最美路线 — 最美景观” 盖章打卡活动；文化直播邀请文化名人畅谈西城文化发展和特色文旅路线；夜游指南为市民游客提供多元化、沉浸式的夜间休闲娱乐新体验。</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3.</w:t>
      </w:r>
      <w:r>
        <w:rPr>
          <w:rFonts w:ascii="宋体" w:hAnsi="宋体" w:eastAsia="宋体" w:cs="宋体"/>
          <w:color w:val="000000"/>
          <w:kern w:val="0"/>
          <w:sz w:val="22"/>
          <w:szCs w:val="24"/>
        </w:rPr>
        <w:t>促进文商旅融合</w:t>
      </w:r>
    </w:p>
    <w:p>
      <w:pPr>
        <w:spacing w:line="480" w:lineRule="exact"/>
        <w:ind w:firstLine="440" w:firstLineChars="200"/>
        <w:rPr>
          <w:rFonts w:ascii="宋体" w:hAnsi="宋体" w:eastAsia="宋体" w:cs="宋体"/>
          <w:color w:val="000000"/>
          <w:kern w:val="0"/>
          <w:sz w:val="22"/>
          <w:szCs w:val="24"/>
        </w:rPr>
      </w:pPr>
      <w:r>
        <w:rPr>
          <w:rFonts w:ascii="宋体" w:hAnsi="宋体" w:eastAsia="宋体" w:cs="宋体"/>
          <w:color w:val="000000"/>
          <w:kern w:val="0"/>
          <w:sz w:val="22"/>
          <w:szCs w:val="24"/>
        </w:rPr>
        <w:t>文化市集活动联动西城区众多明星商户，如北海公园、菜百珠宝、白塔寺药店等，聚焦 “促消费、聚资源、创平台” 的核心目标，让传统文化与现代创意碰撞，使市民游客沉浸式解锁城市文商旅融合空间新体验，感受文化创新的魅力。</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4.</w:t>
      </w:r>
      <w:r>
        <w:rPr>
          <w:rFonts w:ascii="宋体" w:hAnsi="宋体" w:eastAsia="宋体" w:cs="宋体"/>
          <w:color w:val="000000"/>
          <w:kern w:val="0"/>
          <w:sz w:val="22"/>
          <w:szCs w:val="24"/>
        </w:rPr>
        <w:t>创新科技应用</w:t>
      </w:r>
    </w:p>
    <w:p>
      <w:pPr>
        <w:spacing w:line="480" w:lineRule="exact"/>
        <w:ind w:firstLine="440" w:firstLineChars="200"/>
        <w:rPr>
          <w:rFonts w:ascii="宋体" w:hAnsi="宋体" w:eastAsia="宋体" w:cs="宋体"/>
          <w:color w:val="000000"/>
          <w:kern w:val="0"/>
          <w:sz w:val="22"/>
          <w:szCs w:val="24"/>
        </w:rPr>
      </w:pPr>
      <w:r>
        <w:rPr>
          <w:rFonts w:ascii="宋体" w:hAnsi="宋体" w:eastAsia="宋体" w:cs="宋体"/>
          <w:color w:val="000000"/>
          <w:kern w:val="0"/>
          <w:sz w:val="22"/>
          <w:szCs w:val="24"/>
        </w:rPr>
        <w:t>主会场活动现场设置文化光影空间，借助全息立屏灯、激光雾幕门、AI 创作工具等装置，营造时空穿梭之感，让古建空间在科技化、数字化手段下焕发新颜，为参与者带来沉浸式体验。</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5.</w:t>
      </w:r>
      <w:r>
        <w:rPr>
          <w:rFonts w:ascii="宋体" w:hAnsi="宋体" w:eastAsia="宋体" w:cs="宋体"/>
          <w:color w:val="000000"/>
          <w:kern w:val="0"/>
          <w:sz w:val="22"/>
          <w:szCs w:val="24"/>
        </w:rPr>
        <w:t>注重宣传推广</w:t>
      </w:r>
    </w:p>
    <w:p>
      <w:pPr>
        <w:spacing w:line="480" w:lineRule="exact"/>
        <w:ind w:firstLine="440" w:firstLineChars="200"/>
        <w:rPr>
          <w:rFonts w:ascii="宋体" w:hAnsi="宋体" w:eastAsia="宋体" w:cs="宋体"/>
          <w:color w:val="000000"/>
          <w:kern w:val="0"/>
          <w:sz w:val="22"/>
          <w:szCs w:val="24"/>
        </w:rPr>
      </w:pPr>
      <w:r>
        <w:rPr>
          <w:rFonts w:ascii="宋体" w:hAnsi="宋体" w:eastAsia="宋体" w:cs="宋体"/>
          <w:color w:val="000000"/>
          <w:kern w:val="0"/>
          <w:sz w:val="22"/>
          <w:szCs w:val="24"/>
        </w:rPr>
        <w:t>通过多种渠道进行宣传，包括媒体报道、网络直播等，扩大活动的影响力和知名度。文化直播活动的开展，进一步增强了活动的体验性与互动性，吸引更多人关注西城文化和活动。同时，“西城夜时光” 夜游指南的发布，也为宣传西城夜间文旅资源提供了新的途径。</w:t>
      </w:r>
    </w:p>
    <w:p>
      <w:p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三、工作设想</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未来，西城区将协同各方，共同用好白塔夜话这个文化会客厅。</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汇聚更多智慧，探索文化传承的新方式，以中轴线申遗成功为起点，进一步推进老城整体保护与复兴，创新传统文化的表现形式，努力让文物和文化遗产活起来，促进优秀传统文化在新时代绽放更加璀璨的光彩。</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汇聚更多力量，持续深挖文化资源，推动文化元素融入金融、科技、旅游等行业深度融合，答好“文化+”的时代新命题，为区域高质量发展增添更多的文化动能。</w:t>
      </w:r>
    </w:p>
    <w:p>
      <w:pPr>
        <w:spacing w:line="48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汇聚更多动能，拓宽国内外交流渠道，用好多维度传播平台，讲好大国首都核心区的西城故事，打造好世界读懂中国、了解北京的重要窗口，让更多的国内外受众感知中国文化的丰富多彩，感受中华文明的博大精深。</w:t>
      </w:r>
    </w:p>
    <w:p>
      <w:pPr>
        <w:numPr>
          <w:ilvl w:val="0"/>
          <w:numId w:val="2"/>
        </w:numPr>
        <w:spacing w:line="48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有关建议</w:t>
      </w:r>
      <w:r>
        <w:rPr>
          <w:rFonts w:hint="eastAsia" w:ascii="宋体" w:hAnsi="宋体" w:eastAsia="宋体" w:cs="宋体"/>
          <w:color w:val="000000"/>
          <w:kern w:val="0"/>
          <w:sz w:val="22"/>
          <w:szCs w:val="24"/>
          <w:lang w:val="en-US" w:eastAsia="zh-CN"/>
        </w:rPr>
        <w:t xml:space="preserve"> </w:t>
      </w:r>
    </w:p>
    <w:p>
      <w:pPr>
        <w:numPr>
          <w:ilvl w:val="0"/>
          <w:numId w:val="0"/>
        </w:numPr>
        <w:spacing w:line="480" w:lineRule="exact"/>
        <w:ind w:firstLine="440" w:firstLineChars="200"/>
        <w:rPr>
          <w:rFonts w:hint="default" w:ascii="宋体" w:hAnsi="宋体" w:eastAsia="宋体" w:cs="宋体"/>
          <w:color w:val="000000"/>
          <w:kern w:val="0"/>
          <w:sz w:val="22"/>
          <w:szCs w:val="24"/>
          <w:lang w:val="en-US"/>
        </w:rPr>
      </w:pPr>
      <w:r>
        <w:rPr>
          <w:rFonts w:hint="eastAsia" w:ascii="宋体" w:hAnsi="宋体" w:eastAsia="宋体" w:cs="宋体"/>
          <w:color w:val="000000"/>
          <w:kern w:val="0"/>
          <w:sz w:val="22"/>
          <w:szCs w:val="24"/>
          <w:lang w:val="en-US" w:eastAsia="zh-CN"/>
        </w:rPr>
        <w:t>无</w:t>
      </w:r>
    </w:p>
    <w:p>
      <w:pPr>
        <w:numPr>
          <w:ilvl w:val="0"/>
          <w:numId w:val="2"/>
        </w:numPr>
        <w:spacing w:line="480" w:lineRule="exact"/>
        <w:ind w:left="0" w:leftChars="0"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其他需要说明的问题</w:t>
      </w:r>
    </w:p>
    <w:p>
      <w:pPr>
        <w:numPr>
          <w:ilvl w:val="0"/>
          <w:numId w:val="0"/>
        </w:numPr>
        <w:spacing w:line="480" w:lineRule="exact"/>
        <w:ind w:leftChars="20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FD70E3"/>
    <w:multiLevelType w:val="singleLevel"/>
    <w:tmpl w:val="95FD70E3"/>
    <w:lvl w:ilvl="0" w:tentative="0">
      <w:start w:val="6"/>
      <w:numFmt w:val="chineseCounting"/>
      <w:suff w:val="nothing"/>
      <w:lvlText w:val="%1、"/>
      <w:lvlJc w:val="left"/>
      <w:rPr>
        <w:rFonts w:hint="eastAsia"/>
      </w:rPr>
    </w:lvl>
  </w:abstractNum>
  <w:abstractNum w:abstractNumId="1">
    <w:nsid w:val="238E6DFF"/>
    <w:multiLevelType w:val="singleLevel"/>
    <w:tmpl w:val="238E6DF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05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46A27"/>
    <w:rsid w:val="00051339"/>
    <w:rsid w:val="0005198F"/>
    <w:rsid w:val="00051EE8"/>
    <w:rsid w:val="00054410"/>
    <w:rsid w:val="00054D87"/>
    <w:rsid w:val="000555C9"/>
    <w:rsid w:val="00055994"/>
    <w:rsid w:val="00057285"/>
    <w:rsid w:val="0006024E"/>
    <w:rsid w:val="00061BC4"/>
    <w:rsid w:val="00063447"/>
    <w:rsid w:val="00064E08"/>
    <w:rsid w:val="00065A83"/>
    <w:rsid w:val="00066CDF"/>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9D4"/>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6401"/>
    <w:rsid w:val="000E786D"/>
    <w:rsid w:val="000F1042"/>
    <w:rsid w:val="000F131B"/>
    <w:rsid w:val="000F54DB"/>
    <w:rsid w:val="00101FFE"/>
    <w:rsid w:val="00103A90"/>
    <w:rsid w:val="00104928"/>
    <w:rsid w:val="00104BFC"/>
    <w:rsid w:val="00104CCD"/>
    <w:rsid w:val="00105C64"/>
    <w:rsid w:val="00106556"/>
    <w:rsid w:val="00106AF6"/>
    <w:rsid w:val="00106FB2"/>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52B4"/>
    <w:rsid w:val="001B6DF2"/>
    <w:rsid w:val="001C21F0"/>
    <w:rsid w:val="001C37D4"/>
    <w:rsid w:val="001C420C"/>
    <w:rsid w:val="001C4486"/>
    <w:rsid w:val="001D0428"/>
    <w:rsid w:val="001D09E1"/>
    <w:rsid w:val="001D0C3E"/>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0B0C"/>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B7CE0"/>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2F7163"/>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3FB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465E0"/>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3E53"/>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24E3"/>
    <w:rsid w:val="004138E8"/>
    <w:rsid w:val="004155BB"/>
    <w:rsid w:val="004164E7"/>
    <w:rsid w:val="00416A3D"/>
    <w:rsid w:val="004202C3"/>
    <w:rsid w:val="00420BE0"/>
    <w:rsid w:val="004218CD"/>
    <w:rsid w:val="00425424"/>
    <w:rsid w:val="00427E44"/>
    <w:rsid w:val="00431188"/>
    <w:rsid w:val="00432B3A"/>
    <w:rsid w:val="0043334B"/>
    <w:rsid w:val="004349C5"/>
    <w:rsid w:val="00435D50"/>
    <w:rsid w:val="00435F4B"/>
    <w:rsid w:val="004366CD"/>
    <w:rsid w:val="004368F4"/>
    <w:rsid w:val="00437F4D"/>
    <w:rsid w:val="004403E7"/>
    <w:rsid w:val="004404D3"/>
    <w:rsid w:val="00440F47"/>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0AC6"/>
    <w:rsid w:val="004C2EE5"/>
    <w:rsid w:val="004C415E"/>
    <w:rsid w:val="004C6A12"/>
    <w:rsid w:val="004C7708"/>
    <w:rsid w:val="004C7A01"/>
    <w:rsid w:val="004D02A0"/>
    <w:rsid w:val="004D0598"/>
    <w:rsid w:val="004D16AC"/>
    <w:rsid w:val="004D3EC9"/>
    <w:rsid w:val="004D50E4"/>
    <w:rsid w:val="004D5B2F"/>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C9D"/>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0141"/>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008"/>
    <w:rsid w:val="0057019F"/>
    <w:rsid w:val="00570893"/>
    <w:rsid w:val="0057360D"/>
    <w:rsid w:val="00574D33"/>
    <w:rsid w:val="00575B77"/>
    <w:rsid w:val="00576A45"/>
    <w:rsid w:val="0057724F"/>
    <w:rsid w:val="00580457"/>
    <w:rsid w:val="00580584"/>
    <w:rsid w:val="00580B29"/>
    <w:rsid w:val="00581195"/>
    <w:rsid w:val="005822F3"/>
    <w:rsid w:val="00590143"/>
    <w:rsid w:val="005932C4"/>
    <w:rsid w:val="0059402A"/>
    <w:rsid w:val="0059526F"/>
    <w:rsid w:val="00595AC2"/>
    <w:rsid w:val="00597689"/>
    <w:rsid w:val="005A0419"/>
    <w:rsid w:val="005A2ABF"/>
    <w:rsid w:val="005A3432"/>
    <w:rsid w:val="005A3F1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35F0"/>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38B9"/>
    <w:rsid w:val="00645603"/>
    <w:rsid w:val="006510A0"/>
    <w:rsid w:val="00652B35"/>
    <w:rsid w:val="006568D4"/>
    <w:rsid w:val="00660CC5"/>
    <w:rsid w:val="00661500"/>
    <w:rsid w:val="00661928"/>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1E6C"/>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47B"/>
    <w:rsid w:val="006C4CD2"/>
    <w:rsid w:val="006C5B7E"/>
    <w:rsid w:val="006C670A"/>
    <w:rsid w:val="006D0F4E"/>
    <w:rsid w:val="006D16B4"/>
    <w:rsid w:val="006D4E3C"/>
    <w:rsid w:val="006D5DE8"/>
    <w:rsid w:val="006D7807"/>
    <w:rsid w:val="006E00CE"/>
    <w:rsid w:val="006E07E2"/>
    <w:rsid w:val="006E08FA"/>
    <w:rsid w:val="006E1C3D"/>
    <w:rsid w:val="006E246F"/>
    <w:rsid w:val="006E3191"/>
    <w:rsid w:val="006E4F2B"/>
    <w:rsid w:val="006E5832"/>
    <w:rsid w:val="006E5C98"/>
    <w:rsid w:val="006E7017"/>
    <w:rsid w:val="006E70B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40B2"/>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D6"/>
    <w:rsid w:val="007644F9"/>
    <w:rsid w:val="00764577"/>
    <w:rsid w:val="00786464"/>
    <w:rsid w:val="007877A6"/>
    <w:rsid w:val="00791C3B"/>
    <w:rsid w:val="00794E45"/>
    <w:rsid w:val="00795175"/>
    <w:rsid w:val="00795CB1"/>
    <w:rsid w:val="00795F10"/>
    <w:rsid w:val="007A0300"/>
    <w:rsid w:val="007A0A80"/>
    <w:rsid w:val="007A179D"/>
    <w:rsid w:val="007A3E0F"/>
    <w:rsid w:val="007A407C"/>
    <w:rsid w:val="007A5C30"/>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1328"/>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7F7AB6"/>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7EB"/>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0F35"/>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94C08"/>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B6A72"/>
    <w:rsid w:val="008C12D0"/>
    <w:rsid w:val="008C1690"/>
    <w:rsid w:val="008C226E"/>
    <w:rsid w:val="008C2C39"/>
    <w:rsid w:val="008C489E"/>
    <w:rsid w:val="008C5218"/>
    <w:rsid w:val="008C6C02"/>
    <w:rsid w:val="008C7A80"/>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678AB"/>
    <w:rsid w:val="0097320E"/>
    <w:rsid w:val="00975647"/>
    <w:rsid w:val="00975ABA"/>
    <w:rsid w:val="00976299"/>
    <w:rsid w:val="00976624"/>
    <w:rsid w:val="009771C5"/>
    <w:rsid w:val="009832B5"/>
    <w:rsid w:val="00983854"/>
    <w:rsid w:val="00986E43"/>
    <w:rsid w:val="00987196"/>
    <w:rsid w:val="009900F5"/>
    <w:rsid w:val="009912E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32E"/>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16183"/>
    <w:rsid w:val="00A16CB9"/>
    <w:rsid w:val="00A203AE"/>
    <w:rsid w:val="00A22ABA"/>
    <w:rsid w:val="00A23BF2"/>
    <w:rsid w:val="00A31518"/>
    <w:rsid w:val="00A33B08"/>
    <w:rsid w:val="00A34466"/>
    <w:rsid w:val="00A35B43"/>
    <w:rsid w:val="00A365E0"/>
    <w:rsid w:val="00A3754D"/>
    <w:rsid w:val="00A37CE0"/>
    <w:rsid w:val="00A40129"/>
    <w:rsid w:val="00A421FC"/>
    <w:rsid w:val="00A42C40"/>
    <w:rsid w:val="00A43DFF"/>
    <w:rsid w:val="00A45E13"/>
    <w:rsid w:val="00A46469"/>
    <w:rsid w:val="00A46E78"/>
    <w:rsid w:val="00A50735"/>
    <w:rsid w:val="00A50870"/>
    <w:rsid w:val="00A52570"/>
    <w:rsid w:val="00A529E1"/>
    <w:rsid w:val="00A52EAA"/>
    <w:rsid w:val="00A537D9"/>
    <w:rsid w:val="00A5494E"/>
    <w:rsid w:val="00A5688F"/>
    <w:rsid w:val="00A56A18"/>
    <w:rsid w:val="00A56DCB"/>
    <w:rsid w:val="00A57D63"/>
    <w:rsid w:val="00A603BA"/>
    <w:rsid w:val="00A617BC"/>
    <w:rsid w:val="00A62071"/>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089"/>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9C0"/>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746"/>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211C"/>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6FAC"/>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2B9C"/>
    <w:rsid w:val="00B9333F"/>
    <w:rsid w:val="00B934C1"/>
    <w:rsid w:val="00B94900"/>
    <w:rsid w:val="00B9533E"/>
    <w:rsid w:val="00BA0682"/>
    <w:rsid w:val="00BA3369"/>
    <w:rsid w:val="00BA372C"/>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62D"/>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411"/>
    <w:rsid w:val="00C34947"/>
    <w:rsid w:val="00C355DE"/>
    <w:rsid w:val="00C35CD4"/>
    <w:rsid w:val="00C37132"/>
    <w:rsid w:val="00C37747"/>
    <w:rsid w:val="00C40A4D"/>
    <w:rsid w:val="00C427D9"/>
    <w:rsid w:val="00C44BE0"/>
    <w:rsid w:val="00C46665"/>
    <w:rsid w:val="00C46E88"/>
    <w:rsid w:val="00C509A3"/>
    <w:rsid w:val="00C50BB1"/>
    <w:rsid w:val="00C50ED1"/>
    <w:rsid w:val="00C51A00"/>
    <w:rsid w:val="00C53B0A"/>
    <w:rsid w:val="00C54B91"/>
    <w:rsid w:val="00C556DC"/>
    <w:rsid w:val="00C5728D"/>
    <w:rsid w:val="00C57425"/>
    <w:rsid w:val="00C62F6A"/>
    <w:rsid w:val="00C64F23"/>
    <w:rsid w:val="00C66B8F"/>
    <w:rsid w:val="00C66FA4"/>
    <w:rsid w:val="00C67484"/>
    <w:rsid w:val="00C67CD3"/>
    <w:rsid w:val="00C70E3C"/>
    <w:rsid w:val="00C74D80"/>
    <w:rsid w:val="00C766D2"/>
    <w:rsid w:val="00C80C75"/>
    <w:rsid w:val="00C82B2A"/>
    <w:rsid w:val="00C84183"/>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4242"/>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0A27"/>
    <w:rsid w:val="00D930C9"/>
    <w:rsid w:val="00D952A6"/>
    <w:rsid w:val="00D95630"/>
    <w:rsid w:val="00D95656"/>
    <w:rsid w:val="00D95B53"/>
    <w:rsid w:val="00D97DAC"/>
    <w:rsid w:val="00DA0A49"/>
    <w:rsid w:val="00DA1160"/>
    <w:rsid w:val="00DA1B98"/>
    <w:rsid w:val="00DA2728"/>
    <w:rsid w:val="00DA2D62"/>
    <w:rsid w:val="00DA33A7"/>
    <w:rsid w:val="00DA713B"/>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0AFF"/>
    <w:rsid w:val="00DD126C"/>
    <w:rsid w:val="00DD13DF"/>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AD5"/>
    <w:rsid w:val="00E06E00"/>
    <w:rsid w:val="00E06FEB"/>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A12"/>
    <w:rsid w:val="00E36FFA"/>
    <w:rsid w:val="00E4146D"/>
    <w:rsid w:val="00E42B91"/>
    <w:rsid w:val="00E44694"/>
    <w:rsid w:val="00E46ACB"/>
    <w:rsid w:val="00E54B00"/>
    <w:rsid w:val="00E5609C"/>
    <w:rsid w:val="00E57835"/>
    <w:rsid w:val="00E60A68"/>
    <w:rsid w:val="00E60F72"/>
    <w:rsid w:val="00E61391"/>
    <w:rsid w:val="00E62A45"/>
    <w:rsid w:val="00E649C6"/>
    <w:rsid w:val="00E6566F"/>
    <w:rsid w:val="00E66666"/>
    <w:rsid w:val="00E66DCD"/>
    <w:rsid w:val="00E66F1C"/>
    <w:rsid w:val="00E70966"/>
    <w:rsid w:val="00E70DE1"/>
    <w:rsid w:val="00E719C4"/>
    <w:rsid w:val="00E72567"/>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0A94"/>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5E89"/>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392"/>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3DA4"/>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0466"/>
    <w:rsid w:val="00FE1123"/>
    <w:rsid w:val="00FE4048"/>
    <w:rsid w:val="00FE4094"/>
    <w:rsid w:val="00FE4942"/>
    <w:rsid w:val="00FE6424"/>
    <w:rsid w:val="00FE6430"/>
    <w:rsid w:val="00FF1B37"/>
    <w:rsid w:val="00FF2D5F"/>
    <w:rsid w:val="00FF4423"/>
    <w:rsid w:val="00FF57EF"/>
    <w:rsid w:val="00FF629E"/>
    <w:rsid w:val="00FF71B5"/>
    <w:rsid w:val="034E43FE"/>
    <w:rsid w:val="37650C9A"/>
    <w:rsid w:val="52703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 w:type="character" w:customStyle="1" w:styleId="9">
    <w:name w:val="ref_content_circle"/>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772</Words>
  <Characters>4407</Characters>
  <Lines>36</Lines>
  <Paragraphs>10</Paragraphs>
  <TotalTime>316</TotalTime>
  <ScaleCrop>false</ScaleCrop>
  <LinksUpToDate>false</LinksUpToDate>
  <CharactersWithSpaces>5169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2025-04-22T07:40:00Z</dcterms:created>
  <dc:creator>王雅婧</dc:creator>
  <cp:lastModifiedBy>糖果玥</cp:lastModifiedBy>
  <dcterms:modified xsi:type="dcterms:W3CDTF">2025-08-28T05:55:14Z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D5DA39BCCC0B48CC9E95BCA71B904925</vt:lpwstr>
  </property>
</Properties>
</file>