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ascii="宋体" w:hAnsi="宋体" w:cs="宋体"/>
          <w:b/>
          <w:bCs/>
          <w:kern w:val="0"/>
          <w:sz w:val="36"/>
          <w:szCs w:val="36"/>
        </w:rPr>
      </w:pP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第一部分 </w:t>
      </w:r>
      <w:r>
        <w:rPr>
          <w:rFonts w:hint="eastAsia" w:ascii="宋体" w:hAnsi="宋体" w:cs="宋体"/>
          <w:bCs/>
          <w:spacing w:val="40"/>
          <w:kern w:val="0"/>
          <w:sz w:val="32"/>
          <w:szCs w:val="32"/>
          <w:lang w:eastAsia="zh-CN"/>
        </w:rPr>
        <w:t>2024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五</w:t>
      </w:r>
      <w:r>
        <w:rPr>
          <w:rFonts w:hint="eastAsia" w:ascii="仿宋_GB2312" w:hAnsi="仿宋" w:eastAsia="仿宋_GB2312" w:cs="宋体"/>
          <w:bCs/>
          <w:spacing w:val="40"/>
          <w:kern w:val="0"/>
          <w:sz w:val="32"/>
          <w:szCs w:val="32"/>
        </w:rPr>
        <w:t>、一般公共预算财政拨款支出决算表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六</w:t>
      </w:r>
      <w:r>
        <w:rPr>
          <w:rFonts w:hint="eastAsia" w:ascii="仿宋_GB2312" w:hAnsi="仿宋" w:eastAsia="仿宋_GB2312" w:cs="宋体"/>
          <w:bCs/>
          <w:spacing w:val="40"/>
          <w:kern w:val="0"/>
          <w:sz w:val="32"/>
          <w:szCs w:val="32"/>
        </w:rPr>
        <w:t>、一般公共预算财政拨款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十</w:t>
      </w:r>
      <w:r>
        <w:rPr>
          <w:rFonts w:hint="eastAsia" w:ascii="仿宋_GB2312" w:hAnsi="仿宋" w:eastAsia="仿宋_GB2312" w:cs="宋体"/>
          <w:bCs/>
          <w:spacing w:val="40"/>
          <w:kern w:val="0"/>
          <w:sz w:val="32"/>
          <w:szCs w:val="32"/>
        </w:rPr>
        <w:t>、财政拨款“三公”经费支出决算表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一</w:t>
      </w:r>
      <w:r>
        <w:rPr>
          <w:rFonts w:hint="eastAsia" w:ascii="仿宋_GB2312" w:hAnsi="仿宋" w:eastAsia="仿宋_GB2312" w:cs="宋体"/>
          <w:bCs/>
          <w:spacing w:val="40"/>
          <w:kern w:val="0"/>
          <w:sz w:val="32"/>
          <w:szCs w:val="32"/>
        </w:rPr>
        <w:t>、政府采购情况表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lang w:eastAsia="zh-CN"/>
        </w:rPr>
        <w:t>2024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lang w:eastAsia="zh-CN"/>
        </w:rPr>
        <w:t>2024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 xml:space="preserve">第四部分 </w:t>
      </w:r>
      <w:r>
        <w:rPr>
          <w:rFonts w:hint="eastAsia" w:ascii="宋体" w:hAnsi="宋体" w:cs="宋体"/>
          <w:spacing w:val="40"/>
          <w:kern w:val="0"/>
          <w:sz w:val="32"/>
          <w:szCs w:val="32"/>
          <w:lang w:eastAsia="zh-CN"/>
        </w:rPr>
        <w:t>2024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3"/>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一、部门/单位基本情况</w:t>
      </w:r>
    </w:p>
    <w:p>
      <w:pPr>
        <w:tabs>
          <w:tab w:val="center" w:pos="6979"/>
        </w:tabs>
        <w:spacing w:line="580" w:lineRule="exact"/>
        <w:ind w:firstLine="420" w:firstLineChars="150"/>
        <w:rPr>
          <w:rFonts w:hint="eastAsia" w:ascii="仿宋_GB2312" w:eastAsia="仿宋_GB2312"/>
          <w:sz w:val="28"/>
          <w:szCs w:val="28"/>
        </w:rPr>
      </w:pPr>
      <w:r>
        <w:rPr>
          <w:rFonts w:hint="eastAsia" w:ascii="仿宋_GB2312" w:eastAsia="仿宋_GB2312"/>
          <w:sz w:val="28"/>
          <w:szCs w:val="28"/>
        </w:rPr>
        <w:t>（一）机构</w:t>
      </w:r>
      <w:r>
        <w:rPr>
          <w:rFonts w:ascii="仿宋_GB2312" w:eastAsia="仿宋_GB2312"/>
          <w:sz w:val="28"/>
          <w:szCs w:val="28"/>
        </w:rPr>
        <w:t>设置、</w:t>
      </w:r>
      <w:r>
        <w:rPr>
          <w:rFonts w:hint="eastAsia" w:ascii="仿宋_GB2312" w:eastAsia="仿宋_GB2312"/>
          <w:sz w:val="28"/>
          <w:szCs w:val="28"/>
        </w:rPr>
        <w:t>职责</w:t>
      </w:r>
    </w:p>
    <w:p>
      <w:pPr>
        <w:tabs>
          <w:tab w:val="center" w:pos="6979"/>
        </w:tabs>
        <w:spacing w:line="580" w:lineRule="exact"/>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西城区文化市场综合执法大队是2021年机构改革单位，为中共北京市西城区委宣传部与北京市西城区文化和旅游局双重管理的副处级行政执法机构，主要职责如下：</w:t>
      </w:r>
    </w:p>
    <w:p>
      <w:pPr>
        <w:tabs>
          <w:tab w:val="center" w:pos="6979"/>
        </w:tabs>
        <w:spacing w:line="580" w:lineRule="exact"/>
        <w:ind w:firstLine="420" w:firstLineChars="15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（1）承担集中行使法律、法规、规章规定的文化、文物、新闻出版、版权、广播电视、电影、旅游市场以及宗教等领域应由区级行政主管部门行使的行政处罚权以及与之相关的行政检查、行政强制权。</w:t>
      </w:r>
    </w:p>
    <w:p>
      <w:pPr>
        <w:tabs>
          <w:tab w:val="center" w:pos="6979"/>
        </w:tabs>
        <w:spacing w:line="580" w:lineRule="exact"/>
        <w:ind w:firstLine="420" w:firstLineChars="15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（2）承担“扫黄打非”有关工作任务。</w:t>
      </w:r>
    </w:p>
    <w:p>
      <w:pPr>
        <w:tabs>
          <w:tab w:val="center" w:pos="6979"/>
        </w:tabs>
        <w:spacing w:line="580" w:lineRule="exact"/>
        <w:ind w:firstLine="420" w:firstLineChars="15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（3）负责相关领域重大疑难复杂案件的查处工作。</w:t>
      </w:r>
    </w:p>
    <w:p>
      <w:pPr>
        <w:tabs>
          <w:tab w:val="center" w:pos="6979"/>
        </w:tabs>
        <w:spacing w:line="580" w:lineRule="exact"/>
        <w:ind w:firstLine="420" w:firstLineChars="15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（4）承担北京市文化市场综合执法总队交办的有关行政执法工作。</w:t>
      </w:r>
    </w:p>
    <w:p>
      <w:pPr>
        <w:tabs>
          <w:tab w:val="center" w:pos="6979"/>
        </w:tabs>
        <w:spacing w:line="580" w:lineRule="exact"/>
        <w:ind w:firstLine="420" w:firstLineChars="15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（5）完成区委、区政府和区委宣传部、区文化和旅游局交办的其他任务。</w:t>
      </w:r>
    </w:p>
    <w:p>
      <w:pPr>
        <w:tabs>
          <w:tab w:val="center" w:pos="6979"/>
        </w:tabs>
        <w:spacing w:line="580" w:lineRule="exact"/>
        <w:rPr>
          <w:rFonts w:ascii="黑体" w:eastAsia="黑体"/>
          <w:b/>
          <w:sz w:val="28"/>
          <w:szCs w:val="28"/>
        </w:rPr>
      </w:pPr>
      <w:bookmarkStart w:id="0" w:name="_GoBack"/>
      <w:bookmarkEnd w:id="0"/>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1453.07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lang w:eastAsia="zh-CN"/>
        </w:rPr>
        <w:t>减少</w:t>
      </w:r>
      <w:r>
        <w:rPr>
          <w:rFonts w:hint="eastAsia" w:ascii="仿宋_GB2312" w:eastAsia="仿宋_GB2312"/>
          <w:sz w:val="28"/>
          <w:szCs w:val="28"/>
          <w:lang w:val="en-US" w:eastAsia="zh-CN"/>
        </w:rPr>
        <w:t>41.35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2.77</w:t>
      </w:r>
      <w:r>
        <w:rPr>
          <w:rFonts w:hint="eastAsia" w:ascii="仿宋_GB2312" w:eastAsia="仿宋_GB2312"/>
          <w:sz w:val="28"/>
          <w:szCs w:val="28"/>
        </w:rPr>
        <w:t>%。</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1453.07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w:t>
      </w:r>
      <w:r>
        <w:rPr>
          <w:rFonts w:hint="eastAsia" w:ascii="仿宋_GB2312" w:eastAsia="仿宋_GB2312"/>
          <w:sz w:val="28"/>
          <w:szCs w:val="28"/>
          <w:lang w:val="en-US" w:eastAsia="zh-CN"/>
        </w:rPr>
        <w:t>41.35</w:t>
      </w:r>
      <w:r>
        <w:rPr>
          <w:rFonts w:hint="eastAsia" w:ascii="仿宋_GB2312" w:eastAsia="仿宋_GB2312"/>
          <w:sz w:val="28"/>
          <w:szCs w:val="28"/>
        </w:rPr>
        <w:t>万元，下降</w:t>
      </w:r>
      <w:r>
        <w:rPr>
          <w:rFonts w:hint="eastAsia" w:ascii="仿宋_GB2312" w:eastAsia="仿宋_GB2312"/>
          <w:sz w:val="28"/>
          <w:szCs w:val="28"/>
          <w:lang w:val="en-US" w:eastAsia="zh-CN"/>
        </w:rPr>
        <w:t>2.77</w:t>
      </w:r>
      <w:r>
        <w:rPr>
          <w:rFonts w:hint="eastAsia" w:ascii="仿宋_GB2312" w:eastAsia="仿宋_GB2312"/>
          <w:sz w:val="28"/>
          <w:szCs w:val="28"/>
        </w:rPr>
        <w:t>%。</w:t>
      </w:r>
    </w:p>
    <w:p>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1453.07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1453.07</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pStyle w:val="3"/>
        <w:jc w:val="center"/>
        <w:rPr>
          <w:rFonts w:hint="eastAsia"/>
        </w:rPr>
      </w:pPr>
      <w:r>
        <w:rPr>
          <w:rFonts w:hint="eastAsia" w:ascii="仿宋_GB2312" w:eastAsia="仿宋_GB2312"/>
          <w:color w:val="000000"/>
          <w:sz w:val="32"/>
        </w:rPr>
        <w:t>图1：收入决算</w:t>
      </w:r>
    </w:p>
    <w:p>
      <w:pPr>
        <w:pStyle w:val="2"/>
        <w:ind w:firstLine="420"/>
        <w:jc w:val="center"/>
      </w:pPr>
      <w:r>
        <w:drawing>
          <wp:inline distT="0" distB="0" distL="0" distR="0">
            <wp:extent cx="4036695" cy="2328545"/>
            <wp:effectExtent l="4445" t="4445" r="16510" b="10160"/>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1453.07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lang w:eastAsia="zh-CN"/>
        </w:rPr>
        <w:t>下降</w:t>
      </w:r>
      <w:r>
        <w:rPr>
          <w:rFonts w:hint="eastAsia" w:ascii="仿宋_GB2312" w:eastAsia="仿宋_GB2312"/>
          <w:sz w:val="28"/>
          <w:szCs w:val="28"/>
          <w:lang w:val="en-US" w:eastAsia="zh-CN"/>
        </w:rPr>
        <w:t>41.35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2.77</w:t>
      </w:r>
      <w:r>
        <w:rPr>
          <w:rFonts w:hint="eastAsia" w:ascii="仿宋_GB2312" w:eastAsia="仿宋_GB2312"/>
          <w:sz w:val="28"/>
          <w:szCs w:val="28"/>
        </w:rPr>
        <w:t>%，其中：基本支出</w:t>
      </w:r>
      <w:r>
        <w:rPr>
          <w:rFonts w:ascii="仿宋_GB2312" w:eastAsia="仿宋_GB2312"/>
          <w:sz w:val="28"/>
          <w:szCs w:val="28"/>
        </w:rPr>
        <w:t>1325.53</w:t>
      </w:r>
      <w:r>
        <w:rPr>
          <w:rFonts w:hint="eastAsia" w:ascii="仿宋_GB2312" w:eastAsia="仿宋_GB2312"/>
          <w:sz w:val="28"/>
          <w:szCs w:val="28"/>
        </w:rPr>
        <w:t>万元，占支出合计的</w:t>
      </w:r>
      <w:r>
        <w:rPr>
          <w:rFonts w:hint="eastAsia" w:ascii="仿宋_GB2312" w:eastAsia="仿宋_GB2312"/>
          <w:sz w:val="28"/>
          <w:szCs w:val="28"/>
          <w:lang w:eastAsia="zh-CN"/>
        </w:rPr>
        <w:t>91.22</w:t>
      </w:r>
      <w:r>
        <w:rPr>
          <w:rFonts w:hint="eastAsia" w:ascii="仿宋_GB2312" w:eastAsia="仿宋_GB2312"/>
          <w:sz w:val="28"/>
          <w:szCs w:val="28"/>
        </w:rPr>
        <w:t>%；项目支出</w:t>
      </w:r>
      <w:r>
        <w:rPr>
          <w:rFonts w:ascii="仿宋_GB2312" w:eastAsia="仿宋_GB2312"/>
          <w:sz w:val="28"/>
          <w:szCs w:val="28"/>
        </w:rPr>
        <w:t>127.54</w:t>
      </w:r>
      <w:r>
        <w:rPr>
          <w:rFonts w:hint="eastAsia" w:ascii="仿宋_GB2312" w:eastAsia="仿宋_GB2312"/>
          <w:sz w:val="28"/>
          <w:szCs w:val="28"/>
        </w:rPr>
        <w:t>万元，占支出合计的</w:t>
      </w:r>
      <w:r>
        <w:rPr>
          <w:rFonts w:hint="eastAsia" w:ascii="仿宋_GB2312" w:eastAsia="仿宋_GB2312"/>
          <w:sz w:val="28"/>
          <w:szCs w:val="28"/>
          <w:lang w:eastAsia="zh-CN"/>
        </w:rPr>
        <w:t>8.78</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pStyle w:val="3"/>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1453.07</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lang w:eastAsia="zh-CN"/>
        </w:rPr>
        <w:t>下降</w:t>
      </w:r>
      <w:r>
        <w:rPr>
          <w:rFonts w:hint="eastAsia" w:ascii="仿宋_GB2312" w:eastAsia="仿宋_GB2312"/>
          <w:sz w:val="28"/>
          <w:szCs w:val="28"/>
          <w:lang w:val="en-US" w:eastAsia="zh-CN"/>
        </w:rPr>
        <w:t>41.35</w:t>
      </w:r>
      <w:r>
        <w:rPr>
          <w:rFonts w:hint="eastAsia" w:ascii="仿宋_GB2312" w:eastAsia="仿宋_GB2312"/>
          <w:sz w:val="28"/>
          <w:szCs w:val="28"/>
        </w:rPr>
        <w:t>万元，</w:t>
      </w:r>
      <w:r>
        <w:rPr>
          <w:rFonts w:hint="eastAsia" w:ascii="仿宋_GB2312" w:eastAsia="仿宋_GB2312"/>
          <w:sz w:val="28"/>
          <w:szCs w:val="28"/>
          <w:lang w:eastAsia="zh-CN"/>
        </w:rPr>
        <w:t>下降</w:t>
      </w:r>
      <w:r>
        <w:rPr>
          <w:rFonts w:hint="eastAsia" w:ascii="仿宋_GB2312" w:eastAsia="仿宋_GB2312"/>
          <w:sz w:val="28"/>
          <w:szCs w:val="28"/>
          <w:lang w:val="en-US" w:eastAsia="zh-CN"/>
        </w:rPr>
        <w:t>2.77</w:t>
      </w:r>
      <w:r>
        <w:rPr>
          <w:rFonts w:hint="eastAsia" w:ascii="仿宋_GB2312" w:eastAsia="仿宋_GB2312"/>
          <w:sz w:val="28"/>
          <w:szCs w:val="28"/>
        </w:rPr>
        <w:t>%。主要原因：</w:t>
      </w:r>
      <w:r>
        <w:rPr>
          <w:rFonts w:hint="eastAsia" w:ascii="仿宋_GB2312" w:eastAsia="仿宋_GB2312"/>
          <w:sz w:val="28"/>
          <w:szCs w:val="28"/>
          <w:lang w:eastAsia="zh-CN"/>
        </w:rPr>
        <w:t>人员增减变动，减少了人员经费支出</w:t>
      </w:r>
      <w:r>
        <w:rPr>
          <w:rFonts w:hint="eastAsia" w:ascii="仿宋_GB2312" w:eastAsia="仿宋_GB2312"/>
          <w:sz w:val="28"/>
          <w:szCs w:val="28"/>
        </w:rPr>
        <w:t>。</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年度一般公共预算财政拨款支出</w:t>
      </w:r>
      <w:r>
        <w:rPr>
          <w:rFonts w:ascii="仿宋_GB2312" w:eastAsia="仿宋_GB2312"/>
          <w:color w:val="auto"/>
          <w:sz w:val="28"/>
          <w:szCs w:val="28"/>
        </w:rPr>
        <w:t>1453.07</w:t>
      </w:r>
      <w:r>
        <w:rPr>
          <w:rFonts w:hint="eastAsia" w:ascii="仿宋_GB2312" w:eastAsia="仿宋_GB2312"/>
          <w:color w:val="auto"/>
          <w:sz w:val="28"/>
          <w:szCs w:val="28"/>
        </w:rPr>
        <w:t>万元，主要用于以下方面：</w:t>
      </w:r>
      <w:r>
        <w:rPr>
          <w:rFonts w:hint="eastAsia" w:ascii="仿宋_GB2312" w:hAnsi="Times New Roman" w:eastAsia="仿宋_GB2312" w:cs="Times New Roman"/>
          <w:color w:val="auto"/>
          <w:sz w:val="28"/>
          <w:szCs w:val="28"/>
          <w:lang w:eastAsia="zh-CN"/>
        </w:rPr>
        <w:t>文化旅游体育与传媒支出</w:t>
      </w:r>
      <w:r>
        <w:rPr>
          <w:rFonts w:hint="eastAsia" w:ascii="仿宋_GB2312" w:eastAsia="仿宋_GB2312" w:cs="Times New Roman"/>
          <w:color w:val="auto"/>
          <w:sz w:val="28"/>
          <w:szCs w:val="28"/>
          <w:lang w:val="en-US" w:eastAsia="zh-CN"/>
        </w:rPr>
        <w:t>1028.84</w:t>
      </w:r>
      <w:r>
        <w:rPr>
          <w:rFonts w:hint="eastAsia" w:ascii="仿宋_GB2312" w:hAnsi="Times New Roman" w:eastAsia="仿宋_GB2312" w:cs="Times New Roman"/>
          <w:color w:val="auto"/>
          <w:sz w:val="28"/>
          <w:szCs w:val="28"/>
        </w:rPr>
        <w:t>万元，占本年财政拨款支出</w:t>
      </w:r>
      <w:r>
        <w:rPr>
          <w:rFonts w:hint="eastAsia" w:ascii="仿宋_GB2312" w:hAnsi="Times New Roman" w:eastAsia="仿宋_GB2312" w:cs="Times New Roman"/>
          <w:color w:val="auto"/>
          <w:sz w:val="28"/>
          <w:szCs w:val="28"/>
          <w:lang w:val="en-US" w:eastAsia="zh-CN"/>
        </w:rPr>
        <w:t>70.</w:t>
      </w:r>
      <w:r>
        <w:rPr>
          <w:rFonts w:hint="eastAsia" w:ascii="仿宋_GB2312" w:eastAsia="仿宋_GB2312" w:cs="Times New Roman"/>
          <w:color w:val="auto"/>
          <w:sz w:val="28"/>
          <w:szCs w:val="28"/>
          <w:lang w:val="en-US" w:eastAsia="zh-CN"/>
        </w:rPr>
        <w:t>80</w:t>
      </w:r>
      <w:r>
        <w:rPr>
          <w:rFonts w:hint="eastAsia" w:ascii="仿宋_GB2312" w:hAnsi="Times New Roman" w:eastAsia="仿宋_GB2312" w:cs="Times New Roman"/>
          <w:color w:val="auto"/>
          <w:sz w:val="28"/>
          <w:szCs w:val="28"/>
        </w:rPr>
        <w:t>%；</w:t>
      </w:r>
      <w:r>
        <w:rPr>
          <w:rFonts w:hint="eastAsia" w:ascii="仿宋_GB2312" w:hAnsi="Times New Roman" w:eastAsia="仿宋_GB2312" w:cs="Times New Roman"/>
          <w:color w:val="auto"/>
          <w:sz w:val="28"/>
          <w:szCs w:val="28"/>
          <w:lang w:eastAsia="zh-CN"/>
        </w:rPr>
        <w:t>社会保障和就业支出</w:t>
      </w:r>
      <w:r>
        <w:rPr>
          <w:rFonts w:hint="eastAsia" w:ascii="仿宋_GB2312" w:eastAsia="仿宋_GB2312" w:cs="Times New Roman"/>
          <w:color w:val="auto"/>
          <w:sz w:val="28"/>
          <w:szCs w:val="28"/>
          <w:lang w:val="en-US" w:eastAsia="zh-CN"/>
        </w:rPr>
        <w:t>143.66</w:t>
      </w:r>
      <w:r>
        <w:rPr>
          <w:rFonts w:hint="eastAsia" w:ascii="仿宋_GB2312" w:hAnsi="Times New Roman" w:eastAsia="仿宋_GB2312" w:cs="Times New Roman"/>
          <w:color w:val="auto"/>
          <w:sz w:val="28"/>
          <w:szCs w:val="28"/>
          <w:lang w:val="en-US" w:eastAsia="zh-CN"/>
        </w:rPr>
        <w:t>万元，</w:t>
      </w:r>
      <w:r>
        <w:rPr>
          <w:rFonts w:hint="eastAsia" w:ascii="仿宋_GB2312" w:hAnsi="Times New Roman" w:eastAsia="仿宋_GB2312" w:cs="Times New Roman"/>
          <w:color w:val="auto"/>
          <w:sz w:val="28"/>
          <w:szCs w:val="28"/>
        </w:rPr>
        <w:t>占本年财政拨款支出</w:t>
      </w:r>
      <w:r>
        <w:rPr>
          <w:rFonts w:hint="eastAsia" w:ascii="仿宋_GB2312" w:hAnsi="Times New Roman" w:eastAsia="仿宋_GB2312" w:cs="Times New Roman"/>
          <w:color w:val="auto"/>
          <w:sz w:val="28"/>
          <w:szCs w:val="28"/>
          <w:lang w:val="en-US" w:eastAsia="zh-CN"/>
        </w:rPr>
        <w:t>9.</w:t>
      </w:r>
      <w:r>
        <w:rPr>
          <w:rFonts w:hint="eastAsia" w:ascii="仿宋_GB2312" w:eastAsia="仿宋_GB2312" w:cs="Times New Roman"/>
          <w:color w:val="auto"/>
          <w:sz w:val="28"/>
          <w:szCs w:val="28"/>
          <w:lang w:val="en-US" w:eastAsia="zh-CN"/>
        </w:rPr>
        <w:t>89</w:t>
      </w:r>
      <w:r>
        <w:rPr>
          <w:rFonts w:hint="eastAsia" w:ascii="仿宋_GB2312" w:hAnsi="Times New Roman" w:eastAsia="仿宋_GB2312" w:cs="Times New Roman"/>
          <w:color w:val="auto"/>
          <w:sz w:val="28"/>
          <w:szCs w:val="28"/>
        </w:rPr>
        <w:t xml:space="preserve">% </w:t>
      </w:r>
      <w:r>
        <w:rPr>
          <w:rFonts w:hint="eastAsia" w:ascii="仿宋_GB2312" w:hAnsi="Times New Roman" w:eastAsia="仿宋_GB2312" w:cs="Times New Roman"/>
          <w:color w:val="auto"/>
          <w:sz w:val="28"/>
          <w:szCs w:val="28"/>
          <w:lang w:eastAsia="zh-CN"/>
        </w:rPr>
        <w:t>；卫生健康支出</w:t>
      </w:r>
      <w:r>
        <w:rPr>
          <w:rFonts w:hint="eastAsia" w:ascii="仿宋_GB2312" w:eastAsia="仿宋_GB2312" w:cs="Times New Roman"/>
          <w:color w:val="auto"/>
          <w:sz w:val="28"/>
          <w:szCs w:val="28"/>
          <w:lang w:val="en-US" w:eastAsia="zh-CN"/>
        </w:rPr>
        <w:t>101.07</w:t>
      </w:r>
      <w:r>
        <w:rPr>
          <w:rFonts w:hint="eastAsia" w:ascii="仿宋_GB2312" w:hAnsi="Times New Roman" w:eastAsia="仿宋_GB2312" w:cs="Times New Roman"/>
          <w:color w:val="auto"/>
          <w:sz w:val="28"/>
          <w:szCs w:val="28"/>
          <w:lang w:val="en-US" w:eastAsia="zh-CN"/>
        </w:rPr>
        <w:t>万元，</w:t>
      </w:r>
      <w:r>
        <w:rPr>
          <w:rFonts w:hint="eastAsia" w:ascii="仿宋_GB2312" w:hAnsi="Times New Roman" w:eastAsia="仿宋_GB2312" w:cs="Times New Roman"/>
          <w:color w:val="auto"/>
          <w:sz w:val="28"/>
          <w:szCs w:val="28"/>
        </w:rPr>
        <w:t>占本年财政拨款支出</w:t>
      </w:r>
      <w:r>
        <w:rPr>
          <w:rFonts w:hint="eastAsia" w:ascii="仿宋_GB2312" w:eastAsia="仿宋_GB2312" w:cs="Times New Roman"/>
          <w:color w:val="auto"/>
          <w:sz w:val="28"/>
          <w:szCs w:val="28"/>
          <w:lang w:val="en-US" w:eastAsia="zh-CN"/>
        </w:rPr>
        <w:t>6.96</w:t>
      </w:r>
      <w:r>
        <w:rPr>
          <w:rFonts w:hint="eastAsia" w:ascii="仿宋_GB2312" w:hAnsi="Times New Roman" w:eastAsia="仿宋_GB2312" w:cs="Times New Roman"/>
          <w:color w:val="auto"/>
          <w:sz w:val="28"/>
          <w:szCs w:val="28"/>
          <w:lang w:val="en-US" w:eastAsia="zh-CN"/>
        </w:rPr>
        <w:t>%；住房保障支出</w:t>
      </w:r>
      <w:r>
        <w:rPr>
          <w:rFonts w:hint="eastAsia" w:ascii="仿宋_GB2312" w:eastAsia="仿宋_GB2312" w:cs="Times New Roman"/>
          <w:color w:val="auto"/>
          <w:sz w:val="28"/>
          <w:szCs w:val="28"/>
          <w:lang w:val="en-US" w:eastAsia="zh-CN"/>
        </w:rPr>
        <w:t>179.50</w:t>
      </w:r>
      <w:r>
        <w:rPr>
          <w:rFonts w:hint="eastAsia" w:ascii="仿宋_GB2312" w:hAnsi="Times New Roman" w:eastAsia="仿宋_GB2312" w:cs="Times New Roman"/>
          <w:color w:val="auto"/>
          <w:sz w:val="28"/>
          <w:szCs w:val="28"/>
          <w:lang w:val="en-US" w:eastAsia="zh-CN"/>
        </w:rPr>
        <w:t>万元，</w:t>
      </w:r>
      <w:r>
        <w:rPr>
          <w:rFonts w:hint="eastAsia" w:ascii="仿宋_GB2312" w:hAnsi="Times New Roman" w:eastAsia="仿宋_GB2312" w:cs="Times New Roman"/>
          <w:color w:val="auto"/>
          <w:sz w:val="28"/>
          <w:szCs w:val="28"/>
        </w:rPr>
        <w:t>占本年财政拨款支出</w:t>
      </w:r>
      <w:r>
        <w:rPr>
          <w:rFonts w:hint="eastAsia" w:ascii="仿宋_GB2312" w:hAnsi="Times New Roman" w:eastAsia="仿宋_GB2312" w:cs="Times New Roman"/>
          <w:color w:val="auto"/>
          <w:sz w:val="28"/>
          <w:szCs w:val="28"/>
          <w:lang w:val="en-US" w:eastAsia="zh-CN"/>
        </w:rPr>
        <w:t>12.</w:t>
      </w:r>
      <w:r>
        <w:rPr>
          <w:rFonts w:hint="eastAsia" w:ascii="仿宋_GB2312" w:eastAsia="仿宋_GB2312" w:cs="Times New Roman"/>
          <w:color w:val="auto"/>
          <w:sz w:val="28"/>
          <w:szCs w:val="28"/>
          <w:lang w:val="en-US" w:eastAsia="zh-CN"/>
        </w:rPr>
        <w:t>35</w:t>
      </w:r>
      <w:r>
        <w:rPr>
          <w:rFonts w:hint="eastAsia" w:ascii="仿宋_GB2312" w:hAnsi="Times New Roman" w:eastAsia="仿宋_GB2312" w:cs="Times New Roman"/>
          <w:color w:val="auto"/>
          <w:sz w:val="28"/>
          <w:szCs w:val="28"/>
          <w:lang w:val="en-US" w:eastAsia="zh-CN"/>
        </w:rPr>
        <w:t>%</w:t>
      </w:r>
      <w:r>
        <w:rPr>
          <w:rFonts w:hint="eastAsia" w:ascii="仿宋_GB2312" w:hAnsi="Times New Roman" w:eastAsia="仿宋_GB2312" w:cs="Times New Roman"/>
          <w:color w:val="auto"/>
          <w:sz w:val="28"/>
          <w:szCs w:val="28"/>
        </w:rPr>
        <w:t>。</w:t>
      </w:r>
    </w:p>
    <w:p>
      <w:pPr>
        <w:autoSpaceDE w:val="0"/>
        <w:autoSpaceDN w:val="0"/>
        <w:adjustRightInd w:val="0"/>
        <w:spacing w:line="580" w:lineRule="exact"/>
        <w:ind w:firstLine="560" w:firstLineChars="200"/>
        <w:jc w:val="left"/>
        <w:rPr>
          <w:rFonts w:hint="eastAsia" w:ascii="仿宋_GB2312" w:eastAsia="仿宋_GB2312"/>
          <w:color w:val="auto"/>
          <w:sz w:val="28"/>
          <w:szCs w:val="28"/>
        </w:rPr>
      </w:pPr>
      <w:r>
        <w:rPr>
          <w:rFonts w:hint="eastAsia" w:ascii="仿宋_GB2312" w:eastAsia="仿宋_GB2312"/>
          <w:color w:val="auto"/>
          <w:sz w:val="28"/>
          <w:szCs w:val="28"/>
        </w:rPr>
        <w:t>（二）一般公共预算财政拨款支出决算具体情况</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highlight w:val="none"/>
        </w:rPr>
      </w:pPr>
      <w:r>
        <w:rPr>
          <w:rFonts w:hint="eastAsia" w:ascii="仿宋_GB2312" w:hAnsi="Times New Roman" w:eastAsia="仿宋_GB2312" w:cs="Times New Roman"/>
          <w:color w:val="auto"/>
          <w:sz w:val="28"/>
          <w:szCs w:val="28"/>
          <w:highlight w:val="none"/>
        </w:rPr>
        <w:t>1、</w:t>
      </w:r>
      <w:r>
        <w:rPr>
          <w:rFonts w:hint="eastAsia" w:ascii="仿宋_GB2312" w:hAnsi="Times New Roman" w:eastAsia="仿宋_GB2312" w:cs="Times New Roman"/>
          <w:color w:val="auto"/>
          <w:sz w:val="28"/>
          <w:szCs w:val="28"/>
          <w:highlight w:val="none"/>
          <w:lang w:eastAsia="zh-CN"/>
        </w:rPr>
        <w:t>文化旅游体育与传媒支出</w:t>
      </w:r>
      <w:r>
        <w:rPr>
          <w:rFonts w:hint="eastAsia" w:ascii="仿宋_GB2312" w:eastAsia="仿宋_GB2312" w:cs="Times New Roman"/>
          <w:color w:val="auto"/>
          <w:sz w:val="28"/>
          <w:szCs w:val="28"/>
          <w:highlight w:val="none"/>
          <w:lang w:val="en-US" w:eastAsia="zh-CN"/>
        </w:rPr>
        <w:t>-文化和旅游</w:t>
      </w:r>
      <w:r>
        <w:rPr>
          <w:rFonts w:hint="eastAsia" w:ascii="仿宋_GB2312" w:hAnsi="Times New Roman" w:eastAsia="仿宋_GB2312" w:cs="Times New Roman"/>
          <w:color w:val="auto"/>
          <w:sz w:val="28"/>
          <w:szCs w:val="28"/>
          <w:highlight w:val="none"/>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highlight w:val="none"/>
        </w:rPr>
      </w:pPr>
      <w:r>
        <w:rPr>
          <w:rFonts w:hint="eastAsia" w:ascii="仿宋_GB2312" w:hAnsi="Times New Roman" w:eastAsia="仿宋_GB2312" w:cs="Times New Roman"/>
          <w:color w:val="auto"/>
          <w:sz w:val="28"/>
          <w:szCs w:val="28"/>
          <w:highlight w:val="none"/>
        </w:rPr>
        <w:t>202</w:t>
      </w:r>
      <w:r>
        <w:rPr>
          <w:rFonts w:hint="eastAsia" w:ascii="仿宋_GB2312" w:eastAsia="仿宋_GB2312" w:cs="Times New Roman"/>
          <w:color w:val="auto"/>
          <w:sz w:val="28"/>
          <w:szCs w:val="28"/>
          <w:highlight w:val="none"/>
          <w:lang w:val="en-US" w:eastAsia="zh-CN"/>
        </w:rPr>
        <w:t>4</w:t>
      </w:r>
      <w:r>
        <w:rPr>
          <w:rFonts w:hint="eastAsia" w:ascii="仿宋_GB2312" w:hAnsi="Times New Roman" w:eastAsia="仿宋_GB2312" w:cs="Times New Roman"/>
          <w:color w:val="auto"/>
          <w:sz w:val="28"/>
          <w:szCs w:val="28"/>
          <w:highlight w:val="none"/>
        </w:rPr>
        <w:t>年度</w:t>
      </w:r>
      <w:r>
        <w:rPr>
          <w:rFonts w:hint="eastAsia" w:ascii="仿宋_GB2312" w:hAnsi="Times New Roman" w:eastAsia="仿宋_GB2312" w:cs="Times New Roman"/>
          <w:color w:val="auto"/>
          <w:sz w:val="28"/>
          <w:szCs w:val="28"/>
          <w:highlight w:val="none"/>
          <w:lang w:eastAsia="zh-CN"/>
        </w:rPr>
        <w:t>文化旅游体育与传媒支出</w:t>
      </w:r>
      <w:r>
        <w:rPr>
          <w:rFonts w:hint="eastAsia" w:ascii="仿宋_GB2312" w:eastAsia="仿宋_GB2312" w:cs="Times New Roman"/>
          <w:color w:val="auto"/>
          <w:sz w:val="28"/>
          <w:szCs w:val="28"/>
          <w:highlight w:val="none"/>
          <w:lang w:val="en-US" w:eastAsia="zh-CN"/>
        </w:rPr>
        <w:t>-文化和旅游</w:t>
      </w:r>
      <w:r>
        <w:rPr>
          <w:rFonts w:hint="eastAsia" w:ascii="仿宋_GB2312" w:hAnsi="Times New Roman" w:eastAsia="仿宋_GB2312" w:cs="Times New Roman"/>
          <w:color w:val="auto"/>
          <w:sz w:val="28"/>
          <w:szCs w:val="28"/>
          <w:highlight w:val="none"/>
        </w:rPr>
        <w:t>决算</w:t>
      </w:r>
      <w:r>
        <w:rPr>
          <w:rFonts w:hint="eastAsia" w:ascii="仿宋_GB2312" w:eastAsia="仿宋_GB2312" w:cs="Times New Roman"/>
          <w:color w:val="auto"/>
          <w:sz w:val="28"/>
          <w:szCs w:val="28"/>
          <w:highlight w:val="none"/>
          <w:lang w:eastAsia="zh-CN"/>
        </w:rPr>
        <w:t>数</w:t>
      </w:r>
      <w:r>
        <w:rPr>
          <w:rFonts w:hint="eastAsia" w:ascii="仿宋_GB2312" w:eastAsia="仿宋_GB2312" w:cs="Times New Roman"/>
          <w:color w:val="auto"/>
          <w:sz w:val="28"/>
          <w:szCs w:val="28"/>
          <w:highlight w:val="none"/>
          <w:lang w:val="en-US" w:eastAsia="zh-CN"/>
        </w:rPr>
        <w:t>1028.83</w:t>
      </w:r>
      <w:r>
        <w:rPr>
          <w:rFonts w:hint="eastAsia" w:ascii="仿宋_GB2312" w:hAnsi="Times New Roman" w:eastAsia="仿宋_GB2312" w:cs="Times New Roman"/>
          <w:color w:val="auto"/>
          <w:sz w:val="28"/>
          <w:szCs w:val="28"/>
          <w:highlight w:val="none"/>
        </w:rPr>
        <w:t>万元，</w:t>
      </w:r>
      <w:r>
        <w:rPr>
          <w:rFonts w:hint="eastAsia" w:ascii="仿宋_GB2312" w:eastAsia="仿宋_GB2312" w:cs="Times New Roman"/>
          <w:color w:val="auto"/>
          <w:sz w:val="28"/>
          <w:szCs w:val="28"/>
          <w:highlight w:val="none"/>
          <w:lang w:eastAsia="zh-CN"/>
        </w:rPr>
        <w:t>为人员经费、公用经费及项目经费支出</w:t>
      </w:r>
      <w:r>
        <w:rPr>
          <w:rFonts w:hint="eastAsia" w:ascii="仿宋_GB2312" w:hAnsi="Times New Roman" w:eastAsia="仿宋_GB2312" w:cs="Times New Roman"/>
          <w:color w:val="auto"/>
          <w:sz w:val="28"/>
          <w:szCs w:val="28"/>
          <w:highlight w:val="none"/>
        </w:rPr>
        <w:t>。</w:t>
      </w:r>
    </w:p>
    <w:p>
      <w:pPr>
        <w:spacing w:line="580" w:lineRule="exact"/>
        <w:ind w:firstLine="560" w:firstLineChars="200"/>
        <w:outlineLvl w:val="1"/>
        <w:rPr>
          <w:rFonts w:hint="eastAsia"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社会保障和就业支出</w:t>
      </w:r>
      <w:r>
        <w:rPr>
          <w:rFonts w:hint="eastAsia" w:ascii="仿宋_GB2312" w:eastAsia="仿宋_GB2312"/>
          <w:color w:val="auto"/>
          <w:sz w:val="28"/>
          <w:szCs w:val="28"/>
          <w:lang w:val="en-US" w:eastAsia="zh-CN"/>
        </w:rPr>
        <w:t>-行政事业单位养老支出</w:t>
      </w:r>
      <w:r>
        <w:rPr>
          <w:rFonts w:hint="eastAsia" w:ascii="仿宋_GB2312" w:eastAsia="仿宋_GB2312"/>
          <w:color w:val="auto"/>
          <w:sz w:val="28"/>
          <w:szCs w:val="28"/>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lang w:eastAsia="zh-CN"/>
        </w:rPr>
      </w:pPr>
      <w:r>
        <w:rPr>
          <w:rFonts w:hint="eastAsia" w:ascii="仿宋_GB2312" w:hAnsi="Times New Roman" w:eastAsia="仿宋_GB2312" w:cs="Times New Roman"/>
          <w:color w:val="auto"/>
          <w:sz w:val="28"/>
          <w:szCs w:val="28"/>
        </w:rPr>
        <w:t>202</w:t>
      </w:r>
      <w:r>
        <w:rPr>
          <w:rFonts w:hint="eastAsia" w:ascii="仿宋_GB2312" w:eastAsia="仿宋_GB2312" w:cs="Times New Roman"/>
          <w:color w:val="auto"/>
          <w:sz w:val="28"/>
          <w:szCs w:val="28"/>
          <w:lang w:val="en-US" w:eastAsia="zh-CN"/>
        </w:rPr>
        <w:t>4</w:t>
      </w:r>
      <w:r>
        <w:rPr>
          <w:rFonts w:hint="eastAsia" w:ascii="仿宋_GB2312" w:hAnsi="Times New Roman" w:eastAsia="仿宋_GB2312" w:cs="Times New Roman"/>
          <w:color w:val="auto"/>
          <w:sz w:val="28"/>
          <w:szCs w:val="28"/>
        </w:rPr>
        <w:t>年度</w:t>
      </w:r>
      <w:r>
        <w:rPr>
          <w:rFonts w:hint="eastAsia" w:ascii="仿宋_GB2312" w:eastAsia="仿宋_GB2312"/>
          <w:color w:val="auto"/>
          <w:sz w:val="28"/>
          <w:szCs w:val="28"/>
          <w:lang w:eastAsia="zh-CN"/>
        </w:rPr>
        <w:t>社会保障和就业支出</w:t>
      </w:r>
      <w:r>
        <w:rPr>
          <w:rFonts w:hint="eastAsia" w:ascii="仿宋_GB2312" w:eastAsia="仿宋_GB2312"/>
          <w:color w:val="auto"/>
          <w:sz w:val="28"/>
          <w:szCs w:val="28"/>
          <w:lang w:val="en-US" w:eastAsia="zh-CN"/>
        </w:rPr>
        <w:t>-行政事业单位养老支出</w:t>
      </w:r>
      <w:r>
        <w:rPr>
          <w:rFonts w:hint="eastAsia" w:ascii="仿宋_GB2312" w:hAnsi="Times New Roman" w:eastAsia="仿宋_GB2312" w:cs="Times New Roman"/>
          <w:color w:val="auto"/>
          <w:sz w:val="28"/>
          <w:szCs w:val="28"/>
        </w:rPr>
        <w:t>决算</w:t>
      </w:r>
      <w:r>
        <w:rPr>
          <w:rFonts w:hint="eastAsia" w:ascii="仿宋_GB2312" w:eastAsia="仿宋_GB2312" w:cs="Times New Roman"/>
          <w:color w:val="auto"/>
          <w:sz w:val="28"/>
          <w:szCs w:val="28"/>
          <w:lang w:eastAsia="zh-CN"/>
        </w:rPr>
        <w:t>数</w:t>
      </w:r>
      <w:r>
        <w:rPr>
          <w:rFonts w:hint="eastAsia" w:ascii="仿宋_GB2312" w:hAnsi="Times New Roman" w:eastAsia="仿宋_GB2312" w:cs="Times New Roman"/>
          <w:color w:val="auto"/>
          <w:sz w:val="28"/>
          <w:szCs w:val="28"/>
          <w:lang w:val="en-US" w:eastAsia="zh-CN"/>
        </w:rPr>
        <w:t>14</w:t>
      </w:r>
      <w:r>
        <w:rPr>
          <w:rFonts w:hint="eastAsia" w:ascii="仿宋_GB2312" w:eastAsia="仿宋_GB2312" w:cs="Times New Roman"/>
          <w:color w:val="auto"/>
          <w:sz w:val="28"/>
          <w:szCs w:val="28"/>
          <w:lang w:val="en-US" w:eastAsia="zh-CN"/>
        </w:rPr>
        <w:t>3.66</w:t>
      </w:r>
      <w:r>
        <w:rPr>
          <w:rFonts w:hint="eastAsia" w:ascii="仿宋_GB2312" w:hAnsi="Times New Roman" w:eastAsia="仿宋_GB2312" w:cs="Times New Roman"/>
          <w:color w:val="auto"/>
          <w:sz w:val="28"/>
          <w:szCs w:val="28"/>
        </w:rPr>
        <w:t>万元，</w:t>
      </w:r>
      <w:r>
        <w:rPr>
          <w:rFonts w:hint="eastAsia" w:ascii="仿宋_GB2312" w:eastAsia="仿宋_GB2312" w:cs="Times New Roman"/>
          <w:color w:val="auto"/>
          <w:sz w:val="28"/>
          <w:szCs w:val="28"/>
          <w:lang w:eastAsia="zh-CN"/>
        </w:rPr>
        <w:t>主要为发放退休人员物业补贴、取暖补贴等支出。</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3、</w:t>
      </w:r>
      <w:r>
        <w:rPr>
          <w:rFonts w:hint="eastAsia" w:ascii="仿宋_GB2312" w:hAnsi="Times New Roman" w:eastAsia="仿宋_GB2312" w:cs="Times New Roman"/>
          <w:color w:val="auto"/>
          <w:sz w:val="28"/>
          <w:szCs w:val="28"/>
          <w:lang w:eastAsia="zh-CN"/>
        </w:rPr>
        <w:t>卫生健康支出</w:t>
      </w:r>
      <w:r>
        <w:rPr>
          <w:rFonts w:hint="eastAsia" w:ascii="仿宋_GB2312" w:eastAsia="仿宋_GB2312" w:cs="Times New Roman"/>
          <w:color w:val="auto"/>
          <w:sz w:val="28"/>
          <w:szCs w:val="28"/>
          <w:lang w:val="en-US" w:eastAsia="zh-CN"/>
        </w:rPr>
        <w:t>-行政事业单位医疗</w:t>
      </w:r>
      <w:r>
        <w:rPr>
          <w:rFonts w:hint="eastAsia" w:ascii="仿宋_GB2312" w:hAnsi="Times New Roman" w:eastAsia="仿宋_GB2312" w:cs="Times New Roman"/>
          <w:color w:val="auto"/>
          <w:sz w:val="28"/>
          <w:szCs w:val="28"/>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202</w:t>
      </w:r>
      <w:r>
        <w:rPr>
          <w:rFonts w:hint="eastAsia" w:ascii="仿宋_GB2312" w:eastAsia="仿宋_GB2312" w:cs="Times New Roman"/>
          <w:color w:val="auto"/>
          <w:sz w:val="28"/>
          <w:szCs w:val="28"/>
          <w:lang w:val="en-US" w:eastAsia="zh-CN"/>
        </w:rPr>
        <w:t>4</w:t>
      </w:r>
      <w:r>
        <w:rPr>
          <w:rFonts w:hint="eastAsia" w:ascii="仿宋_GB2312" w:hAnsi="Times New Roman" w:eastAsia="仿宋_GB2312" w:cs="Times New Roman"/>
          <w:color w:val="auto"/>
          <w:sz w:val="28"/>
          <w:szCs w:val="28"/>
        </w:rPr>
        <w:t>年度</w:t>
      </w:r>
      <w:r>
        <w:rPr>
          <w:rFonts w:hint="eastAsia" w:ascii="仿宋_GB2312" w:hAnsi="Times New Roman" w:eastAsia="仿宋_GB2312" w:cs="Times New Roman"/>
          <w:color w:val="auto"/>
          <w:sz w:val="28"/>
          <w:szCs w:val="28"/>
          <w:lang w:eastAsia="zh-CN"/>
        </w:rPr>
        <w:t>卫生健康支出</w:t>
      </w:r>
      <w:r>
        <w:rPr>
          <w:rFonts w:hint="eastAsia" w:ascii="仿宋_GB2312" w:eastAsia="仿宋_GB2312" w:cs="Times New Roman"/>
          <w:color w:val="auto"/>
          <w:sz w:val="28"/>
          <w:szCs w:val="28"/>
          <w:lang w:val="en-US" w:eastAsia="zh-CN"/>
        </w:rPr>
        <w:t>-行政事业单位医疗</w:t>
      </w:r>
      <w:r>
        <w:rPr>
          <w:rFonts w:hint="eastAsia" w:ascii="仿宋_GB2312" w:hAnsi="Times New Roman" w:eastAsia="仿宋_GB2312" w:cs="Times New Roman"/>
          <w:color w:val="auto"/>
          <w:sz w:val="28"/>
          <w:szCs w:val="28"/>
        </w:rPr>
        <w:t>决算</w:t>
      </w:r>
      <w:r>
        <w:rPr>
          <w:rFonts w:hint="eastAsia" w:ascii="仿宋_GB2312" w:eastAsia="仿宋_GB2312" w:cs="Times New Roman"/>
          <w:color w:val="auto"/>
          <w:sz w:val="28"/>
          <w:szCs w:val="28"/>
          <w:lang w:eastAsia="zh-CN"/>
        </w:rPr>
        <w:t>数</w:t>
      </w:r>
      <w:r>
        <w:rPr>
          <w:rFonts w:hint="eastAsia" w:ascii="仿宋_GB2312" w:eastAsia="仿宋_GB2312" w:cs="Times New Roman"/>
          <w:color w:val="auto"/>
          <w:sz w:val="28"/>
          <w:szCs w:val="28"/>
          <w:lang w:val="en-US" w:eastAsia="zh-CN"/>
        </w:rPr>
        <w:t>101.07</w:t>
      </w:r>
      <w:r>
        <w:rPr>
          <w:rFonts w:hint="eastAsia" w:ascii="仿宋_GB2312" w:hAnsi="Times New Roman" w:eastAsia="仿宋_GB2312" w:cs="Times New Roman"/>
          <w:color w:val="auto"/>
          <w:sz w:val="28"/>
          <w:szCs w:val="28"/>
        </w:rPr>
        <w:t>万元，</w:t>
      </w:r>
      <w:r>
        <w:rPr>
          <w:rFonts w:hint="eastAsia" w:ascii="仿宋_GB2312" w:eastAsia="仿宋_GB2312" w:cs="Times New Roman"/>
          <w:color w:val="auto"/>
          <w:sz w:val="28"/>
          <w:szCs w:val="28"/>
          <w:lang w:eastAsia="zh-CN"/>
        </w:rPr>
        <w:t>为在职职工缴纳医疗保险支出</w:t>
      </w:r>
      <w:r>
        <w:rPr>
          <w:rFonts w:hint="eastAsia" w:ascii="仿宋_GB2312" w:hAnsi="Times New Roman" w:eastAsia="仿宋_GB2312" w:cs="Times New Roman"/>
          <w:color w:val="auto"/>
          <w:sz w:val="28"/>
          <w:szCs w:val="28"/>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4、</w:t>
      </w:r>
      <w:r>
        <w:rPr>
          <w:rFonts w:hint="eastAsia" w:ascii="仿宋_GB2312" w:hAnsi="Times New Roman" w:eastAsia="仿宋_GB2312" w:cs="Times New Roman"/>
          <w:color w:val="auto"/>
          <w:sz w:val="28"/>
          <w:szCs w:val="28"/>
          <w:lang w:val="en-US" w:eastAsia="zh-CN"/>
        </w:rPr>
        <w:t>住房保障支出</w:t>
      </w:r>
      <w:r>
        <w:rPr>
          <w:rFonts w:hint="eastAsia" w:ascii="仿宋_GB2312" w:eastAsia="仿宋_GB2312" w:cs="Times New Roman"/>
          <w:color w:val="auto"/>
          <w:sz w:val="28"/>
          <w:szCs w:val="28"/>
          <w:lang w:val="en-US" w:eastAsia="zh-CN"/>
        </w:rPr>
        <w:t>-住房改革支出</w:t>
      </w:r>
      <w:r>
        <w:rPr>
          <w:rFonts w:hint="eastAsia" w:ascii="仿宋_GB2312" w:hAnsi="Times New Roman" w:eastAsia="仿宋_GB2312" w:cs="Times New Roman"/>
          <w:color w:val="auto"/>
          <w:sz w:val="28"/>
          <w:szCs w:val="28"/>
        </w:rPr>
        <w:t>。</w:t>
      </w:r>
    </w:p>
    <w:p>
      <w:pPr>
        <w:autoSpaceDE w:val="0"/>
        <w:autoSpaceDN w:val="0"/>
        <w:adjustRightInd w:val="0"/>
        <w:spacing w:line="580" w:lineRule="exact"/>
        <w:ind w:firstLine="560" w:firstLineChars="200"/>
        <w:jc w:val="left"/>
        <w:rPr>
          <w:rFonts w:hint="eastAsia" w:ascii="仿宋_GB2312" w:hAnsi="Times New Roman" w:eastAsia="仿宋_GB2312" w:cs="Times New Roman"/>
          <w:color w:val="auto"/>
          <w:sz w:val="28"/>
          <w:szCs w:val="28"/>
          <w:lang w:eastAsia="zh-CN"/>
        </w:rPr>
      </w:pPr>
      <w:r>
        <w:rPr>
          <w:rFonts w:hint="eastAsia" w:ascii="仿宋_GB2312" w:hAnsi="Times New Roman" w:eastAsia="仿宋_GB2312" w:cs="Times New Roman"/>
          <w:color w:val="auto"/>
          <w:sz w:val="28"/>
          <w:szCs w:val="28"/>
        </w:rPr>
        <w:t>202</w:t>
      </w:r>
      <w:r>
        <w:rPr>
          <w:rFonts w:hint="eastAsia" w:ascii="仿宋_GB2312" w:eastAsia="仿宋_GB2312" w:cs="Times New Roman"/>
          <w:color w:val="auto"/>
          <w:sz w:val="28"/>
          <w:szCs w:val="28"/>
          <w:lang w:val="en-US" w:eastAsia="zh-CN"/>
        </w:rPr>
        <w:t>4</w:t>
      </w:r>
      <w:r>
        <w:rPr>
          <w:rFonts w:hint="eastAsia" w:ascii="仿宋_GB2312" w:hAnsi="Times New Roman" w:eastAsia="仿宋_GB2312" w:cs="Times New Roman"/>
          <w:color w:val="auto"/>
          <w:sz w:val="28"/>
          <w:szCs w:val="28"/>
        </w:rPr>
        <w:t>年度</w:t>
      </w:r>
      <w:r>
        <w:rPr>
          <w:rFonts w:hint="eastAsia" w:ascii="仿宋_GB2312" w:hAnsi="Times New Roman" w:eastAsia="仿宋_GB2312" w:cs="Times New Roman"/>
          <w:color w:val="auto"/>
          <w:sz w:val="28"/>
          <w:szCs w:val="28"/>
          <w:lang w:val="en-US" w:eastAsia="zh-CN"/>
        </w:rPr>
        <w:t>住房保障支出</w:t>
      </w:r>
      <w:r>
        <w:rPr>
          <w:rFonts w:hint="eastAsia" w:ascii="仿宋_GB2312" w:eastAsia="仿宋_GB2312" w:cs="Times New Roman"/>
          <w:color w:val="auto"/>
          <w:sz w:val="28"/>
          <w:szCs w:val="28"/>
          <w:lang w:val="en-US" w:eastAsia="zh-CN"/>
        </w:rPr>
        <w:t>-住房改革支出</w:t>
      </w:r>
      <w:r>
        <w:rPr>
          <w:rFonts w:hint="eastAsia" w:ascii="仿宋_GB2312" w:hAnsi="Times New Roman" w:eastAsia="仿宋_GB2312" w:cs="Times New Roman"/>
          <w:color w:val="auto"/>
          <w:sz w:val="28"/>
          <w:szCs w:val="28"/>
        </w:rPr>
        <w:t>决算</w:t>
      </w:r>
      <w:r>
        <w:rPr>
          <w:rFonts w:hint="eastAsia" w:ascii="仿宋_GB2312" w:eastAsia="仿宋_GB2312" w:cs="Times New Roman"/>
          <w:color w:val="auto"/>
          <w:sz w:val="28"/>
          <w:szCs w:val="28"/>
          <w:lang w:eastAsia="zh-CN"/>
        </w:rPr>
        <w:t>数</w:t>
      </w:r>
      <w:r>
        <w:rPr>
          <w:rFonts w:hint="eastAsia" w:ascii="仿宋_GB2312" w:eastAsia="仿宋_GB2312" w:cs="Times New Roman"/>
          <w:color w:val="auto"/>
          <w:sz w:val="28"/>
          <w:szCs w:val="28"/>
          <w:lang w:val="en-US" w:eastAsia="zh-CN"/>
        </w:rPr>
        <w:t>179.50</w:t>
      </w:r>
      <w:r>
        <w:rPr>
          <w:rFonts w:hint="eastAsia" w:ascii="仿宋_GB2312" w:hAnsi="Times New Roman" w:eastAsia="仿宋_GB2312" w:cs="Times New Roman"/>
          <w:color w:val="auto"/>
          <w:sz w:val="28"/>
          <w:szCs w:val="28"/>
        </w:rPr>
        <w:t>万元，</w:t>
      </w:r>
      <w:r>
        <w:rPr>
          <w:rFonts w:hint="eastAsia" w:ascii="仿宋_GB2312" w:eastAsia="仿宋_GB2312" w:cs="Times New Roman"/>
          <w:color w:val="auto"/>
          <w:sz w:val="28"/>
          <w:szCs w:val="28"/>
          <w:lang w:eastAsia="zh-CN"/>
        </w:rPr>
        <w:t>为在职职工缴纳住房公积金及住房补贴支出。</w:t>
      </w:r>
    </w:p>
    <w:p>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pPr>
        <w:tabs>
          <w:tab w:val="center" w:pos="6979"/>
        </w:tabs>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年度政府性基金预算财政拨款支出</w:t>
      </w:r>
      <w:r>
        <w:rPr>
          <w:rFonts w:ascii="仿宋_GB2312" w:eastAsia="仿宋_GB2312"/>
          <w:sz w:val="28"/>
          <w:szCs w:val="28"/>
        </w:rPr>
        <w:t>0</w:t>
      </w:r>
      <w:r>
        <w:rPr>
          <w:rFonts w:hint="eastAsia" w:ascii="仿宋_GB2312" w:eastAsia="仿宋_GB2312"/>
          <w:sz w:val="28"/>
          <w:szCs w:val="28"/>
        </w:rPr>
        <w:t>万元</w:t>
      </w:r>
      <w:r>
        <w:rPr>
          <w:rFonts w:hint="eastAsia" w:ascii="仿宋_GB2312" w:eastAsia="仿宋_GB2312"/>
          <w:sz w:val="28"/>
          <w:szCs w:val="28"/>
          <w:lang w:eastAsia="zh-CN"/>
        </w:rPr>
        <w:t>。</w:t>
      </w:r>
    </w:p>
    <w:p>
      <w:pPr>
        <w:numPr>
          <w:ilvl w:val="0"/>
          <w:numId w:val="1"/>
        </w:num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政府性基金预算财政拨款支出决算具体情况</w:t>
      </w:r>
    </w:p>
    <w:p>
      <w:pPr>
        <w:pStyle w:val="2"/>
        <w:numPr>
          <w:ilvl w:val="0"/>
          <w:numId w:val="0"/>
        </w:numPr>
        <w:rPr>
          <w:rFonts w:hint="eastAsia" w:ascii="仿宋_GB2312" w:hAnsi="Times New Roman" w:eastAsia="仿宋_GB2312" w:cs="Times New Roman"/>
          <w:kern w:val="2"/>
          <w:sz w:val="28"/>
          <w:szCs w:val="28"/>
          <w:lang w:val="en-US" w:eastAsia="zh-CN" w:bidi="ar-SA"/>
        </w:rPr>
      </w:pPr>
      <w:r>
        <w:rPr>
          <w:rFonts w:hint="eastAsia"/>
          <w:lang w:val="en-US" w:eastAsia="zh-CN"/>
        </w:rPr>
        <w:t xml:space="preserve">     </w:t>
      </w:r>
      <w:r>
        <w:rPr>
          <w:rFonts w:hint="eastAsia" w:ascii="仿宋_GB2312" w:hAnsi="Times New Roman" w:eastAsia="仿宋_GB2312" w:cs="Times New Roman"/>
          <w:kern w:val="2"/>
          <w:sz w:val="28"/>
          <w:szCs w:val="28"/>
          <w:lang w:val="en-US" w:eastAsia="zh-CN" w:bidi="ar-SA"/>
        </w:rPr>
        <w:t xml:space="preserve"> 2024年度政府性基金预算财政拨款</w:t>
      </w:r>
      <w:r>
        <w:rPr>
          <w:rFonts w:hint="eastAsia" w:ascii="仿宋_GB2312" w:eastAsia="仿宋_GB2312" w:cs="Times New Roman"/>
          <w:kern w:val="2"/>
          <w:sz w:val="28"/>
          <w:szCs w:val="28"/>
          <w:lang w:val="en-US" w:eastAsia="zh-CN" w:bidi="ar-SA"/>
        </w:rPr>
        <w:t>0万元</w:t>
      </w:r>
      <w:r>
        <w:rPr>
          <w:rFonts w:hint="eastAsia" w:ascii="仿宋_GB2312" w:hAnsi="Times New Roman" w:eastAsia="仿宋_GB2312" w:cs="Times New Roman"/>
          <w:kern w:val="2"/>
          <w:sz w:val="28"/>
          <w:szCs w:val="28"/>
          <w:lang w:val="en-US" w:eastAsia="zh-CN" w:bidi="ar-SA"/>
        </w:rPr>
        <w:t>。</w:t>
      </w:r>
    </w:p>
    <w:p>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年度使用一般公共预算财政拨款安排基本支出出</w:t>
      </w:r>
      <w:r>
        <w:rPr>
          <w:rFonts w:ascii="仿宋_GB2312" w:eastAsia="仿宋_GB2312"/>
          <w:sz w:val="28"/>
          <w:szCs w:val="28"/>
        </w:rPr>
        <w:t>1325.53</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hint="eastAsia" w:ascii="仿宋_GB2312" w:eastAsia="仿宋_GB2312"/>
          <w:sz w:val="28"/>
          <w:szCs w:val="28"/>
        </w:rPr>
      </w:pPr>
      <w:r>
        <w:rPr>
          <w:rFonts w:hint="eastAsia" w:ascii="仿宋_GB2312" w:eastAsia="仿宋_GB2312"/>
          <w:sz w:val="28"/>
          <w:szCs w:val="28"/>
        </w:rPr>
        <w:t>1.因公出国（境）费用。202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pPr>
        <w:spacing w:line="560" w:lineRule="exact"/>
        <w:ind w:firstLine="600"/>
        <w:rPr>
          <w:rFonts w:hint="eastAsia" w:ascii="仿宋_GB2312" w:eastAsia="仿宋_GB2312"/>
          <w:sz w:val="28"/>
          <w:szCs w:val="28"/>
        </w:rPr>
      </w:pPr>
      <w:r>
        <w:rPr>
          <w:rFonts w:hint="eastAsia" w:ascii="仿宋_GB2312" w:eastAsia="仿宋_GB2312"/>
          <w:sz w:val="28"/>
          <w:szCs w:val="28"/>
        </w:rPr>
        <w:t>2.公务接待费。202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pPr>
        <w:tabs>
          <w:tab w:val="center" w:pos="6979"/>
        </w:tabs>
        <w:ind w:firstLine="554" w:firstLineChars="198"/>
        <w:rPr>
          <w:rFonts w:ascii="黑体" w:eastAsia="黑体"/>
          <w:sz w:val="28"/>
          <w:szCs w:val="28"/>
          <w:highlight w:val="none"/>
        </w:rPr>
      </w:pPr>
      <w:r>
        <w:rPr>
          <w:rFonts w:hint="eastAsia" w:ascii="黑体" w:eastAsia="黑体"/>
          <w:sz w:val="28"/>
          <w:szCs w:val="28"/>
          <w:highlight w:val="none"/>
        </w:rPr>
        <w:t>二、机关运行经费支出情况</w:t>
      </w:r>
    </w:p>
    <w:p>
      <w:pPr>
        <w:ind w:firstLine="537" w:firstLineChars="192"/>
        <w:rPr>
          <w:rFonts w:ascii="仿宋_GB2312" w:eastAsia="仿宋_GB2312"/>
          <w:sz w:val="28"/>
          <w:szCs w:val="28"/>
          <w:highlight w:val="none"/>
        </w:rPr>
      </w:pPr>
      <w:r>
        <w:rPr>
          <w:rFonts w:hint="eastAsia" w:ascii="仿宋_GB2312" w:eastAsia="仿宋_GB2312"/>
          <w:sz w:val="28"/>
          <w:szCs w:val="28"/>
          <w:highlight w:val="none"/>
          <w:lang w:eastAsia="zh-CN"/>
        </w:rPr>
        <w:t>2024</w:t>
      </w:r>
      <w:r>
        <w:rPr>
          <w:rFonts w:hint="eastAsia" w:ascii="仿宋_GB2312" w:eastAsia="仿宋_GB2312"/>
          <w:sz w:val="28"/>
          <w:szCs w:val="28"/>
          <w:highlight w:val="none"/>
        </w:rPr>
        <w:t>年度使用财政拨款安排的基本支出中的日常公用经费支出，合计</w:t>
      </w:r>
      <w:r>
        <w:rPr>
          <w:rFonts w:hint="eastAsia" w:ascii="仿宋_GB2312" w:eastAsia="仿宋_GB2312"/>
          <w:sz w:val="28"/>
          <w:szCs w:val="28"/>
          <w:highlight w:val="none"/>
          <w:lang w:val="en-US" w:eastAsia="zh-CN"/>
        </w:rPr>
        <w:t>66.76</w:t>
      </w:r>
      <w:r>
        <w:rPr>
          <w:rFonts w:hint="eastAsia" w:ascii="仿宋_GB2312" w:eastAsia="仿宋_GB2312"/>
          <w:sz w:val="28"/>
          <w:szCs w:val="28"/>
          <w:highlight w:val="none"/>
        </w:rPr>
        <w:t>万元，比上年减少</w:t>
      </w:r>
      <w:r>
        <w:rPr>
          <w:rFonts w:hint="eastAsia" w:ascii="仿宋_GB2312" w:eastAsia="仿宋_GB2312"/>
          <w:sz w:val="28"/>
          <w:szCs w:val="28"/>
          <w:highlight w:val="none"/>
          <w:lang w:val="en-US" w:eastAsia="zh-CN"/>
        </w:rPr>
        <w:t>2.43</w:t>
      </w:r>
      <w:r>
        <w:rPr>
          <w:rFonts w:hint="eastAsia" w:ascii="仿宋_GB2312" w:eastAsia="仿宋_GB2312"/>
          <w:sz w:val="28"/>
          <w:szCs w:val="28"/>
          <w:highlight w:val="none"/>
        </w:rPr>
        <w:t>万元，减少原因：</w:t>
      </w:r>
      <w:r>
        <w:rPr>
          <w:rFonts w:hint="eastAsia" w:ascii="仿宋_GB2312" w:eastAsia="仿宋_GB2312"/>
          <w:sz w:val="28"/>
          <w:szCs w:val="28"/>
          <w:highlight w:val="none"/>
          <w:lang w:val="en-US" w:eastAsia="zh-CN"/>
        </w:rPr>
        <w:t>主要为当年退休人员增加，减少了公用经费支出</w:t>
      </w:r>
      <w:r>
        <w:rPr>
          <w:rFonts w:hint="eastAsia" w:ascii="仿宋_GB2312" w:eastAsia="仿宋_GB2312"/>
          <w:sz w:val="28"/>
          <w:szCs w:val="28"/>
          <w:highlight w:val="none"/>
        </w:rPr>
        <w:t>。</w:t>
      </w:r>
    </w:p>
    <w:p>
      <w:pPr>
        <w:ind w:left="540"/>
        <w:rPr>
          <w:rFonts w:ascii="黑体" w:eastAsia="黑体"/>
          <w:sz w:val="28"/>
          <w:szCs w:val="28"/>
          <w:highlight w:val="none"/>
        </w:rPr>
      </w:pPr>
      <w:r>
        <w:rPr>
          <w:rFonts w:hint="eastAsia" w:ascii="黑体" w:eastAsia="黑体"/>
          <w:sz w:val="28"/>
          <w:szCs w:val="28"/>
          <w:highlight w:val="none"/>
        </w:rPr>
        <w:t>三、政府采购支出情况</w:t>
      </w:r>
    </w:p>
    <w:p>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0.31</w:t>
      </w:r>
      <w:r>
        <w:rPr>
          <w:rFonts w:hint="eastAsia" w:ascii="仿宋_GB2312" w:eastAsia="仿宋_GB2312"/>
          <w:sz w:val="28"/>
          <w:szCs w:val="28"/>
        </w:rPr>
        <w:t>万元，其中：政府采购货物支出</w:t>
      </w:r>
      <w:r>
        <w:rPr>
          <w:rFonts w:ascii="仿宋_GB2312" w:eastAsia="仿宋_GB2312"/>
          <w:sz w:val="28"/>
          <w:szCs w:val="28"/>
        </w:rPr>
        <w:t>0.31</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0</w:t>
      </w:r>
      <w:r>
        <w:rPr>
          <w:rFonts w:hint="eastAsia" w:ascii="仿宋_GB2312" w:eastAsia="仿宋_GB2312"/>
          <w:sz w:val="28"/>
          <w:szCs w:val="28"/>
        </w:rPr>
        <w:t>万元。授予中小企业合同金额</w:t>
      </w:r>
      <w:r>
        <w:rPr>
          <w:rFonts w:ascii="仿宋_GB2312" w:eastAsia="仿宋_GB2312"/>
          <w:sz w:val="28"/>
          <w:szCs w:val="28"/>
        </w:rPr>
        <w:t>0.31</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0.31万元，占政府采购支出总额的</w:t>
      </w:r>
      <w:r>
        <w:rPr>
          <w:rFonts w:ascii="仿宋_GB2312" w:eastAsia="仿宋_GB2312"/>
          <w:sz w:val="28"/>
          <w:szCs w:val="28"/>
        </w:rPr>
        <w:t>100</w:t>
      </w:r>
      <w:r>
        <w:rPr>
          <w:rFonts w:hint="eastAsia" w:ascii="仿宋_GB2312" w:eastAsia="仿宋_GB2312"/>
          <w:sz w:val="28"/>
          <w:szCs w:val="28"/>
        </w:rPr>
        <w:t>%。</w:t>
      </w:r>
    </w:p>
    <w:p>
      <w:pPr>
        <w:ind w:firstLine="560" w:firstLineChars="200"/>
        <w:rPr>
          <w:rFonts w:ascii="黑体" w:eastAsia="黑体"/>
          <w:sz w:val="28"/>
          <w:szCs w:val="28"/>
          <w:highlight w:val="yellow"/>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highlight w:val="none"/>
          <w:lang w:eastAsia="zh-CN"/>
        </w:rPr>
        <w:t>截至</w:t>
      </w:r>
      <w:r>
        <w:rPr>
          <w:rFonts w:hint="eastAsia" w:ascii="仿宋_GB2312" w:eastAsia="仿宋_GB2312"/>
          <w:sz w:val="28"/>
          <w:szCs w:val="28"/>
          <w:highlight w:val="none"/>
          <w:lang w:val="en-US" w:eastAsia="zh-CN"/>
        </w:rPr>
        <w:t>12月31日，北京市西城区</w:t>
      </w:r>
      <w:r>
        <w:rPr>
          <w:rFonts w:hint="eastAsia" w:ascii="仿宋_GB2312" w:eastAsia="仿宋_GB2312"/>
          <w:sz w:val="28"/>
          <w:szCs w:val="28"/>
          <w:lang w:val="en-US" w:eastAsia="zh-CN"/>
        </w:rPr>
        <w:t>文化市场综合执法大队</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政府购买服务决算0</w:t>
      </w:r>
      <w:r>
        <w:rPr>
          <w:rFonts w:hint="eastAsia" w:ascii="仿宋_GB2312" w:eastAsia="仿宋_GB2312"/>
          <w:sz w:val="28"/>
          <w:szCs w:val="28"/>
        </w:rPr>
        <w:t>万元。</w:t>
      </w:r>
    </w:p>
    <w:p>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632" w:firstLineChars="200"/>
        <w:rPr>
          <w:rFonts w:ascii="仿宋_GB2312" w:eastAsia="仿宋_GB2312"/>
          <w:b/>
          <w:color w:val="000000"/>
          <w:spacing w:val="-2"/>
          <w:sz w:val="32"/>
          <w:szCs w:val="32"/>
        </w:rPr>
      </w:pPr>
      <w:r>
        <w:rPr>
          <w:rFonts w:hint="eastAsia" w:ascii="仿宋_GB2312" w:eastAsia="仿宋_GB2312"/>
          <w:b/>
          <w:color w:val="000000"/>
          <w:spacing w:val="-2"/>
          <w:sz w:val="32"/>
          <w:szCs w:val="32"/>
        </w:rPr>
        <w:t>7.各单位需根据自身业务职能，补充当年使用的所有支出功能分类项级科目名词解释，例如：</w:t>
      </w:r>
    </w:p>
    <w:p>
      <w:pPr>
        <w:ind w:firstLine="560" w:firstLineChars="200"/>
        <w:rPr>
          <w:rFonts w:hint="eastAsia" w:ascii="仿宋_GB2312" w:hAnsi="Times New Roman" w:eastAsia="仿宋_GB2312" w:cs="Times New Roman"/>
          <w:b w:val="0"/>
          <w:bCs w:val="0"/>
          <w:color w:val="000000"/>
          <w:sz w:val="28"/>
          <w:szCs w:val="28"/>
        </w:rPr>
      </w:pPr>
      <w:r>
        <w:rPr>
          <w:rFonts w:hint="eastAsia" w:ascii="仿宋_GB2312" w:hAnsi="Times New Roman" w:eastAsia="仿宋_GB2312" w:cs="Times New Roman"/>
          <w:b w:val="0"/>
          <w:bCs w:val="0"/>
          <w:color w:val="000000"/>
          <w:sz w:val="28"/>
          <w:szCs w:val="28"/>
          <w:lang w:val="en-US" w:eastAsia="zh-CN"/>
        </w:rPr>
        <w:t>文化体育与传媒支出（类）文化和旅游（款）行政运行（项）：</w:t>
      </w:r>
      <w:r>
        <w:rPr>
          <w:rFonts w:hint="eastAsia" w:ascii="仿宋_GB2312" w:hAnsi="Times New Roman" w:eastAsia="仿宋_GB2312" w:cs="Times New Roman"/>
          <w:b w:val="0"/>
          <w:bCs w:val="0"/>
          <w:color w:val="000000"/>
          <w:sz w:val="28"/>
          <w:szCs w:val="28"/>
        </w:rPr>
        <w:t>反映行政单位</w:t>
      </w:r>
      <w:r>
        <w:rPr>
          <w:rFonts w:hint="eastAsia" w:ascii="仿宋_GB2312" w:hAnsi="Times New Roman" w:eastAsia="仿宋_GB2312" w:cs="Times New Roman"/>
          <w:b w:val="0"/>
          <w:bCs w:val="0"/>
          <w:color w:val="000000"/>
          <w:sz w:val="28"/>
          <w:szCs w:val="28"/>
          <w:lang w:val="en-US" w:eastAsia="zh-CN"/>
        </w:rPr>
        <w:t>(包括实行公务员管理的事业单位)</w:t>
      </w:r>
      <w:r>
        <w:rPr>
          <w:rFonts w:hint="eastAsia" w:ascii="仿宋_GB2312" w:hAnsi="Times New Roman" w:eastAsia="仿宋_GB2312" w:cs="Times New Roman"/>
          <w:b w:val="0"/>
          <w:bCs w:val="0"/>
          <w:color w:val="000000"/>
          <w:sz w:val="28"/>
          <w:szCs w:val="28"/>
        </w:rPr>
        <w:t>的基本支出。</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文化体育与传媒支出（类）文化和旅游（款）文化和旅游市场管理（项）：反映文化和旅游执法检查等文化旅游市场管理方面的支出。</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社会保障和就业支出（类）行政事业单位养老支出（款）行政单位离退休（项）：反映行政单位（包括实行公务员管理的事业单位）开支的离退休经费。</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社会保障和就业支出（类）行政事业单位养老支出（款）机关事业单位基本养老保险缴费支出（项）：反映机关事业单位实施养老保险制度由单位缴纳的基本养老保险费支出。</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社会保障和就业支出（类）行政事业单位养老支出（款）机关事业单位职业年金缴费支出（项）反映机关事业单位实施养老保险制度由单位实际缴纳的职业年金支出（含职业年金补记支出）。</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卫生健康支出（类）行政事业单位医疗（款）行政单位医疗（项）：反映财政部门安排的行政单位（包括实行公务员管理的事业单位）基本医疗保险缴费经费，未参加医疗保险的行政单位的公费医疗经费，按国家规定享受离休人员、红军老战士待遇人员的医疗经费。</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住房保障支出（类）住房改革支出（款）住房公积金（项）：反映行政事业单位按人力资源和社会保障部、财政部规定的基本工资和津贴补贴以及规定比例为职工缴纳的住房公积金。</w:t>
      </w:r>
    </w:p>
    <w:p>
      <w:pPr>
        <w:ind w:firstLine="560" w:firstLineChars="200"/>
        <w:rPr>
          <w:rFonts w:hint="eastAsia" w:ascii="仿宋_GB2312" w:hAnsi="Times New Roman" w:eastAsia="仿宋_GB2312" w:cs="Times New Roman"/>
          <w:b w:val="0"/>
          <w:bCs w:val="0"/>
          <w:color w:val="000000"/>
          <w:sz w:val="28"/>
          <w:szCs w:val="28"/>
          <w:lang w:val="en-US" w:eastAsia="zh-CN"/>
        </w:rPr>
      </w:pPr>
      <w:r>
        <w:rPr>
          <w:rFonts w:hint="eastAsia" w:ascii="仿宋_GB2312" w:hAnsi="Times New Roman" w:eastAsia="仿宋_GB2312" w:cs="Times New Roman"/>
          <w:b w:val="0"/>
          <w:bCs w:val="0"/>
          <w:color w:val="000000"/>
          <w:sz w:val="28"/>
          <w:szCs w:val="28"/>
          <w:lang w:val="en-US" w:eastAsia="zh-CN"/>
        </w:rPr>
        <w:t>住房保障支出（类）住房改革支出（款）购房补贴（项）：反映按房改政策规定，行政事业单位向符合条件职工（含离退休人员）、军队（含武警）向转役复员离退体人员发放的用于购买住房的补贴。</w:t>
      </w:r>
    </w:p>
    <w:p>
      <w:pPr>
        <w:jc w:val="center"/>
        <w:rPr>
          <w:rFonts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2024</w:t>
      </w:r>
      <w:r>
        <w:rPr>
          <w:rFonts w:hint="eastAsia" w:ascii="黑体" w:eastAsia="黑体"/>
          <w:sz w:val="32"/>
          <w:szCs w:val="32"/>
        </w:rPr>
        <w:t>年度部门绩效评价情况</w:t>
      </w:r>
    </w:p>
    <w:p>
      <w:pPr>
        <w:ind w:firstLine="560" w:firstLineChars="200"/>
        <w:rPr>
          <w:rFonts w:ascii="黑体" w:eastAsia="黑体"/>
          <w:sz w:val="28"/>
          <w:szCs w:val="28"/>
        </w:rPr>
      </w:pPr>
      <w:r>
        <w:rPr>
          <w:rFonts w:hint="eastAsia" w:ascii="黑体" w:eastAsia="黑体"/>
          <w:sz w:val="28"/>
          <w:szCs w:val="28"/>
          <w:lang w:val="en-US" w:eastAsia="zh-CN"/>
        </w:rPr>
        <w:t xml:space="preserve">   </w:t>
      </w:r>
    </w:p>
    <w:p>
      <w:pPr>
        <w:ind w:firstLine="560" w:firstLineChars="200"/>
        <w:rPr>
          <w:rFonts w:ascii="黑体" w:eastAsia="黑体"/>
          <w:sz w:val="28"/>
          <w:szCs w:val="28"/>
        </w:rPr>
      </w:pPr>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p>
    <w:p/>
    <w:p>
      <w:pPr>
        <w:pStyle w:val="3"/>
      </w:pPr>
    </w:p>
    <w:p/>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CFBD67"/>
    <w:multiLevelType w:val="singleLevel"/>
    <w:tmpl w:val="CACFBD6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523BC7"/>
    <w:rsid w:val="02F120AB"/>
    <w:rsid w:val="04C3537C"/>
    <w:rsid w:val="04F220C9"/>
    <w:rsid w:val="079004AC"/>
    <w:rsid w:val="082934E6"/>
    <w:rsid w:val="0A7E5E13"/>
    <w:rsid w:val="0B9024D4"/>
    <w:rsid w:val="0BA148CA"/>
    <w:rsid w:val="0C1165C4"/>
    <w:rsid w:val="0DC37A06"/>
    <w:rsid w:val="0DD136FE"/>
    <w:rsid w:val="0F8E2C57"/>
    <w:rsid w:val="1059665E"/>
    <w:rsid w:val="10AC13BA"/>
    <w:rsid w:val="11EA1EFF"/>
    <w:rsid w:val="143C7A3D"/>
    <w:rsid w:val="145A6C1B"/>
    <w:rsid w:val="153A42C3"/>
    <w:rsid w:val="167A2FF9"/>
    <w:rsid w:val="17C07E07"/>
    <w:rsid w:val="180E2CF8"/>
    <w:rsid w:val="1AEC0734"/>
    <w:rsid w:val="1C654D4D"/>
    <w:rsid w:val="1D2C2247"/>
    <w:rsid w:val="1DA43746"/>
    <w:rsid w:val="1DEF20B0"/>
    <w:rsid w:val="214243FA"/>
    <w:rsid w:val="21AD613C"/>
    <w:rsid w:val="22A06A39"/>
    <w:rsid w:val="257A14F5"/>
    <w:rsid w:val="27196C26"/>
    <w:rsid w:val="28183CAE"/>
    <w:rsid w:val="29EF086F"/>
    <w:rsid w:val="2D366A85"/>
    <w:rsid w:val="2E6D0D28"/>
    <w:rsid w:val="2EC255B4"/>
    <w:rsid w:val="2EFFE297"/>
    <w:rsid w:val="2FF042EC"/>
    <w:rsid w:val="301437CA"/>
    <w:rsid w:val="34241565"/>
    <w:rsid w:val="349D1F0A"/>
    <w:rsid w:val="34DD0473"/>
    <w:rsid w:val="358A3BFB"/>
    <w:rsid w:val="37DE6DB5"/>
    <w:rsid w:val="38BE7C00"/>
    <w:rsid w:val="3C603609"/>
    <w:rsid w:val="3C684897"/>
    <w:rsid w:val="3C754B99"/>
    <w:rsid w:val="3FC40023"/>
    <w:rsid w:val="433E495C"/>
    <w:rsid w:val="47835BAE"/>
    <w:rsid w:val="489F2FD7"/>
    <w:rsid w:val="4AC27CB3"/>
    <w:rsid w:val="4BF72BEF"/>
    <w:rsid w:val="4FA90297"/>
    <w:rsid w:val="4FC41A43"/>
    <w:rsid w:val="4FF91CB2"/>
    <w:rsid w:val="51DB3C59"/>
    <w:rsid w:val="550C0952"/>
    <w:rsid w:val="55762E42"/>
    <w:rsid w:val="574F66C1"/>
    <w:rsid w:val="57A7B272"/>
    <w:rsid w:val="58470068"/>
    <w:rsid w:val="58747CAC"/>
    <w:rsid w:val="5A1720F9"/>
    <w:rsid w:val="5B9C37C2"/>
    <w:rsid w:val="5BA7C654"/>
    <w:rsid w:val="60A54109"/>
    <w:rsid w:val="618A48A1"/>
    <w:rsid w:val="61D01CDF"/>
    <w:rsid w:val="62DF3F05"/>
    <w:rsid w:val="64C0607C"/>
    <w:rsid w:val="65756C86"/>
    <w:rsid w:val="65B52F0F"/>
    <w:rsid w:val="674D385B"/>
    <w:rsid w:val="676F09E1"/>
    <w:rsid w:val="680F6BB3"/>
    <w:rsid w:val="6CAC0ADB"/>
    <w:rsid w:val="6E8C18DD"/>
    <w:rsid w:val="71DC781F"/>
    <w:rsid w:val="72F67735"/>
    <w:rsid w:val="7479465D"/>
    <w:rsid w:val="76A81B16"/>
    <w:rsid w:val="798524E4"/>
    <w:rsid w:val="7A7F1C49"/>
    <w:rsid w:val="7AE37673"/>
    <w:rsid w:val="7AE62BDB"/>
    <w:rsid w:val="7B5B7AE6"/>
    <w:rsid w:val="7B7B6628"/>
    <w:rsid w:val="7BA7071E"/>
    <w:rsid w:val="7BDF6DA8"/>
    <w:rsid w:val="7C7EDC1A"/>
    <w:rsid w:val="7CCED98D"/>
    <w:rsid w:val="7D08410F"/>
    <w:rsid w:val="7DB96DED"/>
    <w:rsid w:val="7DD3AD81"/>
    <w:rsid w:val="7E143BCC"/>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1453.07</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1325.53</c:v>
                </c:pt>
                <c:pt idx="1">
                  <c:v>127.54</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3819</Words>
  <Characters>6444</Characters>
  <Lines>44</Lines>
  <Paragraphs>12</Paragraphs>
  <TotalTime>1</TotalTime>
  <ScaleCrop>false</ScaleCrop>
  <LinksUpToDate>false</LinksUpToDate>
  <CharactersWithSpaces>6463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lenovo</cp:lastModifiedBy>
  <cp:lastPrinted>2020-08-07T11:39:00Z</cp:lastPrinted>
  <dcterms:modified xsi:type="dcterms:W3CDTF">2025-08-27T08:20:04Z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435078ACFECC4A5A8A519EF4C3681114_13</vt:lpwstr>
  </property>
  <property fmtid="{D5CDD505-2E9C-101B-9397-08002B2CF9AE}" pid="4" name="KSOTemplateDocerSaveRecord">
    <vt:lpwstr>eyJoZGlkIjoiMzc4NWY1MzkzMjk1MGZhYTYzN2RlYzY2ZjI5NzA1ZTciLCJ1c2VySWQiOiIxMDExMTUzMTMyIn0=</vt:lpwstr>
  </property>
</Properties>
</file>