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C79716">
      <w:pPr>
        <w:jc w:val="center"/>
        <w:rPr>
          <w:rFonts w:ascii="仿宋_GB2312" w:eastAsia="仿宋_GB2312"/>
          <w:b/>
          <w:sz w:val="32"/>
          <w:szCs w:val="32"/>
        </w:rPr>
      </w:pPr>
    </w:p>
    <w:p w14:paraId="261058BE">
      <w:pPr>
        <w:jc w:val="center"/>
        <w:rPr>
          <w:rFonts w:ascii="黑体" w:eastAsia="黑体"/>
          <w:sz w:val="72"/>
          <w:szCs w:val="72"/>
        </w:rPr>
      </w:pPr>
    </w:p>
    <w:p w14:paraId="73E9DD9D">
      <w:pPr>
        <w:jc w:val="center"/>
        <w:rPr>
          <w:rFonts w:ascii="黑体" w:eastAsia="黑体"/>
          <w:sz w:val="72"/>
          <w:szCs w:val="72"/>
        </w:rPr>
      </w:pPr>
    </w:p>
    <w:p w14:paraId="0928DBF0">
      <w:pPr>
        <w:jc w:val="center"/>
        <w:rPr>
          <w:rFonts w:hint="eastAsia" w:ascii="黑体" w:eastAsia="黑体"/>
          <w:sz w:val="72"/>
          <w:szCs w:val="72"/>
          <w:lang w:eastAsia="zh-CN"/>
        </w:rPr>
      </w:pPr>
      <w:r>
        <w:rPr>
          <w:rFonts w:hint="eastAsia" w:ascii="黑体" w:eastAsia="黑体"/>
          <w:sz w:val="72"/>
          <w:szCs w:val="72"/>
          <w:lang w:eastAsia="zh-CN"/>
        </w:rPr>
        <w:t>北京市西城区社会文化管理所</w:t>
      </w:r>
    </w:p>
    <w:p w14:paraId="30B8EEC3">
      <w:pPr>
        <w:jc w:val="center"/>
        <w:rPr>
          <w:rFonts w:ascii="黑体" w:eastAsia="黑体"/>
          <w:sz w:val="72"/>
          <w:szCs w:val="72"/>
        </w:rPr>
      </w:pPr>
    </w:p>
    <w:p w14:paraId="62527BF2">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eastAsia="zh-CN"/>
        </w:rPr>
        <w:t>公开</w:t>
      </w:r>
      <w:r>
        <w:rPr>
          <w:rFonts w:ascii="黑体" w:eastAsia="黑体"/>
          <w:sz w:val="72"/>
          <w:szCs w:val="72"/>
        </w:rPr>
        <w:t>）</w:t>
      </w:r>
    </w:p>
    <w:p w14:paraId="5907DF43">
      <w:pPr>
        <w:jc w:val="center"/>
        <w:rPr>
          <w:rFonts w:ascii="黑体" w:eastAsia="黑体"/>
          <w:sz w:val="52"/>
          <w:szCs w:val="52"/>
        </w:rPr>
      </w:pPr>
    </w:p>
    <w:p w14:paraId="625A7353">
      <w:pPr>
        <w:jc w:val="center"/>
        <w:rPr>
          <w:rFonts w:ascii="黑体" w:eastAsia="黑体"/>
          <w:sz w:val="52"/>
          <w:szCs w:val="52"/>
        </w:rPr>
      </w:pPr>
    </w:p>
    <w:p w14:paraId="1590CDD7">
      <w:pPr>
        <w:jc w:val="center"/>
        <w:rPr>
          <w:rFonts w:ascii="黑体" w:eastAsia="黑体"/>
          <w:sz w:val="52"/>
          <w:szCs w:val="52"/>
        </w:rPr>
      </w:pPr>
    </w:p>
    <w:p w14:paraId="1436ED05">
      <w:pPr>
        <w:jc w:val="center"/>
        <w:rPr>
          <w:rFonts w:ascii="黑体" w:eastAsia="黑体"/>
          <w:sz w:val="52"/>
          <w:szCs w:val="52"/>
        </w:rPr>
      </w:pPr>
    </w:p>
    <w:p w14:paraId="3D5C130D">
      <w:pPr>
        <w:jc w:val="center"/>
        <w:rPr>
          <w:rFonts w:ascii="黑体" w:eastAsia="黑体"/>
          <w:sz w:val="32"/>
          <w:szCs w:val="32"/>
        </w:rPr>
      </w:pPr>
    </w:p>
    <w:p w14:paraId="644F220B">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4724626F">
      <w:pPr>
        <w:spacing w:line="500" w:lineRule="exact"/>
        <w:ind w:firstLine="645"/>
        <w:jc w:val="center"/>
        <w:rPr>
          <w:rFonts w:ascii="宋体" w:hAnsi="宋体" w:cs="宋体"/>
          <w:b/>
          <w:bCs/>
          <w:kern w:val="0"/>
          <w:sz w:val="36"/>
          <w:szCs w:val="36"/>
        </w:rPr>
      </w:pPr>
    </w:p>
    <w:p w14:paraId="04EC4559">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第一部分 </w:t>
      </w:r>
      <w:r>
        <w:rPr>
          <w:rFonts w:hint="eastAsia" w:ascii="宋体" w:hAnsi="宋体" w:cs="宋体"/>
          <w:bCs/>
          <w:spacing w:val="40"/>
          <w:kern w:val="0"/>
          <w:sz w:val="32"/>
          <w:szCs w:val="32"/>
          <w:lang w:eastAsia="zh-CN"/>
        </w:rPr>
        <w:t>2024</w:t>
      </w:r>
      <w:r>
        <w:rPr>
          <w:rFonts w:hint="eastAsia" w:ascii="宋体" w:hAnsi="宋体" w:cs="宋体"/>
          <w:bCs/>
          <w:spacing w:val="40"/>
          <w:kern w:val="0"/>
          <w:sz w:val="32"/>
          <w:szCs w:val="32"/>
        </w:rPr>
        <w:t>年度部门决算报表</w:t>
      </w:r>
    </w:p>
    <w:p w14:paraId="162BDD4C">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018D2BE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0CF9AA7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76F70F5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64F12C5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214A5738">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486FB77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3D18CD0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4CFDEE7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2346E84E">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17ADEB4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09B21B7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3F83E012">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lang w:eastAsia="zh-CN"/>
        </w:rPr>
        <w:t>2024</w:t>
      </w:r>
      <w:r>
        <w:rPr>
          <w:rFonts w:hint="eastAsia" w:ascii="宋体" w:hAnsi="宋体"/>
          <w:spacing w:val="40"/>
          <w:sz w:val="32"/>
          <w:szCs w:val="32"/>
        </w:rPr>
        <w:t>年度部门决算说明</w:t>
      </w:r>
    </w:p>
    <w:p w14:paraId="30885A13">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lang w:eastAsia="zh-CN"/>
        </w:rPr>
        <w:t>2024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6A986CC7">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 xml:space="preserve">第四部分 </w:t>
      </w:r>
      <w:r>
        <w:rPr>
          <w:rFonts w:hint="eastAsia" w:ascii="宋体" w:hAnsi="宋体" w:cs="宋体"/>
          <w:spacing w:val="40"/>
          <w:kern w:val="0"/>
          <w:sz w:val="32"/>
          <w:szCs w:val="32"/>
          <w:lang w:eastAsia="zh-CN"/>
        </w:rPr>
        <w:t>2024</w:t>
      </w:r>
      <w:r>
        <w:rPr>
          <w:rFonts w:hint="eastAsia" w:ascii="宋体" w:hAnsi="宋体" w:cs="宋体"/>
          <w:spacing w:val="40"/>
          <w:kern w:val="0"/>
          <w:sz w:val="32"/>
          <w:szCs w:val="32"/>
        </w:rPr>
        <w:t>年度部门绩效评价情况</w:t>
      </w:r>
    </w:p>
    <w:p w14:paraId="17BFC18D">
      <w:pPr>
        <w:keepNext w:val="0"/>
        <w:keepLines w:val="0"/>
        <w:pageBreakBefore w:val="0"/>
        <w:widowControl w:val="0"/>
        <w:tabs>
          <w:tab w:val="center" w:pos="6979"/>
        </w:tabs>
        <w:kinsoku/>
        <w:wordWrap/>
        <w:overflowPunct/>
        <w:topLinePunct w:val="0"/>
        <w:autoSpaceDE/>
        <w:autoSpaceDN/>
        <w:bidi w:val="0"/>
        <w:adjustRightInd/>
        <w:snapToGrid/>
        <w:spacing w:before="156" w:beforeLines="50" w:after="156" w:afterLines="50"/>
        <w:ind w:firstLine="3600" w:firstLineChars="900"/>
        <w:jc w:val="both"/>
        <w:textAlignment w:val="auto"/>
        <w:rPr>
          <w:rFonts w:ascii="宋体" w:hAnsi="宋体" w:cs="宋体"/>
          <w:b/>
          <w:bCs/>
          <w:spacing w:val="40"/>
          <w:kern w:val="0"/>
          <w:sz w:val="32"/>
          <w:szCs w:val="32"/>
        </w:rPr>
      </w:pPr>
      <w:r>
        <w:rPr>
          <w:rFonts w:hint="eastAsia" w:ascii="宋体" w:hAnsi="宋体" w:cs="宋体"/>
          <w:b/>
          <w:bCs/>
          <w:spacing w:val="40"/>
          <w:kern w:val="0"/>
          <w:sz w:val="32"/>
          <w:szCs w:val="32"/>
        </w:rPr>
        <w:t xml:space="preserve">第一部分 </w:t>
      </w:r>
      <w:r>
        <w:rPr>
          <w:rFonts w:hint="eastAsia" w:ascii="宋体" w:hAnsi="宋体" w:cs="宋体"/>
          <w:b/>
          <w:bCs/>
          <w:spacing w:val="40"/>
          <w:kern w:val="0"/>
          <w:sz w:val="32"/>
          <w:szCs w:val="32"/>
          <w:lang w:eastAsia="zh-CN"/>
        </w:rPr>
        <w:t>2024</w:t>
      </w:r>
      <w:r>
        <w:rPr>
          <w:rFonts w:hint="eastAsia" w:ascii="宋体" w:hAnsi="宋体" w:cs="宋体"/>
          <w:b/>
          <w:bCs/>
          <w:spacing w:val="40"/>
          <w:kern w:val="0"/>
          <w:sz w:val="32"/>
          <w:szCs w:val="32"/>
        </w:rPr>
        <w:t>年度部门决算报表</w:t>
      </w:r>
    </w:p>
    <w:p w14:paraId="3F53D9E3">
      <w:pPr>
        <w:pStyle w:val="2"/>
        <w:rPr>
          <w:rFonts w:hint="default" w:eastAsia="仿宋_GB2312"/>
          <w:b w:val="0"/>
          <w:bCs w:val="0"/>
          <w:lang w:val="en-US" w:eastAsia="zh-CN"/>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r>
        <w:rPr>
          <w:rFonts w:hint="eastAsia" w:ascii="仿宋_GB2312" w:eastAsia="仿宋_GB2312"/>
          <w:b w:val="0"/>
          <w:bCs w:val="0"/>
          <w:sz w:val="28"/>
          <w:szCs w:val="28"/>
          <w:lang w:eastAsia="zh-CN"/>
        </w:rPr>
        <w:t>：</w:t>
      </w:r>
      <w:r>
        <w:rPr>
          <w:rFonts w:hint="eastAsia" w:ascii="仿宋_GB2312" w:eastAsia="仿宋_GB2312"/>
          <w:b w:val="0"/>
          <w:bCs w:val="0"/>
          <w:sz w:val="28"/>
          <w:szCs w:val="28"/>
          <w:lang w:val="en-US" w:eastAsia="zh-CN"/>
        </w:rPr>
        <w:t>2024-248012-北京市西城区社会文化管理所决算公开报表</w:t>
      </w:r>
    </w:p>
    <w:p w14:paraId="6E5303D2">
      <w:pPr>
        <w:keepNext w:val="0"/>
        <w:keepLines w:val="0"/>
        <w:pageBreakBefore w:val="0"/>
        <w:widowControl w:val="0"/>
        <w:tabs>
          <w:tab w:val="center" w:pos="6979"/>
        </w:tabs>
        <w:kinsoku/>
        <w:wordWrap/>
        <w:overflowPunct/>
        <w:topLinePunct w:val="0"/>
        <w:autoSpaceDE/>
        <w:autoSpaceDN/>
        <w:bidi w:val="0"/>
        <w:adjustRightInd/>
        <w:snapToGrid/>
        <w:spacing w:before="156" w:beforeLines="50" w:after="156" w:afterLines="50"/>
        <w:jc w:val="center"/>
        <w:textAlignment w:val="auto"/>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lang w:eastAsia="zh-CN"/>
        </w:rPr>
        <w:t>2024</w:t>
      </w:r>
      <w:r>
        <w:rPr>
          <w:rFonts w:hint="eastAsia" w:ascii="宋体" w:hAnsi="宋体"/>
          <w:b/>
          <w:spacing w:val="40"/>
          <w:sz w:val="32"/>
          <w:szCs w:val="32"/>
        </w:rPr>
        <w:t>年度部门决算说明</w:t>
      </w:r>
    </w:p>
    <w:p w14:paraId="49A51009">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一、部门基本情况</w:t>
      </w:r>
    </w:p>
    <w:p w14:paraId="4EFB5559">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14:paraId="30CD2AFA">
      <w:pPr>
        <w:keepNext w:val="0"/>
        <w:keepLines w:val="0"/>
        <w:widowControl w:val="0"/>
        <w:suppressLineNumbers w:val="0"/>
        <w:tabs>
          <w:tab w:val="left" w:pos="10"/>
        </w:tabs>
        <w:spacing w:before="0" w:beforeAutospacing="0" w:after="0" w:afterAutospacing="0" w:line="360" w:lineRule="auto"/>
        <w:ind w:left="0" w:right="0" w:firstLine="560" w:firstLineChars="200"/>
        <w:jc w:val="both"/>
        <w:rPr>
          <w:rFonts w:hint="eastAsia" w:ascii="仿宋_GB2312" w:hAnsi="仿宋" w:eastAsia="仿宋_GB2312" w:cs="仿宋_GB2312"/>
          <w:sz w:val="28"/>
          <w:szCs w:val="28"/>
          <w:lang w:val="en-US"/>
        </w:rPr>
      </w:pPr>
      <w:r>
        <w:rPr>
          <w:rFonts w:hint="eastAsia" w:ascii="仿宋_GB2312" w:hAnsi="仿宋" w:eastAsia="仿宋_GB2312" w:cs="仿宋_GB2312"/>
          <w:kern w:val="2"/>
          <w:sz w:val="28"/>
          <w:szCs w:val="28"/>
          <w:lang w:val="en-US" w:eastAsia="zh-CN" w:bidi="ar"/>
        </w:rPr>
        <w:t>北京市西城区社会文化管理所是西城区文化和旅游局所属公益一类事业单位，主要工作职能是负责</w:t>
      </w:r>
      <w:r>
        <w:rPr>
          <w:rFonts w:hint="eastAsia" w:ascii="仿宋_GB2312" w:hAnsi="仿宋" w:eastAsia="仿宋_GB2312" w:cs="宋体"/>
          <w:kern w:val="0"/>
          <w:sz w:val="28"/>
          <w:szCs w:val="28"/>
          <w:lang w:val="en-US" w:eastAsia="zh-CN" w:bidi="ar"/>
        </w:rPr>
        <w:t>区文旅局</w:t>
      </w:r>
      <w:r>
        <w:rPr>
          <w:rFonts w:hint="eastAsia" w:ascii="仿宋_GB2312" w:hAnsi="仿宋" w:eastAsia="仿宋_GB2312" w:cs="仿宋_GB2312"/>
          <w:kern w:val="2"/>
          <w:sz w:val="28"/>
          <w:szCs w:val="28"/>
          <w:lang w:val="en-US" w:eastAsia="zh-CN" w:bidi="ar"/>
        </w:rPr>
        <w:t>所属自收自支事业单位的人员管理，以及房屋建筑的经营开发和安全工作；承担国有资产的增值保值和债权债务的处理工作。</w:t>
      </w:r>
    </w:p>
    <w:p w14:paraId="02567F03">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7AD61321">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eastAsia="zh-CN"/>
        </w:rPr>
        <w:t>2024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268.23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107.56</w:t>
      </w:r>
      <w:r>
        <w:rPr>
          <w:rFonts w:hint="eastAsia" w:ascii="仿宋_GB2312" w:eastAsia="仿宋_GB2312"/>
          <w:sz w:val="28"/>
          <w:szCs w:val="28"/>
        </w:rPr>
        <w:t>万元，下降</w:t>
      </w:r>
      <w:r>
        <w:rPr>
          <w:rFonts w:hint="eastAsia" w:ascii="仿宋_GB2312" w:eastAsia="仿宋_GB2312"/>
          <w:sz w:val="28"/>
          <w:szCs w:val="28"/>
          <w:lang w:val="en-US" w:eastAsia="zh-CN"/>
        </w:rPr>
        <w:t>28.62</w:t>
      </w:r>
      <w:r>
        <w:rPr>
          <w:rFonts w:hint="eastAsia" w:ascii="仿宋_GB2312" w:eastAsia="仿宋_GB2312"/>
          <w:sz w:val="28"/>
          <w:szCs w:val="28"/>
        </w:rPr>
        <w:t>%。</w:t>
      </w:r>
    </w:p>
    <w:p w14:paraId="42083847">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566F4B07">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年度本年收入合计</w:t>
      </w:r>
      <w:r>
        <w:rPr>
          <w:rFonts w:ascii="仿宋_GB2312" w:eastAsia="仿宋_GB2312"/>
          <w:sz w:val="28"/>
          <w:szCs w:val="28"/>
        </w:rPr>
        <w:t>268.23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107.56</w:t>
      </w:r>
      <w:r>
        <w:rPr>
          <w:rFonts w:hint="eastAsia" w:ascii="仿宋_GB2312" w:eastAsia="仿宋_GB2312"/>
          <w:sz w:val="28"/>
          <w:szCs w:val="28"/>
        </w:rPr>
        <w:t>万元，下降</w:t>
      </w:r>
      <w:r>
        <w:rPr>
          <w:rFonts w:hint="eastAsia" w:ascii="仿宋_GB2312" w:eastAsia="仿宋_GB2312"/>
          <w:sz w:val="28"/>
          <w:szCs w:val="28"/>
          <w:lang w:val="en-US" w:eastAsia="zh-CN"/>
        </w:rPr>
        <w:t>28.62</w:t>
      </w:r>
      <w:r>
        <w:rPr>
          <w:rFonts w:hint="eastAsia" w:ascii="仿宋_GB2312" w:eastAsia="仿宋_GB2312"/>
          <w:sz w:val="28"/>
          <w:szCs w:val="28"/>
        </w:rPr>
        <w:t>%</w:t>
      </w:r>
      <w:r>
        <w:rPr>
          <w:rFonts w:hint="eastAsia" w:ascii="仿宋_GB2312" w:eastAsia="仿宋_GB2312"/>
          <w:sz w:val="28"/>
          <w:szCs w:val="28"/>
          <w:lang w:eastAsia="zh-CN"/>
        </w:rPr>
        <w:t>。</w:t>
      </w:r>
    </w:p>
    <w:p w14:paraId="6B8C866A">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268.23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。其中：一般公共预算财政拨款收入</w:t>
      </w:r>
      <w:r>
        <w:rPr>
          <w:rFonts w:ascii="仿宋_GB2312" w:eastAsia="仿宋_GB2312"/>
          <w:sz w:val="28"/>
          <w:szCs w:val="28"/>
        </w:rPr>
        <w:t>268.23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86348B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C6A216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FAF355C">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B75BC0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985108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6E18D0C">
      <w:pPr>
        <w:spacing w:line="560" w:lineRule="exact"/>
        <w:ind w:firstLine="640"/>
        <w:rPr>
          <w:rFonts w:ascii="仿宋_GB2312" w:eastAsia="仿宋_GB2312" w:cs="Droid Sans"/>
          <w:color w:val="000000"/>
          <w:sz w:val="32"/>
          <w:szCs w:val="32"/>
        </w:rPr>
      </w:pPr>
      <w:r>
        <w:rPr>
          <w:rFonts w:hint="eastAsia" w:ascii="仿宋_GB2312" w:eastAsia="仿宋_GB2312" w:cs="Droid Sans"/>
          <w:color w:val="000000"/>
          <w:sz w:val="32"/>
          <w:szCs w:val="32"/>
        </w:rPr>
        <w:t>（此处插入图表，用上述收入金额制作饼状图，示例如下，无金额类型不必制图）</w:t>
      </w:r>
    </w:p>
    <w:p w14:paraId="30F55962">
      <w:pPr>
        <w:pStyle w:val="2"/>
        <w:jc w:val="center"/>
        <w:rPr>
          <w:rFonts w:hint="eastAsia"/>
        </w:rPr>
      </w:pPr>
      <w:r>
        <w:rPr>
          <w:rFonts w:hint="eastAsia" w:ascii="仿宋_GB2312" w:eastAsia="仿宋_GB2312"/>
          <w:color w:val="000000"/>
          <w:sz w:val="32"/>
        </w:rPr>
        <w:t>图1：收入决算</w:t>
      </w:r>
    </w:p>
    <w:p w14:paraId="2D658D20">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64B6B82">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5EE35962">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268.23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107.56</w:t>
      </w:r>
      <w:r>
        <w:rPr>
          <w:rFonts w:hint="eastAsia" w:ascii="仿宋_GB2312" w:eastAsia="仿宋_GB2312"/>
          <w:sz w:val="28"/>
          <w:szCs w:val="28"/>
        </w:rPr>
        <w:t>万元，下降</w:t>
      </w:r>
      <w:r>
        <w:rPr>
          <w:rFonts w:hint="eastAsia" w:ascii="仿宋_GB2312" w:eastAsia="仿宋_GB2312"/>
          <w:sz w:val="28"/>
          <w:szCs w:val="28"/>
          <w:lang w:val="en-US" w:eastAsia="zh-CN"/>
        </w:rPr>
        <w:t>28.62</w:t>
      </w:r>
      <w:r>
        <w:rPr>
          <w:rFonts w:hint="eastAsia" w:ascii="仿宋_GB2312" w:eastAsia="仿宋_GB2312"/>
          <w:sz w:val="28"/>
          <w:szCs w:val="28"/>
        </w:rPr>
        <w:t>%，其中：基本支出</w:t>
      </w:r>
      <w:r>
        <w:rPr>
          <w:rFonts w:ascii="仿宋_GB2312" w:eastAsia="仿宋_GB2312"/>
          <w:sz w:val="28"/>
          <w:szCs w:val="28"/>
        </w:rPr>
        <w:t>210.54</w:t>
      </w:r>
      <w:r>
        <w:rPr>
          <w:rFonts w:hint="eastAsia" w:ascii="仿宋_GB2312" w:eastAsia="仿宋_GB2312"/>
          <w:sz w:val="28"/>
          <w:szCs w:val="28"/>
        </w:rPr>
        <w:t>万元，占支出合计的</w:t>
      </w:r>
      <w:r>
        <w:rPr>
          <w:rFonts w:hint="eastAsia" w:ascii="仿宋_GB2312" w:eastAsia="仿宋_GB2312"/>
          <w:sz w:val="28"/>
          <w:szCs w:val="28"/>
          <w:lang w:eastAsia="zh-CN"/>
        </w:rPr>
        <w:t>78.49</w:t>
      </w:r>
      <w:r>
        <w:rPr>
          <w:rFonts w:hint="eastAsia" w:ascii="仿宋_GB2312" w:eastAsia="仿宋_GB2312"/>
          <w:sz w:val="28"/>
          <w:szCs w:val="28"/>
        </w:rPr>
        <w:t>%；项目支出</w:t>
      </w:r>
      <w:r>
        <w:rPr>
          <w:rFonts w:ascii="仿宋_GB2312" w:eastAsia="仿宋_GB2312"/>
          <w:sz w:val="28"/>
          <w:szCs w:val="28"/>
        </w:rPr>
        <w:t>57.69</w:t>
      </w:r>
      <w:r>
        <w:rPr>
          <w:rFonts w:hint="eastAsia" w:ascii="仿宋_GB2312" w:eastAsia="仿宋_GB2312"/>
          <w:sz w:val="28"/>
          <w:szCs w:val="28"/>
        </w:rPr>
        <w:t>万元，占支出合计的</w:t>
      </w:r>
      <w:r>
        <w:rPr>
          <w:rFonts w:hint="eastAsia" w:ascii="仿宋_GB2312" w:eastAsia="仿宋_GB2312"/>
          <w:sz w:val="28"/>
          <w:szCs w:val="28"/>
          <w:lang w:eastAsia="zh-CN"/>
        </w:rPr>
        <w:t>21.51</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437133B2">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支出</w:t>
      </w:r>
      <w:r>
        <w:rPr>
          <w:rFonts w:hint="eastAsia" w:ascii="仿宋_GB2312" w:eastAsia="仿宋_GB2312" w:cs="Droid Sans"/>
          <w:color w:val="000000"/>
          <w:sz w:val="32"/>
          <w:szCs w:val="32"/>
          <w:highlight w:val="none"/>
          <w:lang w:eastAsia="zh-CN"/>
        </w:rPr>
        <w:t>金额制作饼状图，示例如下，无金额类型不必制图）</w:t>
      </w:r>
    </w:p>
    <w:p w14:paraId="230BEEAD">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17F56863">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98E9E07">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08CD73FD">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268.23</w:t>
      </w:r>
      <w:r>
        <w:rPr>
          <w:rFonts w:hint="eastAsia" w:ascii="仿宋_GB2312" w:eastAsia="仿宋_GB2312"/>
          <w:sz w:val="28"/>
          <w:szCs w:val="28"/>
        </w:rPr>
        <w:t>万元，比上年减少</w:t>
      </w:r>
      <w:r>
        <w:rPr>
          <w:rFonts w:hint="eastAsia" w:ascii="仿宋_GB2312" w:eastAsia="仿宋_GB2312"/>
          <w:sz w:val="28"/>
          <w:szCs w:val="28"/>
          <w:lang w:val="en-US" w:eastAsia="zh-CN"/>
        </w:rPr>
        <w:t>107.56</w:t>
      </w:r>
      <w:r>
        <w:rPr>
          <w:rFonts w:hint="eastAsia" w:ascii="仿宋_GB2312" w:eastAsia="仿宋_GB2312"/>
          <w:sz w:val="28"/>
          <w:szCs w:val="28"/>
        </w:rPr>
        <w:t>万元，下降</w:t>
      </w:r>
      <w:r>
        <w:rPr>
          <w:rFonts w:hint="eastAsia" w:ascii="仿宋_GB2312" w:eastAsia="仿宋_GB2312"/>
          <w:sz w:val="28"/>
          <w:szCs w:val="28"/>
          <w:lang w:val="en-US" w:eastAsia="zh-CN"/>
        </w:rPr>
        <w:t>28.62%</w:t>
      </w:r>
      <w:r>
        <w:rPr>
          <w:rFonts w:hint="eastAsia" w:ascii="仿宋_GB2312" w:eastAsia="仿宋_GB2312"/>
          <w:sz w:val="28"/>
          <w:szCs w:val="28"/>
        </w:rPr>
        <w:t>。主要原因：</w:t>
      </w:r>
      <w:r>
        <w:rPr>
          <w:rFonts w:hint="eastAsia" w:ascii="仿宋_GB2312" w:eastAsia="仿宋_GB2312"/>
          <w:sz w:val="28"/>
          <w:szCs w:val="28"/>
          <w:lang w:eastAsia="zh-CN"/>
        </w:rPr>
        <w:t>经费减少</w:t>
      </w:r>
      <w:r>
        <w:rPr>
          <w:rFonts w:hint="eastAsia" w:ascii="仿宋_GB2312" w:eastAsia="仿宋_GB2312"/>
          <w:sz w:val="28"/>
          <w:szCs w:val="28"/>
        </w:rPr>
        <w:t>。</w:t>
      </w:r>
    </w:p>
    <w:p w14:paraId="4CA719B8">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60F13F31">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1D8A22B5">
      <w:pPr>
        <w:keepNext w:val="0"/>
        <w:keepLines w:val="0"/>
        <w:widowControl w:val="0"/>
        <w:suppressLineNumbers w:val="0"/>
        <w:spacing w:before="0" w:beforeAutospacing="0" w:after="0" w:afterAutospacing="0"/>
        <w:ind w:left="0" w:right="0" w:firstLine="840" w:firstLineChars="300"/>
        <w:jc w:val="both"/>
        <w:rPr>
          <w:rFonts w:hint="eastAsia" w:ascii="仿宋_GB2312" w:hAnsi="仿宋" w:eastAsia="仿宋_GB2312" w:cs="仿宋_GB2312"/>
          <w:sz w:val="28"/>
          <w:szCs w:val="28"/>
          <w:lang w:val="en-US"/>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268.23</w:t>
      </w:r>
      <w:r>
        <w:rPr>
          <w:rFonts w:hint="eastAsia" w:ascii="仿宋_GB2312" w:eastAsia="仿宋_GB2312"/>
          <w:sz w:val="28"/>
          <w:szCs w:val="28"/>
        </w:rPr>
        <w:t>万元，主要用于以下方面（按大类）：</w:t>
      </w:r>
      <w:bookmarkStart w:id="0" w:name="OLE_LINK5"/>
      <w:bookmarkStart w:id="1" w:name="OLE_LINK6"/>
      <w:r>
        <w:rPr>
          <w:rFonts w:hint="eastAsia" w:ascii="仿宋_GB2312" w:hAnsi="仿宋" w:eastAsia="仿宋_GB2312" w:cs="仿宋_GB2312"/>
          <w:kern w:val="2"/>
          <w:sz w:val="28"/>
          <w:szCs w:val="28"/>
          <w:lang w:val="en-US" w:eastAsia="zh-CN" w:bidi="ar"/>
        </w:rPr>
        <w:t>文化旅游体育与传媒支出（类）</w:t>
      </w:r>
      <w:bookmarkEnd w:id="0"/>
      <w:bookmarkEnd w:id="1"/>
      <w:r>
        <w:rPr>
          <w:rFonts w:hint="eastAsia" w:ascii="仿宋_GB2312" w:hAnsi="仿宋" w:eastAsia="仿宋_GB2312" w:cs="仿宋_GB2312"/>
          <w:kern w:val="2"/>
          <w:sz w:val="28"/>
          <w:szCs w:val="28"/>
          <w:lang w:val="en-US" w:eastAsia="zh-CN" w:bidi="ar"/>
        </w:rPr>
        <w:t>201.32万元，占75.05%；社会保障和就业支出（类）26.90万元，占10.03%，卫生健康支出（类）13.53万元，占5.04%；住房保障支出（类）26.48万元，占9.88%。</w:t>
      </w:r>
    </w:p>
    <w:p w14:paraId="2CC82171">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2C64B3A1">
      <w:pPr>
        <w:keepNext w:val="0"/>
        <w:keepLines w:val="0"/>
        <w:widowControl w:val="0"/>
        <w:suppressLineNumbers w:val="0"/>
        <w:spacing w:before="0" w:beforeAutospacing="0" w:after="0" w:afterAutospacing="0" w:line="580" w:lineRule="exact"/>
        <w:ind w:left="0" w:right="0" w:firstLine="560" w:firstLineChars="200"/>
        <w:jc w:val="both"/>
        <w:outlineLvl w:val="1"/>
        <w:rPr>
          <w:rFonts w:hint="default" w:ascii="仿宋_GB2312" w:eastAsia="仿宋_GB2312" w:cs="仿宋_GB2312"/>
          <w:sz w:val="28"/>
          <w:szCs w:val="28"/>
          <w:lang w:val="en-US"/>
        </w:rPr>
      </w:pPr>
      <w:r>
        <w:rPr>
          <w:rFonts w:hint="eastAsia" w:ascii="仿宋_GB2312" w:hAnsi="Times New Roman" w:eastAsia="仿宋_GB2312" w:cs="仿宋_GB2312"/>
          <w:kern w:val="2"/>
          <w:sz w:val="28"/>
          <w:szCs w:val="28"/>
          <w:lang w:val="en-US" w:eastAsia="zh-CN" w:bidi="ar"/>
        </w:rPr>
        <w:t>1、文化体育与传媒支出（类）</w:t>
      </w:r>
      <w:r>
        <w:rPr>
          <w:rFonts w:hint="eastAsia" w:ascii="仿宋_GB2312" w:eastAsia="仿宋_GB2312" w:cs="仿宋_GB2312"/>
          <w:kern w:val="2"/>
          <w:sz w:val="28"/>
          <w:szCs w:val="28"/>
          <w:lang w:val="en-US" w:eastAsia="zh-CN" w:bidi="ar"/>
        </w:rPr>
        <w:t>2024年度年初预算249.27万元，2024年度决算201.32万元，完成年初预算的80.76%。</w:t>
      </w:r>
    </w:p>
    <w:p w14:paraId="49FCAD03">
      <w:pPr>
        <w:keepNext w:val="0"/>
        <w:keepLines w:val="0"/>
        <w:widowControl w:val="0"/>
        <w:suppressLineNumbers w:val="0"/>
        <w:spacing w:before="0" w:beforeAutospacing="0" w:after="0" w:afterAutospacing="0" w:line="580" w:lineRule="exact"/>
        <w:ind w:right="0"/>
        <w:jc w:val="both"/>
        <w:outlineLvl w:val="1"/>
        <w:rPr>
          <w:rFonts w:hint="default" w:ascii="仿宋_GB2312" w:eastAsia="仿宋_GB2312" w:cs="仿宋_GB2312"/>
          <w:sz w:val="28"/>
          <w:szCs w:val="28"/>
          <w:lang w:val="en-US"/>
        </w:rPr>
      </w:pPr>
      <w:r>
        <w:rPr>
          <w:rFonts w:hint="eastAsia" w:ascii="仿宋_GB2312" w:eastAsia="仿宋_GB2312" w:cs="仿宋_GB2312"/>
          <w:kern w:val="2"/>
          <w:sz w:val="28"/>
          <w:szCs w:val="28"/>
          <w:lang w:val="en-US" w:eastAsia="zh-CN" w:bidi="ar"/>
        </w:rPr>
        <w:t>其中：</w:t>
      </w:r>
      <w:r>
        <w:rPr>
          <w:rFonts w:hint="eastAsia" w:ascii="仿宋_GB2312" w:hAnsi="Times New Roman" w:eastAsia="仿宋_GB2312" w:cs="仿宋_GB2312"/>
          <w:kern w:val="2"/>
          <w:sz w:val="28"/>
          <w:szCs w:val="28"/>
          <w:lang w:val="en-US" w:eastAsia="zh-CN" w:bidi="ar"/>
        </w:rPr>
        <w:t>文化和旅游（款）</w:t>
      </w:r>
      <w:r>
        <w:rPr>
          <w:rFonts w:hint="eastAsia" w:ascii="仿宋_GB2312" w:eastAsia="仿宋_GB2312" w:cs="仿宋_GB2312"/>
          <w:kern w:val="2"/>
          <w:sz w:val="28"/>
          <w:szCs w:val="28"/>
          <w:lang w:val="en-US" w:eastAsia="zh-CN" w:bidi="ar"/>
        </w:rPr>
        <w:t>2024年度年初预算249.27万元，2024年度决算201.32万元，完成年初预算的80.76%。</w:t>
      </w:r>
      <w:r>
        <w:rPr>
          <w:rFonts w:hint="eastAsia" w:ascii="仿宋_GB2312" w:hAnsi="Times New Roman" w:eastAsia="仿宋_GB2312" w:cs="仿宋_GB2312"/>
          <w:kern w:val="2"/>
          <w:sz w:val="28"/>
          <w:szCs w:val="28"/>
          <w:lang w:val="en-US" w:eastAsia="zh-CN" w:bidi="ar"/>
        </w:rPr>
        <w:t>主要原因：人员调配经费减少。</w:t>
      </w:r>
    </w:p>
    <w:p w14:paraId="4079D046">
      <w:pPr>
        <w:keepNext w:val="0"/>
        <w:keepLines w:val="0"/>
        <w:widowControl w:val="0"/>
        <w:numPr>
          <w:ilvl w:val="0"/>
          <w:numId w:val="1"/>
        </w:numPr>
        <w:suppressLineNumbers w:val="0"/>
        <w:spacing w:before="0" w:beforeAutospacing="0" w:after="0" w:afterAutospacing="0" w:line="580" w:lineRule="exact"/>
        <w:ind w:right="0" w:firstLine="560" w:firstLineChars="200"/>
        <w:jc w:val="both"/>
        <w:outlineLvl w:val="1"/>
        <w:rPr>
          <w:rFonts w:hint="eastAsia" w:ascii="仿宋_GB2312" w:hAnsi="Times New Roman" w:eastAsia="仿宋_GB2312" w:cs="仿宋_GB2312"/>
          <w:kern w:val="2"/>
          <w:sz w:val="28"/>
          <w:szCs w:val="28"/>
          <w:lang w:val="en-US" w:eastAsia="zh-CN" w:bidi="ar"/>
        </w:rPr>
      </w:pPr>
      <w:r>
        <w:rPr>
          <w:rFonts w:hint="eastAsia" w:ascii="仿宋_GB2312" w:hAnsi="Times New Roman" w:eastAsia="仿宋_GB2312" w:cs="仿宋_GB2312"/>
          <w:kern w:val="2"/>
          <w:sz w:val="28"/>
          <w:szCs w:val="28"/>
          <w:lang w:val="en-US" w:eastAsia="zh-CN" w:bidi="ar"/>
        </w:rPr>
        <w:t>社会保障和就业支出（类）</w:t>
      </w:r>
      <w:r>
        <w:rPr>
          <w:rFonts w:hint="eastAsia" w:ascii="仿宋_GB2312" w:eastAsia="仿宋_GB2312" w:cs="仿宋_GB2312"/>
          <w:kern w:val="2"/>
          <w:sz w:val="28"/>
          <w:szCs w:val="28"/>
          <w:lang w:val="en-US" w:eastAsia="zh-CN" w:bidi="ar"/>
        </w:rPr>
        <w:t>2024年度年初预算32.34万元，2024年度决算26.90万元，完成年初预算的83.18%。其中：行政事业单位养老支出</w:t>
      </w:r>
      <w:r>
        <w:rPr>
          <w:rFonts w:hint="eastAsia" w:ascii="仿宋_GB2312" w:hAnsi="Times New Roman" w:eastAsia="仿宋_GB2312" w:cs="仿宋_GB2312"/>
          <w:kern w:val="2"/>
          <w:sz w:val="28"/>
          <w:szCs w:val="28"/>
          <w:lang w:val="en-US" w:eastAsia="zh-CN" w:bidi="ar"/>
        </w:rPr>
        <w:t>（</w:t>
      </w:r>
      <w:r>
        <w:rPr>
          <w:rFonts w:hint="eastAsia" w:ascii="仿宋_GB2312" w:eastAsia="仿宋_GB2312" w:cs="仿宋_GB2312"/>
          <w:kern w:val="2"/>
          <w:sz w:val="28"/>
          <w:szCs w:val="28"/>
          <w:lang w:val="en-US" w:eastAsia="zh-CN" w:bidi="ar"/>
        </w:rPr>
        <w:t>款</w:t>
      </w:r>
      <w:r>
        <w:rPr>
          <w:rFonts w:hint="eastAsia" w:ascii="仿宋_GB2312" w:hAnsi="Times New Roman" w:eastAsia="仿宋_GB2312" w:cs="仿宋_GB2312"/>
          <w:kern w:val="2"/>
          <w:sz w:val="28"/>
          <w:szCs w:val="28"/>
          <w:lang w:val="en-US" w:eastAsia="zh-CN" w:bidi="ar"/>
        </w:rPr>
        <w:t>）</w:t>
      </w:r>
      <w:r>
        <w:rPr>
          <w:rFonts w:hint="eastAsia" w:ascii="仿宋_GB2312" w:eastAsia="仿宋_GB2312" w:cs="仿宋_GB2312"/>
          <w:kern w:val="2"/>
          <w:sz w:val="28"/>
          <w:szCs w:val="28"/>
          <w:lang w:val="en-US" w:eastAsia="zh-CN" w:bidi="ar"/>
        </w:rPr>
        <w:t>2024年度年初预算2024年度年初预算32.34万元，2024年度决算26.90万元，完成年初预算的83.18%。</w:t>
      </w:r>
      <w:r>
        <w:rPr>
          <w:rFonts w:hint="eastAsia" w:ascii="仿宋_GB2312" w:hAnsi="Times New Roman" w:eastAsia="仿宋_GB2312" w:cs="仿宋_GB2312"/>
          <w:kern w:val="2"/>
          <w:sz w:val="28"/>
          <w:szCs w:val="28"/>
          <w:lang w:val="en-US" w:eastAsia="zh-CN" w:bidi="ar"/>
        </w:rPr>
        <w:t>主要原因：人员调配经费减少。</w:t>
      </w:r>
    </w:p>
    <w:p w14:paraId="496D22F0">
      <w:pPr>
        <w:keepNext w:val="0"/>
        <w:keepLines w:val="0"/>
        <w:widowControl w:val="0"/>
        <w:numPr>
          <w:ilvl w:val="0"/>
          <w:numId w:val="1"/>
        </w:numPr>
        <w:suppressLineNumbers w:val="0"/>
        <w:spacing w:before="0" w:beforeAutospacing="0" w:after="0" w:afterAutospacing="0" w:line="580" w:lineRule="exact"/>
        <w:ind w:left="0" w:leftChars="0" w:right="0" w:firstLine="560" w:firstLineChars="200"/>
        <w:jc w:val="both"/>
        <w:outlineLvl w:val="1"/>
        <w:rPr>
          <w:rFonts w:hint="eastAsia" w:ascii="仿宋_GB2312" w:hAnsi="Times New Roman" w:eastAsia="仿宋_GB2312" w:cs="仿宋_GB2312"/>
          <w:kern w:val="2"/>
          <w:sz w:val="28"/>
          <w:szCs w:val="28"/>
          <w:lang w:val="en-US" w:eastAsia="zh-CN" w:bidi="ar"/>
        </w:rPr>
      </w:pPr>
      <w:r>
        <w:rPr>
          <w:rFonts w:hint="eastAsia" w:ascii="仿宋_GB2312" w:hAnsi="Times New Roman" w:eastAsia="仿宋_GB2312" w:cs="仿宋_GB2312"/>
          <w:kern w:val="2"/>
          <w:sz w:val="28"/>
          <w:szCs w:val="28"/>
          <w:lang w:val="en-US" w:eastAsia="zh-CN" w:bidi="ar"/>
        </w:rPr>
        <w:t>卫生健康支出（类）</w:t>
      </w:r>
      <w:r>
        <w:rPr>
          <w:rFonts w:hint="eastAsia" w:ascii="仿宋_GB2312" w:eastAsia="仿宋_GB2312" w:cs="仿宋_GB2312"/>
          <w:kern w:val="2"/>
          <w:sz w:val="28"/>
          <w:szCs w:val="28"/>
          <w:lang w:val="en-US" w:eastAsia="zh-CN" w:bidi="ar"/>
        </w:rPr>
        <w:t>2024年度年初预算16.06万元，2024年度决算13.53万元，完成年初预算的84.25%。其中：</w:t>
      </w:r>
      <w:r>
        <w:rPr>
          <w:rFonts w:hint="eastAsia" w:ascii="仿宋_GB2312" w:hAnsi="Times New Roman" w:eastAsia="仿宋_GB2312" w:cs="仿宋_GB2312"/>
          <w:kern w:val="2"/>
          <w:sz w:val="28"/>
          <w:szCs w:val="28"/>
          <w:lang w:val="en-US" w:eastAsia="zh-CN" w:bidi="ar"/>
        </w:rPr>
        <w:t>行政事业单位医疗（款）</w:t>
      </w:r>
      <w:r>
        <w:rPr>
          <w:rFonts w:hint="eastAsia" w:ascii="仿宋_GB2312" w:eastAsia="仿宋_GB2312" w:cs="仿宋_GB2312"/>
          <w:kern w:val="2"/>
          <w:sz w:val="28"/>
          <w:szCs w:val="28"/>
          <w:lang w:val="en-US" w:eastAsia="zh-CN" w:bidi="ar"/>
        </w:rPr>
        <w:t>2024年度决算13.53万元，完成年初预算的84.25%。</w:t>
      </w:r>
      <w:r>
        <w:rPr>
          <w:rFonts w:hint="eastAsia" w:ascii="仿宋_GB2312" w:hAnsi="Times New Roman" w:eastAsia="仿宋_GB2312" w:cs="仿宋_GB2312"/>
          <w:kern w:val="2"/>
          <w:sz w:val="28"/>
          <w:szCs w:val="28"/>
          <w:lang w:val="en-US" w:eastAsia="zh-CN" w:bidi="ar"/>
        </w:rPr>
        <w:t>主要原因：人员调配经费减少。</w:t>
      </w:r>
    </w:p>
    <w:p w14:paraId="0C2DC2FA">
      <w:pPr>
        <w:keepNext w:val="0"/>
        <w:keepLines w:val="0"/>
        <w:widowControl w:val="0"/>
        <w:suppressLineNumbers w:val="0"/>
        <w:spacing w:before="0" w:beforeAutospacing="0" w:after="0" w:afterAutospacing="0" w:line="580" w:lineRule="exact"/>
        <w:ind w:left="0" w:right="0" w:firstLine="560" w:firstLineChars="200"/>
        <w:jc w:val="both"/>
        <w:outlineLvl w:val="1"/>
        <w:rPr>
          <w:rFonts w:hint="default" w:ascii="仿宋_GB2312" w:hAnsi="Times New Roman" w:eastAsia="仿宋_GB2312" w:cs="仿宋_GB2312"/>
          <w:kern w:val="2"/>
          <w:sz w:val="28"/>
          <w:szCs w:val="28"/>
          <w:lang w:val="en-US" w:eastAsia="zh-CN" w:bidi="ar"/>
        </w:rPr>
      </w:pPr>
      <w:r>
        <w:rPr>
          <w:rFonts w:hint="eastAsia" w:ascii="仿宋_GB2312" w:eastAsia="仿宋_GB2312" w:cs="仿宋_GB2312"/>
          <w:kern w:val="2"/>
          <w:sz w:val="28"/>
          <w:szCs w:val="28"/>
          <w:lang w:val="en-US" w:eastAsia="zh-CN" w:bidi="ar"/>
        </w:rPr>
        <w:t>4</w:t>
      </w:r>
      <w:r>
        <w:rPr>
          <w:rFonts w:hint="eastAsia" w:ascii="仿宋_GB2312" w:hAnsi="Times New Roman" w:eastAsia="仿宋_GB2312" w:cs="仿宋_GB2312"/>
          <w:kern w:val="2"/>
          <w:sz w:val="28"/>
          <w:szCs w:val="28"/>
          <w:lang w:val="en-US" w:eastAsia="zh-CN" w:bidi="ar"/>
        </w:rPr>
        <w:t xml:space="preserve"> 、住房保障支出（类）</w:t>
      </w:r>
      <w:r>
        <w:rPr>
          <w:rFonts w:hint="eastAsia" w:ascii="仿宋_GB2312" w:eastAsia="仿宋_GB2312" w:cs="仿宋_GB2312"/>
          <w:kern w:val="2"/>
          <w:sz w:val="28"/>
          <w:szCs w:val="28"/>
          <w:lang w:val="en-US" w:eastAsia="zh-CN" w:bidi="ar"/>
        </w:rPr>
        <w:t>2024年度年初预算29.23万元，2024年度决算26.48万元，完成年初预算的90.59%。其中：</w:t>
      </w:r>
      <w:r>
        <w:rPr>
          <w:rFonts w:hint="eastAsia" w:ascii="仿宋_GB2312" w:hAnsi="Times New Roman" w:eastAsia="仿宋_GB2312" w:cs="仿宋_GB2312"/>
          <w:kern w:val="2"/>
          <w:sz w:val="28"/>
          <w:szCs w:val="28"/>
          <w:lang w:val="en-US" w:eastAsia="zh-CN" w:bidi="ar"/>
        </w:rPr>
        <w:t>住房改革支出（款）</w:t>
      </w:r>
      <w:r>
        <w:rPr>
          <w:rFonts w:hint="eastAsia" w:ascii="仿宋_GB2312" w:eastAsia="仿宋_GB2312" w:cs="仿宋_GB2312"/>
          <w:kern w:val="2"/>
          <w:sz w:val="28"/>
          <w:szCs w:val="28"/>
          <w:lang w:val="en-US" w:eastAsia="zh-CN" w:bidi="ar"/>
        </w:rPr>
        <w:t>2024年度年初预算29.23万元，2024年度决算26.48万元，完成年初预算的90.59%。</w:t>
      </w:r>
      <w:r>
        <w:rPr>
          <w:rFonts w:hint="eastAsia" w:ascii="仿宋_GB2312" w:hAnsi="Times New Roman" w:eastAsia="仿宋_GB2312" w:cs="仿宋_GB2312"/>
          <w:kern w:val="2"/>
          <w:sz w:val="28"/>
          <w:szCs w:val="28"/>
          <w:lang w:val="en-US" w:eastAsia="zh-CN" w:bidi="ar"/>
        </w:rPr>
        <w:t>主要原因：人员调配经费减少。</w:t>
      </w:r>
    </w:p>
    <w:p w14:paraId="6B8B91A3">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5920AE92">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14:paraId="3A068912">
      <w:pPr>
        <w:pStyle w:val="9"/>
        <w:keepNext w:val="0"/>
        <w:keepLines w:val="0"/>
        <w:widowControl w:val="0"/>
        <w:suppressLineNumbers w:val="0"/>
        <w:spacing w:before="0" w:beforeAutospacing="0" w:after="0" w:afterAutospacing="0"/>
        <w:ind w:left="0" w:right="0" w:firstLine="560" w:firstLineChars="200"/>
        <w:jc w:val="both"/>
        <w:rPr>
          <w:rFonts w:hint="eastAsia" w:ascii="仿宋_GB2312" w:eastAsia="仿宋_GB2312" w:cs="仿宋_GB2312"/>
          <w:sz w:val="28"/>
          <w:szCs w:val="28"/>
          <w:lang w:val="en-US"/>
        </w:rPr>
      </w:pPr>
      <w:r>
        <w:rPr>
          <w:rFonts w:hint="eastAsia" w:ascii="仿宋_GB2312" w:hAnsi="Times New Roman" w:eastAsia="仿宋_GB2312" w:cs="仿宋_GB2312"/>
          <w:b w:val="0"/>
          <w:bCs/>
          <w:kern w:val="2"/>
          <w:sz w:val="28"/>
          <w:szCs w:val="28"/>
          <w:lang w:val="en-US" w:eastAsia="zh-CN" w:bidi="ar"/>
        </w:rPr>
        <w:t>本年度未安排政府性基金预算财政拨款收支</w:t>
      </w:r>
      <w:r>
        <w:rPr>
          <w:rFonts w:hint="eastAsia" w:ascii="仿宋_GB2312" w:hAnsi="Times New Roman" w:eastAsia="仿宋_GB2312" w:cs="仿宋_GB2312"/>
          <w:kern w:val="2"/>
          <w:sz w:val="28"/>
          <w:szCs w:val="28"/>
          <w:lang w:val="en-US" w:eastAsia="zh-CN" w:bidi="ar"/>
        </w:rPr>
        <w:t>。</w:t>
      </w:r>
    </w:p>
    <w:p w14:paraId="0385D03C">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（二）政府性基金预算财政拨款支出决算具体情况</w:t>
      </w:r>
    </w:p>
    <w:p w14:paraId="15FE2CB7">
      <w:pPr>
        <w:pStyle w:val="9"/>
        <w:keepNext w:val="0"/>
        <w:keepLines w:val="0"/>
        <w:widowControl w:val="0"/>
        <w:suppressLineNumbers w:val="0"/>
        <w:spacing w:before="0" w:beforeAutospacing="0" w:after="0" w:afterAutospacing="0"/>
        <w:ind w:left="0" w:right="0" w:firstLine="560" w:firstLineChars="200"/>
        <w:jc w:val="both"/>
        <w:rPr>
          <w:rFonts w:hint="eastAsia" w:ascii="仿宋_GB2312" w:hAnsi="Times New Roman" w:eastAsia="仿宋_GB2312" w:cs="仿宋_GB2312"/>
          <w:b w:val="0"/>
          <w:bCs/>
          <w:kern w:val="2"/>
          <w:sz w:val="28"/>
          <w:szCs w:val="28"/>
          <w:lang w:val="en-US" w:eastAsia="zh-CN" w:bidi="ar"/>
        </w:rPr>
      </w:pPr>
      <w:r>
        <w:rPr>
          <w:rFonts w:hint="eastAsia" w:ascii="仿宋_GB2312" w:hAnsi="Times New Roman" w:eastAsia="仿宋_GB2312" w:cs="仿宋_GB2312"/>
          <w:b w:val="0"/>
          <w:bCs/>
          <w:kern w:val="2"/>
          <w:sz w:val="28"/>
          <w:szCs w:val="28"/>
          <w:lang w:val="en-US" w:eastAsia="zh-CN" w:bidi="ar"/>
        </w:rPr>
        <w:t>本年度未安排政府性基金预算财政拨款收支。</w:t>
      </w:r>
    </w:p>
    <w:p w14:paraId="76B3DB5E">
      <w:pPr>
        <w:pStyle w:val="9"/>
        <w:keepNext w:val="0"/>
        <w:keepLines w:val="0"/>
        <w:widowControl w:val="0"/>
        <w:suppressLineNumbers w:val="0"/>
        <w:spacing w:before="0" w:beforeAutospacing="0" w:after="0" w:afterAutospacing="0"/>
        <w:ind w:left="0" w:right="0" w:firstLine="560" w:firstLineChars="200"/>
        <w:jc w:val="both"/>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5B5F069A">
      <w:pPr>
        <w:keepNext w:val="0"/>
        <w:keepLines w:val="0"/>
        <w:widowControl w:val="0"/>
        <w:suppressLineNumbers w:val="0"/>
        <w:spacing w:before="0" w:beforeAutospacing="0" w:after="0" w:afterAutospacing="0" w:line="580" w:lineRule="exact"/>
        <w:ind w:left="0" w:right="0" w:firstLine="560" w:firstLineChars="200"/>
        <w:jc w:val="both"/>
      </w:pPr>
      <w:r>
        <w:rPr>
          <w:rFonts w:hint="eastAsia" w:ascii="仿宋_GB2312" w:hAnsi="仿宋" w:eastAsia="仿宋_GB2312" w:cs="仿宋"/>
          <w:color w:val="000000"/>
          <w:kern w:val="2"/>
          <w:sz w:val="28"/>
          <w:szCs w:val="28"/>
          <w:lang w:val="en-US" w:eastAsia="zh-CN" w:bidi="ar"/>
        </w:rPr>
        <w:t>本年度未安排国有资本经营预算财政拨款收支。</w:t>
      </w:r>
    </w:p>
    <w:p w14:paraId="479A3BC3">
      <w:pPr>
        <w:spacing w:line="580" w:lineRule="exact"/>
        <w:ind w:firstLine="560" w:firstLineChars="200"/>
        <w:rPr>
          <w:rFonts w:ascii="黑体" w:eastAsia="黑体"/>
          <w:sz w:val="28"/>
          <w:szCs w:val="28"/>
        </w:rPr>
      </w:pPr>
      <w:r>
        <w:rPr>
          <w:rFonts w:hint="eastAsia" w:ascii="黑体" w:eastAsia="黑体"/>
          <w:b/>
          <w:sz w:val="28"/>
          <w:szCs w:val="28"/>
        </w:rPr>
        <w:t>七、财政拨款基本支出决算情况说明</w:t>
      </w:r>
    </w:p>
    <w:p w14:paraId="6DAA5CE4">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年度使用一般公共预算财政拨款安排基本支出出</w:t>
      </w:r>
      <w:r>
        <w:rPr>
          <w:rFonts w:ascii="仿宋_GB2312" w:eastAsia="仿宋_GB2312"/>
          <w:sz w:val="28"/>
          <w:szCs w:val="28"/>
        </w:rPr>
        <w:t>210.54</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3725F0D7">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lang w:eastAsia="zh-CN"/>
        </w:rPr>
        <w:t>2024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06A60596">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336C1496">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0.63</w:t>
      </w:r>
      <w:r>
        <w:rPr>
          <w:rFonts w:hint="eastAsia" w:ascii="仿宋_GB2312" w:eastAsia="仿宋_GB2312"/>
          <w:sz w:val="28"/>
          <w:szCs w:val="28"/>
        </w:rPr>
        <w:t>万元减少</w:t>
      </w:r>
      <w:r>
        <w:rPr>
          <w:rFonts w:ascii="仿宋_GB2312" w:eastAsia="仿宋_GB2312"/>
          <w:sz w:val="28"/>
          <w:szCs w:val="28"/>
        </w:rPr>
        <w:t>0.63</w:t>
      </w:r>
      <w:r>
        <w:rPr>
          <w:rFonts w:hint="eastAsia" w:ascii="仿宋_GB2312" w:eastAsia="仿宋_GB2312"/>
          <w:sz w:val="28"/>
          <w:szCs w:val="28"/>
        </w:rPr>
        <w:t>万元。其中：</w:t>
      </w:r>
    </w:p>
    <w:p w14:paraId="4ADFABFE">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w:t>
      </w:r>
      <w:r>
        <w:rPr>
          <w:rFonts w:hint="eastAsia" w:ascii="仿宋_GB2312" w:hAnsi="Times New Roman" w:eastAsia="仿宋_GB2312" w:cs="Times New Roman"/>
          <w:kern w:val="2"/>
          <w:sz w:val="28"/>
          <w:szCs w:val="28"/>
          <w:lang w:val="en-US" w:eastAsia="zh-CN" w:bidi="ar"/>
        </w:rPr>
        <w:t>与202</w:t>
      </w:r>
      <w:r>
        <w:rPr>
          <w:rFonts w:hint="eastAsia" w:ascii="仿宋_GB2312" w:eastAsia="仿宋_GB2312" w:cs="Times New Roman"/>
          <w:kern w:val="2"/>
          <w:sz w:val="28"/>
          <w:szCs w:val="28"/>
          <w:lang w:val="en-US" w:eastAsia="zh-CN" w:bidi="ar"/>
        </w:rPr>
        <w:t>4</w:t>
      </w:r>
      <w:r>
        <w:rPr>
          <w:rFonts w:hint="eastAsia" w:ascii="仿宋_GB2312" w:hAnsi="Times New Roman" w:eastAsia="仿宋_GB2312" w:cs="Times New Roman"/>
          <w:kern w:val="2"/>
          <w:sz w:val="28"/>
          <w:szCs w:val="28"/>
          <w:lang w:val="en-US" w:eastAsia="zh-CN" w:bidi="ar"/>
        </w:rPr>
        <w:t>年度年初预算数0万元相符</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人次，人均因公出国（境）费用</w:t>
      </w:r>
      <w:r>
        <w:rPr>
          <w:rFonts w:ascii="仿宋_GB2312" w:eastAsia="仿宋_GB2312"/>
          <w:sz w:val="28"/>
          <w:szCs w:val="28"/>
        </w:rPr>
        <w:t>0</w:t>
      </w:r>
      <w:r>
        <w:rPr>
          <w:rFonts w:hint="eastAsia" w:ascii="仿宋_GB2312" w:eastAsia="仿宋_GB2312"/>
          <w:sz w:val="28"/>
          <w:szCs w:val="28"/>
        </w:rPr>
        <w:t>万元。</w:t>
      </w:r>
    </w:p>
    <w:p w14:paraId="0372D80B">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0.63</w:t>
      </w:r>
      <w:r>
        <w:rPr>
          <w:rFonts w:hint="eastAsia" w:ascii="仿宋_GB2312" w:eastAsia="仿宋_GB2312"/>
          <w:sz w:val="28"/>
          <w:szCs w:val="28"/>
        </w:rPr>
        <w:t>万元减少</w:t>
      </w:r>
      <w:r>
        <w:rPr>
          <w:rFonts w:ascii="仿宋_GB2312" w:eastAsia="仿宋_GB2312"/>
          <w:sz w:val="28"/>
          <w:szCs w:val="28"/>
        </w:rPr>
        <w:t>0.63</w:t>
      </w:r>
      <w:r>
        <w:rPr>
          <w:rFonts w:hint="eastAsia" w:ascii="仿宋_GB2312" w:eastAsia="仿宋_GB2312"/>
          <w:sz w:val="28"/>
          <w:szCs w:val="28"/>
        </w:rPr>
        <w:t>万元。主要原因：</w:t>
      </w:r>
      <w:r>
        <w:rPr>
          <w:rFonts w:hint="eastAsia" w:ascii="仿宋_GB2312" w:eastAsia="仿宋_GB2312"/>
          <w:sz w:val="28"/>
          <w:szCs w:val="28"/>
          <w:lang w:eastAsia="zh-CN"/>
        </w:rPr>
        <w:t>无支出</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14:paraId="73806CD5">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相符</w:t>
      </w:r>
      <w:r>
        <w:rPr>
          <w:rFonts w:hint="eastAsia" w:ascii="仿宋_GB2312" w:eastAsia="仿宋_GB2312"/>
          <w:sz w:val="28"/>
          <w:szCs w:val="28"/>
        </w:rPr>
        <w:t>。</w:t>
      </w:r>
    </w:p>
    <w:p w14:paraId="4B77EAFF">
      <w:pPr>
        <w:spacing w:line="560" w:lineRule="exact"/>
        <w:ind w:firstLine="560" w:firstLineChars="200"/>
        <w:rPr>
          <w:rFonts w:ascii="仿宋_GB2312" w:eastAsia="仿宋_GB2312"/>
          <w:sz w:val="28"/>
          <w:szCs w:val="28"/>
        </w:rPr>
      </w:pPr>
      <w:r>
        <w:rPr>
          <w:rFonts w:hint="eastAsia" w:ascii="仿宋_GB2312" w:eastAsia="仿宋_GB2312"/>
          <w:sz w:val="28"/>
          <w:szCs w:val="28"/>
        </w:rPr>
        <w:t>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相符</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辆，车均购置费</w:t>
      </w:r>
      <w:r>
        <w:rPr>
          <w:rFonts w:ascii="仿宋_GB2312" w:eastAsia="仿宋_GB2312"/>
          <w:sz w:val="28"/>
          <w:szCs w:val="28"/>
        </w:rPr>
        <w:t>0</w:t>
      </w:r>
      <w:r>
        <w:rPr>
          <w:rFonts w:hint="eastAsia" w:ascii="仿宋_GB2312" w:eastAsia="仿宋_GB2312"/>
          <w:sz w:val="28"/>
          <w:szCs w:val="28"/>
        </w:rPr>
        <w:t>万元。公务用车运行维护费202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相符</w:t>
      </w:r>
      <w:r>
        <w:rPr>
          <w:rFonts w:hint="eastAsia" w:ascii="仿宋_GB2312" w:eastAsia="仿宋_GB2312"/>
          <w:sz w:val="28"/>
          <w:szCs w:val="28"/>
        </w:rPr>
        <w:t>。</w:t>
      </w:r>
      <w:r>
        <w:rPr>
          <w:rFonts w:hint="eastAsia" w:ascii="仿宋_GB2312" w:eastAsia="仿宋_GB2312"/>
          <w:sz w:val="28"/>
          <w:szCs w:val="28"/>
          <w:lang w:eastAsia="zh-CN"/>
        </w:rPr>
        <w:t>2024</w:t>
      </w:r>
      <w:r>
        <w:rPr>
          <w:rFonts w:hint="eastAsia" w:ascii="仿宋_GB2312" w:eastAsia="仿宋_GB2312"/>
          <w:sz w:val="28"/>
          <w:szCs w:val="28"/>
        </w:rPr>
        <w:t>年度公务用车运行维护费中，公务用车加油</w:t>
      </w:r>
      <w:r>
        <w:rPr>
          <w:rFonts w:ascii="仿宋_GB2312" w:eastAsia="仿宋_GB2312"/>
          <w:sz w:val="28"/>
          <w:szCs w:val="28"/>
        </w:rPr>
        <w:t>0</w:t>
      </w:r>
      <w:r>
        <w:rPr>
          <w:rFonts w:hint="eastAsia" w:ascii="仿宋_GB2312" w:eastAsia="仿宋_GB2312"/>
          <w:sz w:val="28"/>
          <w:szCs w:val="28"/>
        </w:rPr>
        <w:t>万元，公务用车维修</w:t>
      </w:r>
      <w:r>
        <w:rPr>
          <w:rFonts w:ascii="仿宋_GB2312" w:eastAsia="仿宋_GB2312"/>
          <w:sz w:val="28"/>
          <w:szCs w:val="28"/>
        </w:rPr>
        <w:t>0</w:t>
      </w:r>
      <w:r>
        <w:rPr>
          <w:rFonts w:hint="eastAsia" w:ascii="仿宋_GB2312" w:eastAsia="仿宋_GB2312"/>
          <w:sz w:val="28"/>
          <w:szCs w:val="28"/>
        </w:rPr>
        <w:t>万元，公务用车保险</w:t>
      </w:r>
      <w:r>
        <w:rPr>
          <w:rFonts w:ascii="仿宋_GB2312" w:eastAsia="仿宋_GB2312"/>
          <w:sz w:val="28"/>
          <w:szCs w:val="28"/>
        </w:rPr>
        <w:t>0</w:t>
      </w:r>
      <w:r>
        <w:rPr>
          <w:rFonts w:hint="eastAsia" w:ascii="仿宋_GB2312" w:eastAsia="仿宋_GB2312"/>
          <w:sz w:val="28"/>
          <w:szCs w:val="28"/>
        </w:rPr>
        <w:t>万元，公务用车其他支出</w:t>
      </w:r>
      <w:r>
        <w:rPr>
          <w:rFonts w:ascii="仿宋_GB2312" w:eastAsia="仿宋_GB2312"/>
          <w:sz w:val="28"/>
          <w:szCs w:val="28"/>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0</w:t>
      </w:r>
      <w:r>
        <w:rPr>
          <w:rFonts w:hint="eastAsia" w:ascii="仿宋_GB2312" w:eastAsia="仿宋_GB2312"/>
          <w:sz w:val="28"/>
          <w:szCs w:val="28"/>
        </w:rPr>
        <w:t>辆，车均运行维护费</w:t>
      </w:r>
      <w:r>
        <w:rPr>
          <w:rFonts w:ascii="仿宋_GB2312" w:eastAsia="仿宋_GB2312"/>
          <w:sz w:val="28"/>
          <w:szCs w:val="28"/>
        </w:rPr>
        <w:t>0</w:t>
      </w:r>
      <w:r>
        <w:rPr>
          <w:rFonts w:hint="eastAsia" w:ascii="仿宋_GB2312" w:eastAsia="仿宋_GB2312"/>
          <w:sz w:val="28"/>
          <w:szCs w:val="28"/>
        </w:rPr>
        <w:t>万元。</w:t>
      </w:r>
    </w:p>
    <w:p w14:paraId="7CE93D55">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1397692A">
      <w:pPr>
        <w:keepNext w:val="0"/>
        <w:keepLines w:val="0"/>
        <w:widowControl w:val="0"/>
        <w:suppressLineNumbers w:val="0"/>
        <w:spacing w:before="0" w:beforeAutospacing="0" w:after="0" w:afterAutospacing="0"/>
        <w:ind w:left="0" w:right="0" w:firstLine="537" w:firstLineChars="192"/>
        <w:jc w:val="both"/>
        <w:rPr>
          <w:rFonts w:eastAsia="仿宋_GB2312"/>
          <w:lang w:val="en-US"/>
        </w:rPr>
      </w:pPr>
      <w:r>
        <w:rPr>
          <w:rFonts w:hint="eastAsia" w:ascii="仿宋_GB2312" w:hAnsi="Times New Roman" w:eastAsia="仿宋_GB2312" w:cs="仿宋_GB2312"/>
          <w:kern w:val="2"/>
          <w:sz w:val="28"/>
          <w:szCs w:val="28"/>
          <w:lang w:val="en-US" w:eastAsia="zh-CN" w:bidi="ar"/>
        </w:rPr>
        <w:t>本单位为全额拨款事业单位，不属于机关运行经费支出统计范围。</w:t>
      </w:r>
    </w:p>
    <w:p w14:paraId="6A06A9E5">
      <w:pPr>
        <w:ind w:left="540"/>
        <w:rPr>
          <w:rFonts w:ascii="黑体" w:eastAsia="黑体"/>
          <w:sz w:val="28"/>
          <w:szCs w:val="28"/>
        </w:rPr>
      </w:pPr>
      <w:r>
        <w:rPr>
          <w:rFonts w:hint="eastAsia" w:ascii="黑体" w:eastAsia="黑体"/>
          <w:sz w:val="28"/>
          <w:szCs w:val="28"/>
        </w:rPr>
        <w:t>三、政府采购支出情况</w:t>
      </w:r>
    </w:p>
    <w:p w14:paraId="3C9D75E7">
      <w:pPr>
        <w:ind w:firstLine="560" w:firstLineChars="200"/>
        <w:jc w:val="both"/>
        <w:rPr>
          <w:rFonts w:hint="eastAsia" w:ascii="仿宋_GB2312" w:eastAsia="仿宋_GB2312"/>
          <w:sz w:val="28"/>
          <w:szCs w:val="28"/>
          <w:highlight w:val="yellow"/>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38.78</w:t>
      </w:r>
      <w:r>
        <w:rPr>
          <w:rFonts w:hint="eastAsia" w:ascii="仿宋_GB2312" w:eastAsia="仿宋_GB2312"/>
          <w:sz w:val="28"/>
          <w:szCs w:val="28"/>
        </w:rPr>
        <w:t>万元，其中：政府采购货物支出</w:t>
      </w:r>
      <w:r>
        <w:rPr>
          <w:rFonts w:ascii="仿宋_GB2312" w:eastAsia="仿宋_GB2312"/>
          <w:sz w:val="28"/>
          <w:szCs w:val="28"/>
        </w:rPr>
        <w:t>0.1</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38.68</w:t>
      </w:r>
      <w:r>
        <w:rPr>
          <w:rFonts w:hint="eastAsia" w:ascii="仿宋_GB2312" w:eastAsia="仿宋_GB2312"/>
          <w:sz w:val="28"/>
          <w:szCs w:val="28"/>
        </w:rPr>
        <w:t>万元。授予中小企业合同金额</w:t>
      </w:r>
      <w:r>
        <w:rPr>
          <w:rFonts w:ascii="仿宋_GB2312" w:eastAsia="仿宋_GB2312"/>
          <w:sz w:val="28"/>
          <w:szCs w:val="28"/>
        </w:rPr>
        <w:t>38.78</w:t>
      </w:r>
      <w:r>
        <w:rPr>
          <w:rFonts w:hint="eastAsia" w:ascii="仿宋_GB2312" w:eastAsia="仿宋_GB2312"/>
          <w:sz w:val="28"/>
          <w:szCs w:val="28"/>
        </w:rPr>
        <w:t>万元，占政府采购支出总额的</w:t>
      </w:r>
      <w:r>
        <w:rPr>
          <w:rFonts w:hint="eastAsia" w:ascii="仿宋_GB2312" w:eastAsia="仿宋_GB2312"/>
          <w:sz w:val="28"/>
          <w:szCs w:val="28"/>
          <w:lang w:eastAsia="zh-CN"/>
        </w:rPr>
        <w:t>100</w:t>
      </w:r>
      <w:r>
        <w:rPr>
          <w:rFonts w:hint="eastAsia" w:ascii="仿宋_GB2312" w:eastAsia="仿宋_GB2312"/>
          <w:sz w:val="28"/>
          <w:szCs w:val="28"/>
        </w:rPr>
        <w:t>%，</w:t>
      </w:r>
      <w:r>
        <w:rPr>
          <w:rFonts w:hint="eastAsia" w:ascii="仿宋_GB2312" w:eastAsia="仿宋_GB2312"/>
          <w:sz w:val="28"/>
          <w:szCs w:val="28"/>
          <w:lang w:eastAsia="zh-CN"/>
        </w:rPr>
        <w:t>其中：授予小微企业合同金额</w:t>
      </w:r>
      <w:r>
        <w:rPr>
          <w:rFonts w:hint="eastAsia" w:ascii="仿宋_GB2312" w:eastAsia="仿宋_GB2312"/>
          <w:sz w:val="28"/>
          <w:szCs w:val="28"/>
        </w:rPr>
        <w:t>38.78万元，占政府采购支出总额的</w:t>
      </w:r>
      <w:r>
        <w:rPr>
          <w:rFonts w:ascii="仿宋_GB2312" w:eastAsia="仿宋_GB2312"/>
          <w:sz w:val="28"/>
          <w:szCs w:val="28"/>
        </w:rPr>
        <w:t>100</w:t>
      </w:r>
      <w:r>
        <w:rPr>
          <w:rFonts w:hint="eastAsia" w:ascii="仿宋_GB2312" w:eastAsia="仿宋_GB2312"/>
          <w:sz w:val="28"/>
          <w:szCs w:val="28"/>
        </w:rPr>
        <w:t>%。</w:t>
      </w:r>
    </w:p>
    <w:p w14:paraId="53BB1DAB">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23B30364">
      <w:pPr>
        <w:ind w:firstLine="560" w:firstLineChars="200"/>
        <w:rPr>
          <w:rFonts w:ascii="仿宋_GB2312" w:eastAsia="仿宋_GB2312"/>
          <w:sz w:val="32"/>
          <w:szCs w:val="32"/>
        </w:rPr>
      </w:pPr>
      <w:r>
        <w:rPr>
          <w:rFonts w:hint="eastAsia" w:ascii="仿宋_GB2312" w:eastAsia="仿宋_GB2312"/>
          <w:sz w:val="28"/>
          <w:szCs w:val="28"/>
          <w:lang w:eastAsia="zh-CN"/>
        </w:rPr>
        <w:t>截止</w:t>
      </w:r>
      <w:r>
        <w:rPr>
          <w:rFonts w:hint="eastAsia" w:ascii="仿宋_GB2312" w:eastAsia="仿宋_GB2312"/>
          <w:sz w:val="28"/>
          <w:szCs w:val="28"/>
          <w:lang w:val="en-US" w:eastAsia="zh-CN"/>
        </w:rPr>
        <w:t>12月31日，北京市西城区社会文化管理所共有车辆0台 ；</w:t>
      </w:r>
      <w:r>
        <w:rPr>
          <w:rFonts w:hint="eastAsia" w:ascii="仿宋_GB2312" w:eastAsia="仿宋_GB2312"/>
          <w:sz w:val="28"/>
          <w:szCs w:val="28"/>
        </w:rPr>
        <w:t>单位价值100万元（含）以上的设备</w:t>
      </w:r>
      <w:r>
        <w:rPr>
          <w:rFonts w:hint="eastAsia" w:ascii="仿宋_GB2312" w:eastAsia="仿宋_GB2312"/>
          <w:sz w:val="28"/>
          <w:szCs w:val="28"/>
          <w:lang w:val="en-US" w:eastAsia="zh-CN"/>
        </w:rPr>
        <w:t>0</w:t>
      </w:r>
      <w:r>
        <w:rPr>
          <w:rFonts w:hint="eastAsia" w:ascii="仿宋_GB2312" w:eastAsia="仿宋_GB2312"/>
          <w:sz w:val="28"/>
          <w:szCs w:val="28"/>
        </w:rPr>
        <w:t>台（套）</w:t>
      </w:r>
      <w:r>
        <w:rPr>
          <w:rFonts w:hint="eastAsia" w:ascii="仿宋_GB2312" w:eastAsia="仿宋_GB2312"/>
          <w:sz w:val="28"/>
          <w:szCs w:val="28"/>
          <w:lang w:eastAsia="zh-CN"/>
        </w:rPr>
        <w:t>。</w:t>
      </w:r>
    </w:p>
    <w:p w14:paraId="6E896E79">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18C8EB82">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76AD4668">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0E906DAC">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59D20F22">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68413628">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5345CE34">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78FF3277">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2124A6A6">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15A31AD9">
      <w:pPr>
        <w:ind w:firstLine="430" w:firstLineChars="0"/>
        <w:rPr>
          <w:rFonts w:hint="eastAsia" w:ascii="仿宋_GB2312" w:eastAsia="仿宋_GB2312"/>
          <w:b w:val="0"/>
          <w:bCs w:val="0"/>
          <w:sz w:val="28"/>
          <w:szCs w:val="28"/>
        </w:rPr>
      </w:pPr>
      <w:r>
        <w:rPr>
          <w:rFonts w:hint="eastAsia" w:ascii="仿宋_GB2312" w:eastAsia="仿宋_GB2312"/>
          <w:b w:val="0"/>
          <w:bCs w:val="0"/>
          <w:sz w:val="28"/>
          <w:szCs w:val="28"/>
        </w:rPr>
        <w:t>7.各单位需根据自身业务职能，补充当年使用的所有支出功能分类项级科目名词解释，例如：</w:t>
      </w:r>
    </w:p>
    <w:p w14:paraId="3C8D7F6B">
      <w:pPr>
        <w:ind w:firstLine="430" w:firstLineChars="0"/>
        <w:rPr>
          <w:rFonts w:hint="eastAsia" w:ascii="仿宋_GB2312" w:eastAsia="仿宋_GB2312"/>
          <w:b w:val="0"/>
          <w:bCs w:val="0"/>
          <w:sz w:val="28"/>
          <w:szCs w:val="28"/>
        </w:rPr>
      </w:pPr>
      <w:r>
        <w:rPr>
          <w:rFonts w:hint="eastAsia" w:ascii="仿宋_GB2312" w:eastAsia="仿宋_GB2312"/>
          <w:b w:val="0"/>
          <w:bCs w:val="0"/>
          <w:sz w:val="28"/>
          <w:szCs w:val="28"/>
        </w:rPr>
        <w:t>一般公共服务支出（类）人大事务（款）行政运行（项）：反映行政单位（包括实行公务员管理的事业单位）的基本支出。</w:t>
      </w:r>
    </w:p>
    <w:p w14:paraId="3AF22771">
      <w:pPr>
        <w:ind w:firstLine="430" w:firstLineChars="0"/>
        <w:rPr>
          <w:rFonts w:ascii="仿宋_GB2312" w:eastAsia="仿宋_GB2312"/>
          <w:sz w:val="28"/>
          <w:szCs w:val="28"/>
        </w:rPr>
      </w:pPr>
    </w:p>
    <w:p w14:paraId="7200EAF5">
      <w:pPr>
        <w:ind w:firstLine="632" w:firstLineChars="200"/>
        <w:rPr>
          <w:rFonts w:ascii="仿宋_GB2312" w:eastAsia="仿宋_GB2312"/>
          <w:b/>
          <w:color w:val="000000"/>
          <w:spacing w:val="-2"/>
          <w:sz w:val="32"/>
          <w:szCs w:val="32"/>
        </w:rPr>
      </w:pPr>
    </w:p>
    <w:p w14:paraId="2A314E3B">
      <w:pPr>
        <w:ind w:firstLine="640" w:firstLineChars="200"/>
        <w:jc w:val="center"/>
        <w:rPr>
          <w:rFonts w:ascii="黑体" w:eastAsia="黑体"/>
          <w:b/>
          <w:bCs/>
          <w:sz w:val="32"/>
          <w:szCs w:val="32"/>
        </w:rPr>
      </w:pPr>
    </w:p>
    <w:p w14:paraId="30BEDF8C">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14:paraId="37AB11E6">
      <w:pPr>
        <w:ind w:firstLine="560" w:firstLineChars="200"/>
        <w:rPr>
          <w:rFonts w:hint="eastAsia" w:ascii="黑体" w:eastAsia="黑体"/>
          <w:sz w:val="28"/>
          <w:szCs w:val="28"/>
          <w:highlight w:val="yellow"/>
        </w:rPr>
      </w:pPr>
    </w:p>
    <w:p w14:paraId="663B20B1">
      <w:pPr>
        <w:numPr>
          <w:ilvl w:val="0"/>
          <w:numId w:val="2"/>
        </w:numPr>
        <w:ind w:firstLine="560" w:firstLineChars="200"/>
        <w:rPr>
          <w:rFonts w:hint="eastAsia" w:ascii="黑体" w:eastAsia="黑体"/>
          <w:sz w:val="28"/>
          <w:szCs w:val="28"/>
          <w:lang w:eastAsia="zh-CN"/>
        </w:rPr>
      </w:pPr>
      <w:r>
        <w:rPr>
          <w:rFonts w:hint="eastAsia" w:ascii="黑体" w:eastAsia="黑体"/>
          <w:sz w:val="28"/>
          <w:szCs w:val="28"/>
          <w:highlight w:val="none"/>
        </w:rPr>
        <w:t>部门整体绩效评价报告</w:t>
      </w:r>
      <w:r>
        <w:rPr>
          <w:rFonts w:hint="eastAsia" w:ascii="黑体" w:eastAsia="黑体"/>
          <w:sz w:val="28"/>
          <w:szCs w:val="28"/>
          <w:lang w:eastAsia="zh-CN"/>
        </w:rPr>
        <w:t>（参考模板详见附件）</w:t>
      </w:r>
    </w:p>
    <w:p w14:paraId="73055A08">
      <w:pPr>
        <w:numPr>
          <w:ilvl w:val="0"/>
          <w:numId w:val="2"/>
        </w:numPr>
        <w:ind w:firstLine="560" w:firstLineChars="200"/>
        <w:rPr>
          <w:rFonts w:hint="eastAsia" w:ascii="黑体" w:eastAsia="黑体"/>
          <w:sz w:val="28"/>
          <w:szCs w:val="28"/>
          <w:lang w:eastAsia="zh-CN"/>
        </w:rPr>
      </w:pPr>
      <w:r>
        <w:rPr>
          <w:rFonts w:hint="eastAsia" w:ascii="黑体" w:eastAsia="黑体"/>
          <w:sz w:val="28"/>
          <w:szCs w:val="28"/>
        </w:rPr>
        <w:t>项目支出绩效评价报告</w:t>
      </w:r>
      <w:r>
        <w:rPr>
          <w:rFonts w:hint="eastAsia" w:ascii="黑体" w:eastAsia="黑体"/>
          <w:sz w:val="28"/>
          <w:szCs w:val="28"/>
          <w:lang w:eastAsia="zh-CN"/>
        </w:rPr>
        <w:t>（参考模板详见附件）</w:t>
      </w:r>
    </w:p>
    <w:p w14:paraId="73C6D9FB">
      <w:pPr>
        <w:numPr>
          <w:ilvl w:val="0"/>
          <w:numId w:val="2"/>
        </w:num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（格式详见附件）</w:t>
      </w:r>
    </w:p>
    <w:p w14:paraId="3C63A308">
      <w:pPr>
        <w:numPr>
          <w:ilvl w:val="0"/>
          <w:numId w:val="2"/>
        </w:numPr>
        <w:ind w:firstLine="560" w:firstLineChars="200"/>
        <w:rPr>
          <w:rFonts w:hint="eastAsia" w:ascii="黑体" w:eastAsia="黑体"/>
          <w:sz w:val="28"/>
          <w:szCs w:val="28"/>
          <w:lang w:eastAsia="zh-CN"/>
        </w:rPr>
      </w:pPr>
      <w:r>
        <w:rPr>
          <w:rFonts w:hint="eastAsia" w:ascii="黑体" w:hAnsi="Times New Roman" w:eastAsia="黑体" w:cs="Times New Roman"/>
          <w:sz w:val="28"/>
          <w:szCs w:val="28"/>
          <w:lang w:val="en-US" w:eastAsia="zh-CN"/>
        </w:rPr>
        <w:t>中央对北京XX转移支付预算执行情况绩效自评报告</w:t>
      </w:r>
      <w:r>
        <w:rPr>
          <w:rFonts w:hint="eastAsia" w:ascii="黑体" w:eastAsia="黑体"/>
          <w:sz w:val="28"/>
          <w:szCs w:val="28"/>
          <w:lang w:eastAsia="zh-CN"/>
        </w:rPr>
        <w:t>（参考提纲详见附件）</w:t>
      </w:r>
    </w:p>
    <w:p w14:paraId="0A0C3E76">
      <w:pPr>
        <w:spacing w:line="480" w:lineRule="exact"/>
        <w:ind w:firstLine="420" w:firstLineChars="0"/>
        <w:rPr>
          <w:rFonts w:hint="eastAsia" w:ascii="黑体" w:eastAsia="黑体"/>
          <w:sz w:val="28"/>
          <w:szCs w:val="28"/>
        </w:rPr>
      </w:pPr>
      <w:r>
        <w:rPr>
          <w:rFonts w:hint="eastAsia" w:ascii="黑体" w:eastAsia="黑体"/>
          <w:sz w:val="28"/>
          <w:szCs w:val="28"/>
        </w:rPr>
        <w:t xml:space="preserve"> （注：</w:t>
      </w:r>
      <w:r>
        <w:rPr>
          <w:rFonts w:hint="eastAsia" w:ascii="黑体" w:eastAsia="黑体"/>
          <w:color w:val="auto"/>
          <w:sz w:val="28"/>
          <w:szCs w:val="28"/>
        </w:rPr>
        <w:t>有中央转移支付的一级预算部门，公开“一、二、三、四”；没有中央转移支付的一级预算部门，公开“一、二、三”；</w:t>
      </w:r>
      <w:r>
        <w:rPr>
          <w:rFonts w:hint="eastAsia" w:ascii="黑体" w:eastAsia="黑体"/>
          <w:sz w:val="28"/>
          <w:szCs w:val="28"/>
        </w:rPr>
        <w:t>二级预算单位仅公开“三”</w:t>
      </w:r>
      <w:r>
        <w:rPr>
          <w:rFonts w:hint="eastAsia" w:ascii="黑体" w:eastAsia="黑体"/>
          <w:sz w:val="28"/>
          <w:szCs w:val="28"/>
          <w:lang w:eastAsia="zh-CN"/>
        </w:rPr>
        <w:t>。</w:t>
      </w:r>
      <w:r>
        <w:rPr>
          <w:rFonts w:hint="eastAsia" w:ascii="黑体" w:eastAsia="黑体"/>
          <w:sz w:val="28"/>
          <w:szCs w:val="28"/>
        </w:rPr>
        <w:t>）</w:t>
      </w:r>
    </w:p>
    <w:p w14:paraId="3952F536">
      <w:pPr>
        <w:spacing w:line="480" w:lineRule="exact"/>
        <w:rPr>
          <w:rFonts w:hint="eastAsia" w:ascii="仿宋_GB2312" w:hAnsi="仿宋_GB2312" w:eastAsia="仿宋_GB2312" w:cs="仿宋_GB2312"/>
          <w:sz w:val="32"/>
          <w:szCs w:val="32"/>
        </w:rPr>
      </w:pPr>
    </w:p>
    <w:p w14:paraId="317440D3">
      <w:pPr>
        <w:pStyle w:val="2"/>
        <w:numPr>
          <w:ilvl w:val="0"/>
          <w:numId w:val="0"/>
        </w:numPr>
        <w:rPr>
          <w:rFonts w:hint="eastAsia"/>
        </w:rPr>
      </w:pPr>
      <w:bookmarkStart w:id="2" w:name="_GoBack"/>
      <w:bookmarkEnd w:id="2"/>
    </w:p>
    <w:p w14:paraId="5FB216EB"/>
    <w:p w14:paraId="73C08885">
      <w:pPr>
        <w:pStyle w:val="2"/>
      </w:pPr>
    </w:p>
    <w:p w14:paraId="36D8F71E"/>
    <w:p w14:paraId="08EED59B">
      <w:pPr>
        <w:pStyle w:val="2"/>
      </w:pPr>
    </w:p>
    <w:p w14:paraId="2A4E5F00"/>
    <w:p w14:paraId="4F5FD933">
      <w:pPr>
        <w:pStyle w:val="2"/>
      </w:pPr>
    </w:p>
    <w:p w14:paraId="7F9B7018"/>
    <w:p w14:paraId="2A69C666">
      <w:pPr>
        <w:pStyle w:val="2"/>
      </w:pPr>
    </w:p>
    <w:p w14:paraId="011FC294">
      <w:pPr>
        <w:pStyle w:val="2"/>
      </w:pPr>
    </w:p>
    <w:p w14:paraId="67669085"/>
    <w:p w14:paraId="298CCF05">
      <w:pPr>
        <w:pStyle w:val="2"/>
      </w:pPr>
    </w:p>
    <w:p w14:paraId="409BEEBC"/>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746A1">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52F8190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3CE2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62E4B242">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E2034">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613C138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abstractNum w:abstractNumId="1">
    <w:nsid w:val="9EDFFE67"/>
    <w:multiLevelType w:val="singleLevel"/>
    <w:tmpl w:val="9EDFFE67"/>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MTNkNzRkOGQ3ZDg5YTBkMDAwNTJiNjc4NWVlMjc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42A"/>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D54263"/>
    <w:rsid w:val="02F120AB"/>
    <w:rsid w:val="04C3537C"/>
    <w:rsid w:val="07603356"/>
    <w:rsid w:val="079004AC"/>
    <w:rsid w:val="09FC5E85"/>
    <w:rsid w:val="0ADF4592"/>
    <w:rsid w:val="0BA148CA"/>
    <w:rsid w:val="0BEE597D"/>
    <w:rsid w:val="0C1165C4"/>
    <w:rsid w:val="0DD136FE"/>
    <w:rsid w:val="0F8E2C57"/>
    <w:rsid w:val="1059665E"/>
    <w:rsid w:val="10AC13BA"/>
    <w:rsid w:val="145A6C1B"/>
    <w:rsid w:val="167A2FF9"/>
    <w:rsid w:val="19C42212"/>
    <w:rsid w:val="1AEC0734"/>
    <w:rsid w:val="1DEF20B0"/>
    <w:rsid w:val="1E3429EF"/>
    <w:rsid w:val="214243FA"/>
    <w:rsid w:val="21AD613C"/>
    <w:rsid w:val="22B25263"/>
    <w:rsid w:val="24124E31"/>
    <w:rsid w:val="257A14F5"/>
    <w:rsid w:val="25A731EF"/>
    <w:rsid w:val="27196C26"/>
    <w:rsid w:val="29EF086F"/>
    <w:rsid w:val="2B520F8C"/>
    <w:rsid w:val="2EFFE297"/>
    <w:rsid w:val="301437CA"/>
    <w:rsid w:val="349D1F0A"/>
    <w:rsid w:val="34DD0473"/>
    <w:rsid w:val="37DE77FC"/>
    <w:rsid w:val="3C684897"/>
    <w:rsid w:val="3D2E2FD3"/>
    <w:rsid w:val="433E495C"/>
    <w:rsid w:val="489F2FD7"/>
    <w:rsid w:val="4AC27CB3"/>
    <w:rsid w:val="4BF72BEF"/>
    <w:rsid w:val="4F6A776F"/>
    <w:rsid w:val="4FA90297"/>
    <w:rsid w:val="4FC41A43"/>
    <w:rsid w:val="51DB3C59"/>
    <w:rsid w:val="550C0952"/>
    <w:rsid w:val="55762E42"/>
    <w:rsid w:val="5794634B"/>
    <w:rsid w:val="57A7B272"/>
    <w:rsid w:val="58470068"/>
    <w:rsid w:val="58747CAC"/>
    <w:rsid w:val="5A1720F9"/>
    <w:rsid w:val="5B1172E4"/>
    <w:rsid w:val="5B9C37C2"/>
    <w:rsid w:val="5BA7C654"/>
    <w:rsid w:val="5CC26489"/>
    <w:rsid w:val="60A54109"/>
    <w:rsid w:val="6175423B"/>
    <w:rsid w:val="61D01CDF"/>
    <w:rsid w:val="64C0607C"/>
    <w:rsid w:val="64DB0A9B"/>
    <w:rsid w:val="65756C86"/>
    <w:rsid w:val="66302B58"/>
    <w:rsid w:val="674D385B"/>
    <w:rsid w:val="676F09E1"/>
    <w:rsid w:val="69F5106C"/>
    <w:rsid w:val="70480FAF"/>
    <w:rsid w:val="70D20240"/>
    <w:rsid w:val="71912C4D"/>
    <w:rsid w:val="73D56FFD"/>
    <w:rsid w:val="798524E4"/>
    <w:rsid w:val="7A02187D"/>
    <w:rsid w:val="7A7F1C49"/>
    <w:rsid w:val="7B5B7AE6"/>
    <w:rsid w:val="7B7B6628"/>
    <w:rsid w:val="7BA7071E"/>
    <w:rsid w:val="7BDF6DA8"/>
    <w:rsid w:val="7C7EDC1A"/>
    <w:rsid w:val="7CCED98D"/>
    <w:rsid w:val="7CEC499F"/>
    <w:rsid w:val="7D08410F"/>
    <w:rsid w:val="7D1F7C67"/>
    <w:rsid w:val="7DB96DED"/>
    <w:rsid w:val="7DD3AD81"/>
    <w:rsid w:val="7EF90613"/>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3">
    <w:name w:val="Normal Indent"/>
    <w:basedOn w:val="1"/>
    <w:autoRedefine/>
    <w:qFormat/>
    <w:uiPriority w:val="0"/>
    <w:pPr>
      <w:ind w:firstLine="200" w:firstLineChars="200"/>
    </w:pPr>
  </w:style>
  <w:style w:type="paragraph" w:styleId="4">
    <w:name w:val="Body Text Indent"/>
    <w:basedOn w:val="1"/>
    <w:autoRedefine/>
    <w:qFormat/>
    <w:uiPriority w:val="0"/>
    <w:pPr>
      <w:ind w:firstLine="645"/>
    </w:pPr>
    <w:rPr>
      <w:rFonts w:ascii="仿宋_GB2312" w:hAnsi="Calibri" w:eastAsia="仿宋_GB2312"/>
      <w:sz w:val="32"/>
      <w:szCs w:val="32"/>
    </w:rPr>
  </w:style>
  <w:style w:type="paragraph" w:styleId="5">
    <w:name w:val="Date"/>
    <w:basedOn w:val="1"/>
    <w:next w:val="1"/>
    <w:autoRedefine/>
    <w:qFormat/>
    <w:uiPriority w:val="0"/>
    <w:pPr>
      <w:ind w:left="100" w:leftChars="2500"/>
    </w:pPr>
  </w:style>
  <w:style w:type="paragraph" w:styleId="6">
    <w:name w:val="Balloon Text"/>
    <w:basedOn w:val="1"/>
    <w:autoRedefine/>
    <w:semiHidden/>
    <w:qFormat/>
    <w:uiPriority w:val="0"/>
    <w:rPr>
      <w:sz w:val="18"/>
      <w:szCs w:val="18"/>
    </w:rPr>
  </w:style>
  <w:style w:type="paragraph" w:styleId="7">
    <w:name w:val="footer"/>
    <w:basedOn w:val="1"/>
    <w:link w:val="14"/>
    <w:autoRedefine/>
    <w:qFormat/>
    <w:uiPriority w:val="0"/>
    <w:pPr>
      <w:tabs>
        <w:tab w:val="center" w:pos="4153"/>
        <w:tab w:val="right" w:pos="8306"/>
      </w:tabs>
      <w:snapToGrid w:val="0"/>
      <w:jc w:val="left"/>
    </w:pPr>
    <w:rPr>
      <w:sz w:val="18"/>
      <w:szCs w:val="18"/>
    </w:rPr>
  </w:style>
  <w:style w:type="paragraph" w:styleId="8">
    <w:name w:val="header"/>
    <w:basedOn w:val="1"/>
    <w:link w:val="15"/>
    <w:autoRedefine/>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autoRedefine/>
    <w:unhideWhenUsed/>
    <w:qFormat/>
    <w:uiPriority w:val="0"/>
    <w:pPr>
      <w:spacing w:before="100" w:beforeAutospacing="1" w:after="100" w:afterAutospacing="1"/>
      <w:ind w:right="238"/>
      <w:jc w:val="left"/>
    </w:pPr>
    <w:rPr>
      <w:b/>
      <w:kern w:val="0"/>
      <w:sz w:val="24"/>
      <w:szCs w:val="20"/>
    </w:rPr>
  </w:style>
  <w:style w:type="character" w:styleId="12">
    <w:name w:val="Strong"/>
    <w:autoRedefine/>
    <w:qFormat/>
    <w:uiPriority w:val="0"/>
    <w:rPr>
      <w:b/>
    </w:rPr>
  </w:style>
  <w:style w:type="character" w:styleId="13">
    <w:name w:val="page number"/>
    <w:autoRedefine/>
    <w:qFormat/>
    <w:uiPriority w:val="0"/>
  </w:style>
  <w:style w:type="character" w:customStyle="1" w:styleId="14">
    <w:name w:val="页脚 Char"/>
    <w:link w:val="7"/>
    <w:autoRedefine/>
    <w:qFormat/>
    <w:uiPriority w:val="0"/>
    <w:rPr>
      <w:rFonts w:eastAsia="宋体"/>
      <w:kern w:val="2"/>
      <w:sz w:val="18"/>
      <w:szCs w:val="18"/>
      <w:lang w:val="en-US" w:eastAsia="zh-CN" w:bidi="ar-SA"/>
    </w:rPr>
  </w:style>
  <w:style w:type="character" w:customStyle="1" w:styleId="15">
    <w:name w:val="页眉 Char"/>
    <w:link w:val="8"/>
    <w:autoRedefine/>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autoRedefine/>
    <w:qFormat/>
    <w:uiPriority w:val="0"/>
    <w:rPr>
      <w:rFonts w:ascii="Tahoma" w:hAnsi="Tahoma"/>
      <w:sz w:val="24"/>
      <w:szCs w:val="20"/>
    </w:rPr>
  </w:style>
  <w:style w:type="paragraph" w:customStyle="1" w:styleId="17">
    <w:name w:val="Char1 Char Char Char"/>
    <w:basedOn w:val="1"/>
    <w:autoRedefine/>
    <w:qFormat/>
    <w:uiPriority w:val="0"/>
    <w:pPr>
      <w:widowControl/>
      <w:spacing w:after="160" w:line="240" w:lineRule="exact"/>
      <w:jc w:val="left"/>
    </w:pPr>
    <w:rPr>
      <w:szCs w:val="20"/>
    </w:rPr>
  </w:style>
  <w:style w:type="paragraph" w:customStyle="1" w:styleId="18">
    <w:name w:val="Char"/>
    <w:basedOn w:val="1"/>
    <w:autoRedefine/>
    <w:qFormat/>
    <w:uiPriority w:val="0"/>
    <w:rPr>
      <w:rFonts w:ascii="Tahoma" w:hAnsi="Tahoma"/>
      <w:sz w:val="24"/>
      <w:szCs w:val="20"/>
    </w:rPr>
  </w:style>
  <w:style w:type="paragraph" w:customStyle="1" w:styleId="19">
    <w:name w:val="Char Char3 Char Char"/>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268.23</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9b07268-72a7-4538-8c99-ebc3db1753ae}"/>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210.54</c:v>
                </c:pt>
                <c:pt idx="1">
                  <c:v>57.69</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444f4040-a346-4401-b027-d7563d22216e}"/>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739</Words>
  <Characters>836</Characters>
  <Lines>44</Lines>
  <Paragraphs>12</Paragraphs>
  <TotalTime>1</TotalTime>
  <ScaleCrop>false</ScaleCrop>
  <LinksUpToDate>false</LinksUpToDate>
  <CharactersWithSpaces>852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宋勇</cp:lastModifiedBy>
  <cp:lastPrinted>2020-08-07T11:39:00Z</cp:lastPrinted>
  <dcterms:modified xsi:type="dcterms:W3CDTF">2025-08-28T08:24:20Z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eyJoZGlkIjoiMzllNDRkNzUzYmVhYjFjM2RhNDM0OGE5Y2I0YzRhOTUiLCJ1c2VySWQiOiIxNDg5MDc3NDc5In0=</vt:lpwstr>
  </property>
</Properties>
</file>