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sz w:val="32"/>
          <w:szCs w:val="3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r>
        <w:rPr>
          <w:rFonts w:hint="eastAsia" w:ascii="黑体" w:eastAsia="黑体"/>
          <w:sz w:val="72"/>
          <w:szCs w:val="72"/>
        </w:rPr>
        <w:t>202</w:t>
      </w:r>
      <w:r>
        <w:rPr>
          <w:rFonts w:hint="eastAsia" w:ascii="黑体" w:eastAsia="黑体"/>
          <w:sz w:val="72"/>
          <w:szCs w:val="72"/>
          <w:lang w:val="en-US" w:eastAsia="zh-CN"/>
        </w:rPr>
        <w:t>4</w:t>
      </w:r>
      <w:r>
        <w:rPr>
          <w:rFonts w:hint="eastAsia" w:ascii="黑体" w:eastAsia="黑体"/>
          <w:sz w:val="72"/>
          <w:szCs w:val="72"/>
        </w:rPr>
        <w:t>年度部门决算（</w:t>
      </w:r>
      <w:r>
        <w:rPr>
          <w:rFonts w:hint="eastAsia" w:ascii="黑体" w:eastAsia="黑体"/>
          <w:sz w:val="72"/>
          <w:szCs w:val="72"/>
          <w:lang w:val="en-US" w:eastAsia="zh-CN"/>
        </w:rPr>
        <w:t>公开</w:t>
      </w:r>
      <w:r>
        <w:rPr>
          <w:rFonts w:ascii="黑体" w:eastAsia="黑体"/>
          <w:sz w:val="72"/>
          <w:szCs w:val="72"/>
        </w:rPr>
        <w:t>）</w:t>
      </w: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32"/>
          <w:szCs w:val="32"/>
        </w:rPr>
      </w:pPr>
    </w:p>
    <w:p>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pPr>
        <w:spacing w:line="500" w:lineRule="exact"/>
        <w:ind w:firstLine="645"/>
        <w:jc w:val="center"/>
        <w:rPr>
          <w:rFonts w:hint="eastAsia" w:ascii="宋体" w:hAnsi="宋体" w:cs="宋体"/>
          <w:b/>
          <w:bCs/>
          <w:kern w:val="0"/>
          <w:sz w:val="36"/>
          <w:szCs w:val="36"/>
        </w:rPr>
      </w:pPr>
    </w:p>
    <w:p>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第一部分 202</w:t>
      </w:r>
      <w:r>
        <w:rPr>
          <w:rFonts w:hint="eastAsia" w:ascii="宋体" w:hAnsi="宋体" w:cs="宋体"/>
          <w:bCs/>
          <w:spacing w:val="40"/>
          <w:kern w:val="0"/>
          <w:sz w:val="32"/>
          <w:szCs w:val="32"/>
          <w:lang w:val="en-US" w:eastAsia="zh-CN"/>
        </w:rPr>
        <w:t>4</w:t>
      </w:r>
      <w:r>
        <w:rPr>
          <w:rFonts w:hint="eastAsia" w:ascii="宋体" w:hAnsi="宋体" w:cs="宋体"/>
          <w:bCs/>
          <w:spacing w:val="40"/>
          <w:kern w:val="0"/>
          <w:sz w:val="32"/>
          <w:szCs w:val="32"/>
        </w:rPr>
        <w:t>年度部门决算报表</w:t>
      </w:r>
    </w:p>
    <w:p>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八</w:t>
      </w:r>
      <w:r>
        <w:rPr>
          <w:rFonts w:hint="eastAsia" w:ascii="仿宋_GB2312" w:hAnsi="仿宋" w:eastAsia="仿宋_GB2312" w:cs="宋体"/>
          <w:bCs/>
          <w:spacing w:val="40"/>
          <w:kern w:val="0"/>
          <w:sz w:val="32"/>
          <w:szCs w:val="32"/>
        </w:rPr>
        <w:t>、</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九</w:t>
      </w:r>
      <w:r>
        <w:rPr>
          <w:rFonts w:hint="eastAsia" w:ascii="仿宋_GB2312" w:hAnsi="仿宋" w:eastAsia="仿宋_GB2312" w:cs="宋体"/>
          <w:bCs/>
          <w:spacing w:val="40"/>
          <w:kern w:val="0"/>
          <w:sz w:val="32"/>
          <w:szCs w:val="32"/>
        </w:rPr>
        <w:t>、国有资本经营预算财政拨款支出决算表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w:t>
      </w:r>
      <w:r>
        <w:rPr>
          <w:rFonts w:hint="eastAsia" w:ascii="仿宋_GB2312" w:hAnsi="仿宋" w:eastAsia="仿宋_GB2312" w:cs="宋体"/>
          <w:bCs/>
          <w:spacing w:val="40"/>
          <w:kern w:val="0"/>
          <w:sz w:val="32"/>
          <w:szCs w:val="32"/>
          <w:lang w:eastAsia="zh-CN"/>
        </w:rPr>
        <w:t>二</w:t>
      </w:r>
      <w:r>
        <w:rPr>
          <w:rFonts w:hint="eastAsia" w:ascii="仿宋_GB2312" w:hAnsi="仿宋" w:eastAsia="仿宋_GB2312" w:cs="宋体"/>
          <w:bCs/>
          <w:spacing w:val="40"/>
          <w:kern w:val="0"/>
          <w:sz w:val="32"/>
          <w:szCs w:val="32"/>
        </w:rPr>
        <w:t>、政府购买服务决算公开情况表</w:t>
      </w:r>
    </w:p>
    <w:p>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年度部门决算说明</w:t>
      </w:r>
    </w:p>
    <w:p>
      <w:pPr>
        <w:tabs>
          <w:tab w:val="center" w:pos="6979"/>
        </w:tabs>
        <w:spacing w:line="500" w:lineRule="exact"/>
        <w:ind w:firstLine="1600" w:firstLineChars="400"/>
        <w:jc w:val="left"/>
        <w:rPr>
          <w:rFonts w:hint="eastAsia"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pPr>
        <w:tabs>
          <w:tab w:val="center" w:pos="6979"/>
        </w:tabs>
        <w:spacing w:line="500" w:lineRule="exact"/>
        <w:ind w:firstLine="1600" w:firstLineChars="400"/>
        <w:jc w:val="left"/>
        <w:rPr>
          <w:rFonts w:hint="eastAsia" w:ascii="宋体" w:hAnsi="宋体" w:cs="宋体"/>
          <w:spacing w:val="40"/>
          <w:kern w:val="0"/>
          <w:sz w:val="36"/>
          <w:szCs w:val="32"/>
        </w:rPr>
      </w:pPr>
      <w:r>
        <w:rPr>
          <w:rFonts w:hint="eastAsia" w:ascii="宋体" w:hAnsi="宋体" w:cs="宋体"/>
          <w:spacing w:val="40"/>
          <w:kern w:val="0"/>
          <w:sz w:val="32"/>
          <w:szCs w:val="32"/>
        </w:rPr>
        <w:t>第四部分 202</w:t>
      </w:r>
      <w:r>
        <w:rPr>
          <w:rFonts w:hint="eastAsia" w:ascii="宋体" w:hAnsi="宋体" w:cs="宋体"/>
          <w:spacing w:val="40"/>
          <w:kern w:val="0"/>
          <w:sz w:val="32"/>
          <w:szCs w:val="32"/>
          <w:lang w:val="en-US" w:eastAsia="zh-CN"/>
        </w:rPr>
        <w:t>4</w:t>
      </w:r>
      <w:r>
        <w:rPr>
          <w:rFonts w:hint="eastAsia" w:ascii="宋体" w:hAnsi="宋体" w:cs="宋体"/>
          <w:spacing w:val="40"/>
          <w:kern w:val="0"/>
          <w:sz w:val="32"/>
          <w:szCs w:val="32"/>
        </w:rPr>
        <w:t>年度部门绩效评价情况</w:t>
      </w: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 xml:space="preserve">第一部分 </w:t>
      </w:r>
      <w:r>
        <w:rPr>
          <w:rFonts w:hint="eastAsia" w:ascii="宋体" w:hAnsi="宋体" w:cs="宋体"/>
          <w:b/>
          <w:bCs/>
          <w:spacing w:val="40"/>
          <w:kern w:val="0"/>
          <w:sz w:val="44"/>
          <w:szCs w:val="44"/>
          <w:lang w:eastAsia="zh-CN"/>
        </w:rPr>
        <w:t>2024</w:t>
      </w:r>
      <w:r>
        <w:rPr>
          <w:rFonts w:hint="eastAsia" w:ascii="宋体" w:hAnsi="宋体" w:cs="宋体"/>
          <w:b/>
          <w:bCs/>
          <w:spacing w:val="40"/>
          <w:kern w:val="0"/>
          <w:sz w:val="44"/>
          <w:szCs w:val="44"/>
        </w:rPr>
        <w:t>年度部门决算报表</w:t>
      </w:r>
    </w:p>
    <w:p>
      <w:pPr>
        <w:pStyle w:val="2"/>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pPr>
        <w:tabs>
          <w:tab w:val="center" w:pos="6979"/>
        </w:tabs>
        <w:spacing w:before="156" w:beforeLines="50" w:after="156" w:afterLines="50"/>
        <w:jc w:val="center"/>
        <w:rPr>
          <w:rFonts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lang w:eastAsia="zh-CN"/>
        </w:rPr>
        <w:t>2024</w:t>
      </w:r>
      <w:r>
        <w:rPr>
          <w:rFonts w:hint="eastAsia" w:ascii="宋体" w:hAnsi="宋体"/>
          <w:b/>
          <w:spacing w:val="40"/>
          <w:sz w:val="32"/>
          <w:szCs w:val="32"/>
        </w:rPr>
        <w:t>年度部门决算说明</w:t>
      </w:r>
    </w:p>
    <w:p>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一、部门/单位基本情况</w:t>
      </w:r>
    </w:p>
    <w:p>
      <w:pPr>
        <w:tabs>
          <w:tab w:val="center" w:pos="6979"/>
        </w:tabs>
        <w:spacing w:line="580" w:lineRule="exact"/>
        <w:ind w:firstLine="420" w:firstLineChars="150"/>
        <w:rPr>
          <w:rFonts w:ascii="仿宋_GB2312" w:eastAsia="仿宋_GB2312"/>
          <w:sz w:val="28"/>
          <w:szCs w:val="28"/>
        </w:rPr>
      </w:pPr>
      <w:r>
        <w:rPr>
          <w:rFonts w:hint="eastAsia" w:ascii="仿宋_GB2312" w:eastAsia="仿宋_GB2312"/>
          <w:sz w:val="28"/>
          <w:szCs w:val="28"/>
        </w:rPr>
        <w:t>机构</w:t>
      </w:r>
      <w:r>
        <w:rPr>
          <w:rFonts w:ascii="仿宋_GB2312" w:eastAsia="仿宋_GB2312"/>
          <w:sz w:val="28"/>
          <w:szCs w:val="28"/>
        </w:rPr>
        <w:t>设置、</w:t>
      </w:r>
      <w:r>
        <w:rPr>
          <w:rFonts w:hint="eastAsia" w:ascii="仿宋_GB2312" w:eastAsia="仿宋_GB2312"/>
          <w:sz w:val="28"/>
          <w:szCs w:val="28"/>
        </w:rPr>
        <w:t>职责</w:t>
      </w:r>
    </w:p>
    <w:p>
      <w:pPr>
        <w:tabs>
          <w:tab w:val="center" w:pos="6979"/>
        </w:tabs>
        <w:spacing w:line="580" w:lineRule="exact"/>
        <w:ind w:firstLine="420" w:firstLineChars="150"/>
        <w:rPr>
          <w:rFonts w:ascii="仿宋_GB2312" w:eastAsia="仿宋_GB2312"/>
          <w:kern w:val="0"/>
          <w:sz w:val="28"/>
          <w:szCs w:val="28"/>
        </w:rPr>
      </w:pPr>
      <w:r>
        <w:rPr>
          <w:rFonts w:hint="eastAsia" w:ascii="仿宋_GB2312" w:hAnsi="Times New Roman" w:eastAsia="仿宋_GB2312" w:cs="Times New Roman"/>
          <w:b w:val="0"/>
          <w:bCs w:val="0"/>
          <w:kern w:val="2"/>
          <w:sz w:val="28"/>
          <w:szCs w:val="28"/>
          <w:lang w:val="en-US" w:eastAsia="zh-CN" w:bidi="ar-SA"/>
        </w:rPr>
        <w:t>北京市西城区阅读推广中心是根据《中共北京市西城区委机构编制委员会关于成立北京市西城区图书馆和北京市西城区阅读推广中心的批复》（西编发【2019】8号）设立，是西城区</w:t>
      </w:r>
      <w:r>
        <w:rPr>
          <w:rFonts w:hint="eastAsia" w:ascii="仿宋_GB2312" w:eastAsia="仿宋_GB2312" w:cs="Times New Roman"/>
          <w:b w:val="0"/>
          <w:bCs w:val="0"/>
          <w:kern w:val="2"/>
          <w:sz w:val="28"/>
          <w:szCs w:val="28"/>
          <w:lang w:val="en-US" w:eastAsia="zh-CN" w:bidi="ar-SA"/>
        </w:rPr>
        <w:t>文化和旅游局</w:t>
      </w:r>
      <w:r>
        <w:rPr>
          <w:rFonts w:hint="eastAsia" w:ascii="仿宋_GB2312" w:hAnsi="Times New Roman" w:eastAsia="仿宋_GB2312" w:cs="Times New Roman"/>
          <w:b w:val="0"/>
          <w:bCs w:val="0"/>
          <w:kern w:val="2"/>
          <w:sz w:val="28"/>
          <w:szCs w:val="28"/>
          <w:lang w:val="en-US" w:eastAsia="zh-CN" w:bidi="ar-SA"/>
        </w:rPr>
        <w:t>所属相当科级财政补助公益一类事业单位。部门职责：统筹规划、管理社会力量参与公共阅读服务；承担我区阅读服务布局规划和相关服务体系建设工作；组织实施我区大型阅读推广活动；协调、动员社会文化相关资源参与公共文化服务。</w:t>
      </w:r>
    </w:p>
    <w:p>
      <w:pPr>
        <w:tabs>
          <w:tab w:val="center" w:pos="6979"/>
        </w:tabs>
        <w:spacing w:line="580" w:lineRule="exact"/>
        <w:rPr>
          <w:rFonts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eastAsia="zh-CN"/>
        </w:rPr>
        <w:t>2024</w:t>
      </w:r>
      <w:r>
        <w:rPr>
          <w:rFonts w:hint="eastAsia" w:ascii="仿宋_GB2312" w:eastAsia="仿宋_GB2312"/>
          <w:sz w:val="28"/>
          <w:szCs w:val="28"/>
        </w:rPr>
        <w:t>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1865.82</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lang w:val="en-US" w:eastAsia="zh-CN"/>
        </w:rPr>
        <w:t>497.84</w:t>
      </w:r>
      <w:r>
        <w:rPr>
          <w:rFonts w:hint="eastAsia" w:ascii="仿宋_GB2312" w:eastAsia="仿宋_GB2312"/>
          <w:sz w:val="28"/>
          <w:szCs w:val="28"/>
        </w:rPr>
        <w:t>万元，增长</w:t>
      </w:r>
      <w:r>
        <w:rPr>
          <w:rFonts w:hint="eastAsia" w:ascii="仿宋_GB2312" w:eastAsia="仿宋_GB2312"/>
          <w:sz w:val="28"/>
          <w:szCs w:val="28"/>
          <w:lang w:val="en-US" w:eastAsia="zh-CN"/>
        </w:rPr>
        <w:t>36.39</w:t>
      </w:r>
      <w:r>
        <w:rPr>
          <w:rFonts w:hint="eastAsia" w:ascii="仿宋_GB2312" w:eastAsia="仿宋_GB2312"/>
          <w:sz w:val="28"/>
          <w:szCs w:val="28"/>
        </w:rPr>
        <w:t>%。</w:t>
      </w:r>
    </w:p>
    <w:p>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（一</w:t>
      </w:r>
      <w:r>
        <w:rPr>
          <w:rFonts w:ascii="仿宋_GB2312" w:eastAsia="仿宋_GB2312"/>
          <w:sz w:val="28"/>
          <w:szCs w:val="28"/>
        </w:rPr>
        <w:t>）</w:t>
      </w:r>
      <w:r>
        <w:rPr>
          <w:rFonts w:hint="eastAsia" w:ascii="仿宋_GB2312" w:eastAsia="仿宋_GB2312"/>
          <w:sz w:val="28"/>
          <w:szCs w:val="28"/>
        </w:rPr>
        <w:t>收入决算</w:t>
      </w:r>
      <w:r>
        <w:rPr>
          <w:rFonts w:ascii="仿宋_GB2312" w:eastAsia="仿宋_GB2312"/>
          <w:sz w:val="28"/>
          <w:szCs w:val="28"/>
        </w:rPr>
        <w:t>说明</w:t>
      </w:r>
    </w:p>
    <w:p>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年度本年收入合计</w:t>
      </w:r>
      <w:r>
        <w:rPr>
          <w:rFonts w:ascii="仿宋_GB2312" w:eastAsia="仿宋_GB2312"/>
          <w:sz w:val="28"/>
          <w:szCs w:val="28"/>
        </w:rPr>
        <w:t>1865.82</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lang w:val="en-US" w:eastAsia="zh-CN"/>
        </w:rPr>
        <w:t>497.84</w:t>
      </w:r>
      <w:r>
        <w:rPr>
          <w:rFonts w:hint="eastAsia" w:ascii="仿宋_GB2312" w:eastAsia="仿宋_GB2312"/>
          <w:sz w:val="28"/>
          <w:szCs w:val="28"/>
        </w:rPr>
        <w:t>万元，增长</w:t>
      </w:r>
      <w:r>
        <w:rPr>
          <w:rFonts w:hint="eastAsia" w:ascii="仿宋_GB2312" w:eastAsia="仿宋_GB2312"/>
          <w:sz w:val="28"/>
          <w:szCs w:val="28"/>
          <w:lang w:val="en-US" w:eastAsia="zh-CN"/>
        </w:rPr>
        <w:t>36.39</w:t>
      </w:r>
      <w:r>
        <w:rPr>
          <w:rFonts w:hint="eastAsia" w:ascii="仿宋_GB2312" w:eastAsia="仿宋_GB2312"/>
          <w:sz w:val="28"/>
          <w:szCs w:val="28"/>
        </w:rPr>
        <w:t>%</w:t>
      </w:r>
      <w:r>
        <w:rPr>
          <w:rFonts w:hint="eastAsia" w:ascii="仿宋_GB2312" w:eastAsia="仿宋_GB2312"/>
          <w:sz w:val="28"/>
          <w:szCs w:val="28"/>
          <w:lang w:eastAsia="zh-CN"/>
        </w:rPr>
        <w:t>。</w:t>
      </w:r>
    </w:p>
    <w:p>
      <w:pPr>
        <w:tabs>
          <w:tab w:val="center" w:pos="6979"/>
        </w:tabs>
        <w:spacing w:line="580" w:lineRule="exact"/>
        <w:ind w:firstLine="560" w:firstLineChars="200"/>
      </w:pPr>
      <w:r>
        <w:rPr>
          <w:rFonts w:hint="eastAsia" w:ascii="仿宋_GB2312" w:eastAsia="仿宋_GB2312"/>
          <w:sz w:val="28"/>
          <w:szCs w:val="28"/>
        </w:rPr>
        <w:t>1.财政拨款收入</w:t>
      </w:r>
      <w:r>
        <w:rPr>
          <w:rFonts w:ascii="仿宋_GB2312" w:eastAsia="仿宋_GB2312"/>
          <w:sz w:val="28"/>
          <w:szCs w:val="28"/>
        </w:rPr>
        <w:t>1865.82</w:t>
      </w:r>
      <w:r>
        <w:rPr>
          <w:rFonts w:hint="eastAsia" w:ascii="仿宋_GB2312" w:eastAsia="仿宋_GB2312"/>
          <w:sz w:val="28"/>
          <w:szCs w:val="28"/>
        </w:rPr>
        <w:t>万元，占收入合计的</w:t>
      </w:r>
      <w:r>
        <w:rPr>
          <w:rFonts w:hint="eastAsia" w:ascii="仿宋_GB2312" w:eastAsia="仿宋_GB2312"/>
          <w:sz w:val="28"/>
          <w:szCs w:val="28"/>
          <w:lang w:eastAsia="zh-CN"/>
        </w:rPr>
        <w:t>100%</w:t>
      </w:r>
      <w:r>
        <w:rPr>
          <w:rFonts w:hint="eastAsia" w:ascii="仿宋_GB2312" w:eastAsia="仿宋_GB2312"/>
          <w:sz w:val="28"/>
          <w:szCs w:val="28"/>
        </w:rPr>
        <w:t>。其中：一般公共预算财政拨款收入</w:t>
      </w:r>
      <w:r>
        <w:rPr>
          <w:rFonts w:ascii="仿宋_GB2312" w:eastAsia="仿宋_GB2312"/>
          <w:sz w:val="28"/>
          <w:szCs w:val="28"/>
        </w:rPr>
        <w:t>1865.82</w:t>
      </w:r>
      <w:r>
        <w:rPr>
          <w:rFonts w:hint="eastAsia" w:ascii="仿宋_GB2312" w:eastAsia="仿宋_GB2312"/>
          <w:sz w:val="28"/>
          <w:szCs w:val="28"/>
        </w:rPr>
        <w:t>万元，占收入合计的</w:t>
      </w:r>
      <w:r>
        <w:rPr>
          <w:rFonts w:hint="eastAsia" w:ascii="仿宋_GB2312" w:eastAsia="仿宋_GB2312"/>
          <w:sz w:val="28"/>
          <w:szCs w:val="28"/>
          <w:lang w:eastAsia="zh-CN"/>
        </w:rPr>
        <w:t>100</w:t>
      </w:r>
      <w:r>
        <w:rPr>
          <w:rFonts w:hint="eastAsia" w:ascii="仿宋_GB2312" w:eastAsia="仿宋_GB2312"/>
          <w:sz w:val="28"/>
          <w:szCs w:val="28"/>
        </w:rPr>
        <w:t>%；政府性基金预算财政拨款收入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%；国有资本经营预算财政拨款收入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2.上级补助收入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3.事业收入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pStyle w:val="2"/>
        <w:jc w:val="center"/>
        <w:rPr>
          <w:rFonts w:hint="eastAsia"/>
        </w:rPr>
      </w:pPr>
      <w:r>
        <w:rPr>
          <w:rFonts w:hint="eastAsia" w:ascii="仿宋_GB2312" w:eastAsia="仿宋_GB2312"/>
          <w:color w:val="000000"/>
          <w:sz w:val="32"/>
        </w:rPr>
        <w:t>图1：收入决算</w:t>
      </w:r>
    </w:p>
    <w:p>
      <w:pPr>
        <w:pStyle w:val="3"/>
        <w:ind w:firstLine="420"/>
        <w:jc w:val="center"/>
      </w:pPr>
      <w:r>
        <w:drawing>
          <wp:inline distT="0" distB="0" distL="0" distR="0">
            <wp:extent cx="4036695" cy="2328545"/>
            <wp:effectExtent l="0" t="0" r="20955" b="14605"/>
            <wp:docPr id="3" name="图表 3"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pPr>
        <w:tabs>
          <w:tab w:val="center" w:pos="6979"/>
        </w:tabs>
        <w:spacing w:line="580" w:lineRule="exact"/>
        <w:ind w:firstLine="570"/>
        <w:rPr>
          <w:rFonts w:hint="eastAsia" w:ascii="仿宋_GB2312" w:eastAsia="仿宋_GB2312" w:cs="Droid Sans"/>
          <w:color w:val="000000"/>
          <w:sz w:val="32"/>
          <w:szCs w:val="32"/>
          <w:highlight w:val="none"/>
          <w:lang w:eastAsia="zh-CN"/>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年度本年支出合计</w:t>
      </w:r>
      <w:r>
        <w:rPr>
          <w:rFonts w:ascii="仿宋_GB2312" w:eastAsia="仿宋_GB2312"/>
          <w:sz w:val="28"/>
          <w:szCs w:val="28"/>
        </w:rPr>
        <w:t>1865.82</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lang w:val="en-US" w:eastAsia="zh-CN"/>
        </w:rPr>
        <w:t>497.84</w:t>
      </w:r>
      <w:r>
        <w:rPr>
          <w:rFonts w:hint="eastAsia" w:ascii="仿宋_GB2312" w:eastAsia="仿宋_GB2312"/>
          <w:sz w:val="28"/>
          <w:szCs w:val="28"/>
        </w:rPr>
        <w:t>万元，增长</w:t>
      </w:r>
      <w:r>
        <w:rPr>
          <w:rFonts w:hint="eastAsia" w:ascii="仿宋_GB2312" w:eastAsia="仿宋_GB2312"/>
          <w:sz w:val="28"/>
          <w:szCs w:val="28"/>
          <w:lang w:val="en-US" w:eastAsia="zh-CN"/>
        </w:rPr>
        <w:t>36.39</w:t>
      </w:r>
      <w:r>
        <w:rPr>
          <w:rFonts w:hint="eastAsia" w:ascii="仿宋_GB2312" w:eastAsia="仿宋_GB2312"/>
          <w:sz w:val="28"/>
          <w:szCs w:val="28"/>
        </w:rPr>
        <w:t>%，其中：基本支出</w:t>
      </w:r>
      <w:r>
        <w:rPr>
          <w:rFonts w:ascii="仿宋_GB2312" w:eastAsia="仿宋_GB2312"/>
          <w:sz w:val="28"/>
          <w:szCs w:val="28"/>
        </w:rPr>
        <w:t>438.93</w:t>
      </w:r>
      <w:r>
        <w:rPr>
          <w:rFonts w:hint="eastAsia" w:ascii="仿宋_GB2312" w:eastAsia="仿宋_GB2312"/>
          <w:sz w:val="28"/>
          <w:szCs w:val="28"/>
        </w:rPr>
        <w:t>万元，占支出合计的</w:t>
      </w:r>
      <w:r>
        <w:rPr>
          <w:rFonts w:hint="eastAsia" w:ascii="仿宋_GB2312" w:eastAsia="仿宋_GB2312"/>
          <w:sz w:val="28"/>
          <w:szCs w:val="28"/>
          <w:lang w:eastAsia="zh-CN"/>
        </w:rPr>
        <w:t>23.53</w:t>
      </w:r>
      <w:r>
        <w:rPr>
          <w:rFonts w:hint="eastAsia" w:ascii="仿宋_GB2312" w:eastAsia="仿宋_GB2312"/>
          <w:sz w:val="28"/>
          <w:szCs w:val="28"/>
        </w:rPr>
        <w:t>%；项目支出</w:t>
      </w:r>
      <w:r>
        <w:rPr>
          <w:rFonts w:ascii="仿宋_GB2312" w:eastAsia="仿宋_GB2312"/>
          <w:sz w:val="28"/>
          <w:szCs w:val="28"/>
        </w:rPr>
        <w:t>1426.88</w:t>
      </w:r>
      <w:r>
        <w:rPr>
          <w:rFonts w:hint="eastAsia" w:ascii="仿宋_GB2312" w:eastAsia="仿宋_GB2312"/>
          <w:sz w:val="28"/>
          <w:szCs w:val="28"/>
        </w:rPr>
        <w:t>万元，占支出合计的</w:t>
      </w:r>
      <w:r>
        <w:rPr>
          <w:rFonts w:hint="eastAsia" w:ascii="仿宋_GB2312" w:eastAsia="仿宋_GB2312"/>
          <w:sz w:val="28"/>
          <w:szCs w:val="28"/>
          <w:lang w:eastAsia="zh-CN"/>
        </w:rPr>
        <w:t>76.47</w:t>
      </w:r>
      <w:r>
        <w:rPr>
          <w:rFonts w:hint="eastAsia" w:ascii="仿宋_GB2312" w:eastAsia="仿宋_GB2312"/>
          <w:sz w:val="28"/>
          <w:szCs w:val="28"/>
        </w:rPr>
        <w:t>%;上缴上级支出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%；经营支出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%；对附属单位补助支出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w:t>
      </w:r>
    </w:p>
    <w:p>
      <w:pPr>
        <w:pStyle w:val="2"/>
        <w:ind w:firstLine="642"/>
        <w:jc w:val="center"/>
        <w:rPr>
          <w:rFonts w:ascii="仿宋_GB2312" w:eastAsia="仿宋_GB2312"/>
          <w:color w:val="000000"/>
          <w:sz w:val="32"/>
        </w:rPr>
      </w:pPr>
      <w:r>
        <w:rPr>
          <w:rFonts w:hint="eastAsia" w:ascii="仿宋_GB2312" w:eastAsia="仿宋_GB2312"/>
          <w:color w:val="000000"/>
          <w:sz w:val="32"/>
        </w:rPr>
        <w:t>图2：基本支出和项目支出情况</w:t>
      </w:r>
    </w:p>
    <w:p>
      <w:pPr>
        <w:jc w:val="center"/>
        <w:rPr>
          <w:rFonts w:ascii="黑体" w:eastAsia="黑体"/>
          <w:b/>
          <w:sz w:val="28"/>
          <w:szCs w:val="28"/>
        </w:rPr>
      </w:pPr>
      <w:r>
        <w:drawing>
          <wp:inline distT="0" distB="0" distL="114300" distR="114300">
            <wp:extent cx="4572000" cy="2743200"/>
            <wp:effectExtent l="4445" t="4445" r="14605" b="14605"/>
            <wp:docPr id="1"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1865.82</w:t>
      </w:r>
      <w:r>
        <w:rPr>
          <w:rFonts w:hint="eastAsia" w:ascii="仿宋_GB2312" w:eastAsia="仿宋_GB2312"/>
          <w:sz w:val="28"/>
          <w:szCs w:val="28"/>
        </w:rPr>
        <w:t>万元，比上年</w:t>
      </w:r>
      <w:r>
        <w:rPr>
          <w:rFonts w:ascii="仿宋_GB2312" w:eastAsia="仿宋_GB2312"/>
          <w:sz w:val="28"/>
          <w:szCs w:val="28"/>
        </w:rPr>
        <w:t>增加</w:t>
      </w:r>
      <w:r>
        <w:rPr>
          <w:rFonts w:hint="eastAsia" w:ascii="仿宋_GB2312" w:eastAsia="仿宋_GB2312"/>
          <w:sz w:val="28"/>
          <w:szCs w:val="28"/>
          <w:lang w:val="en-US" w:eastAsia="zh-CN"/>
        </w:rPr>
        <w:t>497.84</w:t>
      </w:r>
      <w:r>
        <w:rPr>
          <w:rFonts w:hint="eastAsia" w:ascii="仿宋_GB2312" w:eastAsia="仿宋_GB2312"/>
          <w:sz w:val="28"/>
          <w:szCs w:val="28"/>
        </w:rPr>
        <w:t>万元，增长</w:t>
      </w:r>
      <w:r>
        <w:rPr>
          <w:rFonts w:hint="eastAsia" w:ascii="仿宋_GB2312" w:eastAsia="仿宋_GB2312"/>
          <w:sz w:val="28"/>
          <w:szCs w:val="28"/>
          <w:lang w:val="en-US" w:eastAsia="zh-CN"/>
        </w:rPr>
        <w:t>36.39%</w:t>
      </w:r>
      <w:r>
        <w:rPr>
          <w:rFonts w:hint="eastAsia" w:ascii="仿宋_GB2312" w:eastAsia="仿宋_GB2312"/>
          <w:sz w:val="28"/>
          <w:szCs w:val="28"/>
        </w:rPr>
        <w:t>。主要原因：</w:t>
      </w:r>
      <w:r>
        <w:rPr>
          <w:rFonts w:hint="eastAsia" w:ascii="仿宋_GB2312" w:eastAsia="仿宋_GB2312"/>
          <w:sz w:val="28"/>
          <w:szCs w:val="28"/>
          <w:lang w:val="en-US" w:eastAsia="zh-CN"/>
        </w:rPr>
        <w:t>一是人员变动，二是西城区实体书店、阅读空间扶持资金项目金额增加</w:t>
      </w:r>
      <w:r>
        <w:rPr>
          <w:rFonts w:hint="eastAsia" w:ascii="仿宋_GB2312" w:eastAsia="仿宋_GB2312"/>
          <w:sz w:val="28"/>
          <w:szCs w:val="28"/>
        </w:rPr>
        <w:t>。</w:t>
      </w:r>
    </w:p>
    <w:p>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四、一般公共预算财政拨款支出决算情况说明</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（一）一般公共预算财政拨款支出决算总体情况</w:t>
      </w:r>
    </w:p>
    <w:p>
      <w:pPr>
        <w:tabs>
          <w:tab w:val="center" w:pos="6979"/>
        </w:tabs>
        <w:spacing w:line="580" w:lineRule="exact"/>
        <w:ind w:firstLine="570"/>
        <w:rPr>
          <w:rFonts w:hint="eastAsia" w:ascii="仿宋_GB2312" w:hAnsi="Times New Roman" w:eastAsia="仿宋_GB2312" w:cs="Times New Roman"/>
          <w:sz w:val="28"/>
          <w:szCs w:val="28"/>
          <w:lang w:val="en-US" w:eastAsia="zh-CN"/>
        </w:rPr>
      </w:pPr>
      <w:r>
        <w:rPr>
          <w:rFonts w:hint="eastAsia" w:ascii="仿宋_GB2312" w:hAnsi="Times New Roman" w:eastAsia="仿宋_GB2312" w:cs="Times New Roman"/>
          <w:sz w:val="28"/>
          <w:szCs w:val="28"/>
        </w:rPr>
        <w:t>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年度一般公共预算财政拨款支出1865.82万元，主要用于以下方面（按大类）：文化旅游体育与传媒支出</w:t>
      </w:r>
      <w:r>
        <w:rPr>
          <w:rFonts w:hint="eastAsia" w:ascii="仿宋_GB2312" w:hAnsi="Times New Roman" w:eastAsia="仿宋_GB2312" w:cs="Times New Roman"/>
          <w:sz w:val="28"/>
          <w:szCs w:val="28"/>
          <w:lang w:val="en-US" w:eastAsia="zh-CN"/>
        </w:rPr>
        <w:t>1722.45</w:t>
      </w:r>
      <w:r>
        <w:rPr>
          <w:rFonts w:hint="eastAsia" w:ascii="仿宋_GB2312" w:hAnsi="Times New Roman" w:eastAsia="仿宋_GB2312" w:cs="Times New Roman"/>
          <w:sz w:val="28"/>
          <w:szCs w:val="28"/>
        </w:rPr>
        <w:t>万元，占本年财政拨款支出</w:t>
      </w:r>
      <w:r>
        <w:rPr>
          <w:rFonts w:hint="eastAsia" w:ascii="仿宋_GB2312" w:hAnsi="Times New Roman" w:eastAsia="仿宋_GB2312" w:cs="Times New Roman"/>
          <w:sz w:val="28"/>
          <w:szCs w:val="28"/>
          <w:lang w:val="en-US" w:eastAsia="zh-CN"/>
        </w:rPr>
        <w:t>92.32</w:t>
      </w:r>
      <w:r>
        <w:rPr>
          <w:rFonts w:hint="eastAsia" w:ascii="仿宋_GB2312" w:hAnsi="Times New Roman" w:eastAsia="仿宋_GB2312" w:cs="Times New Roman"/>
          <w:sz w:val="28"/>
          <w:szCs w:val="28"/>
        </w:rPr>
        <w:t>%； 社会保障和就业支出</w:t>
      </w:r>
      <w:r>
        <w:rPr>
          <w:rFonts w:hint="eastAsia" w:ascii="仿宋_GB2312" w:hAnsi="Times New Roman" w:eastAsia="仿宋_GB2312" w:cs="Times New Roman"/>
          <w:sz w:val="28"/>
          <w:szCs w:val="28"/>
          <w:lang w:val="en-US" w:eastAsia="zh-CN"/>
        </w:rPr>
        <w:t>48.12万元，</w:t>
      </w:r>
      <w:r>
        <w:rPr>
          <w:rFonts w:hint="eastAsia" w:ascii="仿宋_GB2312" w:hAnsi="Times New Roman" w:eastAsia="仿宋_GB2312" w:cs="Times New Roman"/>
          <w:sz w:val="28"/>
          <w:szCs w:val="28"/>
        </w:rPr>
        <w:t>占本年财政拨款支出</w:t>
      </w:r>
      <w:r>
        <w:rPr>
          <w:rFonts w:hint="eastAsia" w:ascii="仿宋_GB2312" w:hAnsi="Times New Roman" w:eastAsia="仿宋_GB2312" w:cs="Times New Roman"/>
          <w:sz w:val="28"/>
          <w:szCs w:val="28"/>
          <w:lang w:val="en-US" w:eastAsia="zh-CN"/>
        </w:rPr>
        <w:t>2.58</w:t>
      </w:r>
      <w:r>
        <w:rPr>
          <w:rFonts w:hint="eastAsia" w:ascii="仿宋_GB2312" w:hAnsi="Times New Roman" w:eastAsia="仿宋_GB2312" w:cs="Times New Roman"/>
          <w:sz w:val="28"/>
          <w:szCs w:val="28"/>
        </w:rPr>
        <w:t>%</w:t>
      </w:r>
      <w:r>
        <w:rPr>
          <w:rFonts w:hint="eastAsia" w:ascii="仿宋_GB2312" w:hAnsi="Times New Roman" w:eastAsia="仿宋_GB2312" w:cs="Times New Roman"/>
          <w:sz w:val="28"/>
          <w:szCs w:val="28"/>
          <w:lang w:eastAsia="zh-CN"/>
        </w:rPr>
        <w:t>；</w:t>
      </w:r>
      <w:r>
        <w:rPr>
          <w:rFonts w:hint="eastAsia" w:ascii="仿宋_GB2312" w:hAnsi="Times New Roman" w:eastAsia="仿宋_GB2312" w:cs="Times New Roman"/>
          <w:sz w:val="28"/>
          <w:szCs w:val="28"/>
        </w:rPr>
        <w:t>卫生健康支出</w:t>
      </w:r>
      <w:r>
        <w:rPr>
          <w:rFonts w:hint="eastAsia" w:ascii="仿宋_GB2312" w:hAnsi="Times New Roman" w:eastAsia="仿宋_GB2312" w:cs="Times New Roman"/>
          <w:sz w:val="28"/>
          <w:szCs w:val="28"/>
          <w:lang w:val="en-US" w:eastAsia="zh-CN"/>
        </w:rPr>
        <w:t>31.27万元，</w:t>
      </w:r>
      <w:r>
        <w:rPr>
          <w:rFonts w:hint="eastAsia" w:ascii="仿宋_GB2312" w:hAnsi="Times New Roman" w:eastAsia="仿宋_GB2312" w:cs="Times New Roman"/>
          <w:sz w:val="28"/>
          <w:szCs w:val="28"/>
        </w:rPr>
        <w:t>占本年财政拨款支出</w:t>
      </w:r>
      <w:r>
        <w:rPr>
          <w:rFonts w:hint="eastAsia" w:ascii="仿宋_GB2312" w:hAnsi="Times New Roman" w:eastAsia="仿宋_GB2312" w:cs="Times New Roman"/>
          <w:sz w:val="28"/>
          <w:szCs w:val="28"/>
          <w:lang w:val="en-US" w:eastAsia="zh-CN"/>
        </w:rPr>
        <w:t>1.68</w:t>
      </w:r>
      <w:r>
        <w:rPr>
          <w:rFonts w:hint="eastAsia" w:ascii="仿宋_GB2312" w:hAnsi="Times New Roman" w:eastAsia="仿宋_GB2312" w:cs="Times New Roman"/>
          <w:sz w:val="28"/>
          <w:szCs w:val="28"/>
        </w:rPr>
        <w:t>%</w:t>
      </w:r>
      <w:r>
        <w:rPr>
          <w:rFonts w:hint="eastAsia" w:ascii="仿宋_GB2312" w:hAnsi="Times New Roman" w:eastAsia="仿宋_GB2312" w:cs="Times New Roman"/>
          <w:sz w:val="28"/>
          <w:szCs w:val="28"/>
          <w:lang w:eastAsia="zh-CN"/>
        </w:rPr>
        <w:t>；</w:t>
      </w:r>
      <w:r>
        <w:rPr>
          <w:rFonts w:hint="eastAsia" w:ascii="仿宋_GB2312" w:hAnsi="Times New Roman" w:eastAsia="仿宋_GB2312" w:cs="Times New Roman"/>
          <w:sz w:val="28"/>
          <w:szCs w:val="28"/>
        </w:rPr>
        <w:t>住房保障支出</w:t>
      </w:r>
      <w:r>
        <w:rPr>
          <w:rFonts w:hint="eastAsia" w:ascii="仿宋_GB2312" w:hAnsi="Times New Roman" w:eastAsia="仿宋_GB2312" w:cs="Times New Roman"/>
          <w:sz w:val="28"/>
          <w:szCs w:val="28"/>
          <w:lang w:val="en-US" w:eastAsia="zh-CN"/>
        </w:rPr>
        <w:t>63.98万元，</w:t>
      </w:r>
      <w:r>
        <w:rPr>
          <w:rFonts w:hint="eastAsia" w:ascii="仿宋_GB2312" w:hAnsi="Times New Roman" w:eastAsia="仿宋_GB2312" w:cs="Times New Roman"/>
          <w:sz w:val="28"/>
          <w:szCs w:val="28"/>
        </w:rPr>
        <w:t>占本年财政拨款支出</w:t>
      </w:r>
      <w:r>
        <w:rPr>
          <w:rFonts w:hint="eastAsia" w:ascii="仿宋_GB2312" w:hAnsi="Times New Roman" w:eastAsia="仿宋_GB2312" w:cs="Times New Roman"/>
          <w:sz w:val="28"/>
          <w:szCs w:val="28"/>
          <w:lang w:val="en-US" w:eastAsia="zh-CN"/>
        </w:rPr>
        <w:t>3.42</w:t>
      </w:r>
      <w:r>
        <w:rPr>
          <w:rFonts w:hint="eastAsia" w:ascii="仿宋_GB2312" w:hAnsi="Times New Roman" w:eastAsia="仿宋_GB2312" w:cs="Times New Roman"/>
          <w:sz w:val="28"/>
          <w:szCs w:val="28"/>
        </w:rPr>
        <w:t>%</w:t>
      </w:r>
      <w:r>
        <w:rPr>
          <w:rFonts w:hint="eastAsia" w:ascii="仿宋_GB2312" w:hAnsi="Times New Roman" w:eastAsia="仿宋_GB2312" w:cs="Times New Roman"/>
          <w:sz w:val="28"/>
          <w:szCs w:val="28"/>
          <w:lang w:eastAsia="zh-CN"/>
        </w:rPr>
        <w:t>。</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（二）一般公共预算财政拨款支出决算具体情况</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lang w:val="en-US" w:eastAsia="zh-CN"/>
        </w:rPr>
        <w:t>1、文化旅游体育与传媒支出</w:t>
      </w:r>
      <w:r>
        <w:rPr>
          <w:rFonts w:hint="eastAsia" w:ascii="仿宋_GB2312" w:hAnsi="Times New Roman" w:eastAsia="仿宋_GB2312" w:cs="Times New Roman"/>
          <w:sz w:val="28"/>
          <w:szCs w:val="28"/>
        </w:rPr>
        <w:t>（类）</w:t>
      </w:r>
      <w:r>
        <w:rPr>
          <w:rFonts w:hint="eastAsia" w:ascii="仿宋_GB2312" w:eastAsia="仿宋_GB2312" w:cs="Times New Roman"/>
          <w:sz w:val="28"/>
          <w:szCs w:val="28"/>
          <w:lang w:val="en-US" w:eastAsia="zh-CN"/>
        </w:rPr>
        <w:t>2024年度年初预算438.5万元，2024年度决算1722.45，完成年初预算392.81%。</w:t>
      </w:r>
    </w:p>
    <w:p>
      <w:pPr>
        <w:tabs>
          <w:tab w:val="center" w:pos="6979"/>
        </w:tabs>
        <w:spacing w:line="580" w:lineRule="exact"/>
        <w:ind w:firstLine="570"/>
        <w:rPr>
          <w:rFonts w:hint="default" w:ascii="仿宋_GB2312" w:hAnsi="Times New Roman" w:eastAsia="仿宋_GB2312" w:cs="Times New Roman"/>
          <w:sz w:val="28"/>
          <w:szCs w:val="28"/>
          <w:lang w:val="en-US" w:eastAsia="zh-CN"/>
        </w:rPr>
      </w:pPr>
      <w:r>
        <w:rPr>
          <w:rFonts w:hint="eastAsia" w:ascii="仿宋_GB2312" w:eastAsia="仿宋_GB2312" w:cs="Times New Roman"/>
          <w:sz w:val="28"/>
          <w:szCs w:val="28"/>
          <w:lang w:val="en-US" w:eastAsia="zh-CN"/>
        </w:rPr>
        <w:t>“</w:t>
      </w:r>
      <w:r>
        <w:rPr>
          <w:rFonts w:hint="eastAsia" w:ascii="仿宋_GB2312" w:hAnsi="Times New Roman" w:eastAsia="仿宋_GB2312" w:cs="Times New Roman"/>
          <w:sz w:val="28"/>
          <w:szCs w:val="28"/>
          <w:lang w:val="en-US" w:eastAsia="zh-CN"/>
        </w:rPr>
        <w:t>文化和旅游（款）</w:t>
      </w:r>
      <w:r>
        <w:rPr>
          <w:rFonts w:hint="eastAsia" w:ascii="仿宋_GB2312" w:eastAsia="仿宋_GB2312" w:cs="Times New Roman"/>
          <w:sz w:val="28"/>
          <w:szCs w:val="28"/>
          <w:lang w:val="en-US" w:eastAsia="zh-CN"/>
        </w:rPr>
        <w:t>”2024年度年初预算438.5万元，2024年度决算1722.45，完成年初预算392.81%。主要原因：追加西城区实体书店、阅读空间经费。</w:t>
      </w:r>
    </w:p>
    <w:p>
      <w:pPr>
        <w:tabs>
          <w:tab w:val="center" w:pos="6979"/>
        </w:tabs>
        <w:spacing w:line="580" w:lineRule="exact"/>
        <w:ind w:firstLine="570"/>
        <w:rPr>
          <w:rFonts w:hint="default" w:ascii="仿宋_GB2312" w:hAnsi="Times New Roman" w:eastAsia="仿宋_GB2312" w:cs="Times New Roman"/>
          <w:sz w:val="28"/>
          <w:szCs w:val="28"/>
          <w:lang w:val="en-US" w:eastAsia="zh-CN"/>
        </w:rPr>
      </w:pPr>
      <w:r>
        <w:rPr>
          <w:rFonts w:hint="eastAsia" w:ascii="仿宋_GB2312" w:hAnsi="Times New Roman" w:eastAsia="仿宋_GB2312" w:cs="Times New Roman"/>
          <w:sz w:val="28"/>
          <w:szCs w:val="28"/>
          <w:lang w:val="en-US" w:eastAsia="zh-CN"/>
        </w:rPr>
        <w:t>2、</w:t>
      </w:r>
      <w:r>
        <w:rPr>
          <w:rFonts w:hint="eastAsia" w:ascii="仿宋_GB2312" w:hAnsi="Times New Roman" w:eastAsia="仿宋_GB2312" w:cs="Times New Roman"/>
          <w:sz w:val="28"/>
          <w:szCs w:val="28"/>
        </w:rPr>
        <w:t>社会保障和就业支出（类）</w:t>
      </w:r>
      <w:r>
        <w:rPr>
          <w:rFonts w:hint="eastAsia" w:ascii="仿宋_GB2312" w:eastAsia="仿宋_GB2312" w:cs="Times New Roman"/>
          <w:sz w:val="28"/>
          <w:szCs w:val="28"/>
          <w:lang w:val="en-US" w:eastAsia="zh-CN"/>
        </w:rPr>
        <w:t>2024年度年初预算48.72万元，2024年度决算48.12万元，完成年初预算98.77%。</w:t>
      </w:r>
    </w:p>
    <w:p>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cs="Times New Roman"/>
          <w:sz w:val="28"/>
          <w:szCs w:val="28"/>
          <w:lang w:eastAsia="zh-CN"/>
        </w:rPr>
        <w:t>“</w:t>
      </w:r>
      <w:r>
        <w:rPr>
          <w:rFonts w:hint="eastAsia" w:ascii="仿宋_GB2312" w:hAnsi="Times New Roman" w:eastAsia="仿宋_GB2312" w:cs="Times New Roman"/>
          <w:sz w:val="28"/>
          <w:szCs w:val="28"/>
        </w:rPr>
        <w:t>行政事业单位养老支出（款）</w:t>
      </w:r>
      <w:r>
        <w:rPr>
          <w:rFonts w:hint="eastAsia" w:ascii="仿宋_GB2312" w:eastAsia="仿宋_GB2312" w:cs="Times New Roman"/>
          <w:sz w:val="28"/>
          <w:szCs w:val="28"/>
          <w:lang w:eastAsia="zh-CN"/>
        </w:rPr>
        <w:t>”</w:t>
      </w:r>
      <w:r>
        <w:rPr>
          <w:rFonts w:hint="eastAsia" w:ascii="仿宋_GB2312" w:eastAsia="仿宋_GB2312" w:cs="Times New Roman"/>
          <w:sz w:val="28"/>
          <w:szCs w:val="28"/>
          <w:lang w:val="en-US" w:eastAsia="zh-CN"/>
        </w:rPr>
        <w:t>2024年度年初预算48.72万元，2024年度决算48.12万元，完成年初预算98.77%。主要原因：社保费基数调整。</w:t>
      </w:r>
    </w:p>
    <w:p>
      <w:pPr>
        <w:tabs>
          <w:tab w:val="center" w:pos="6979"/>
        </w:tabs>
        <w:spacing w:line="580" w:lineRule="exact"/>
        <w:ind w:firstLine="570"/>
        <w:rPr>
          <w:rFonts w:hint="eastAsia" w:ascii="仿宋_GB2312" w:hAnsi="Times New Roman" w:eastAsia="仿宋_GB2312" w:cs="Times New Roman"/>
          <w:sz w:val="28"/>
          <w:szCs w:val="28"/>
          <w:lang w:val="en-US" w:eastAsia="zh-CN"/>
        </w:rPr>
      </w:pPr>
      <w:r>
        <w:rPr>
          <w:rFonts w:hint="eastAsia" w:ascii="仿宋_GB2312" w:eastAsia="仿宋_GB2312" w:cs="Times New Roman"/>
          <w:sz w:val="28"/>
          <w:szCs w:val="28"/>
          <w:lang w:val="en-US" w:eastAsia="zh-CN"/>
        </w:rPr>
        <w:t>3、</w:t>
      </w:r>
      <w:r>
        <w:rPr>
          <w:rFonts w:hint="eastAsia" w:ascii="仿宋_GB2312" w:hAnsi="Times New Roman" w:eastAsia="仿宋_GB2312" w:cs="Times New Roman"/>
          <w:sz w:val="28"/>
          <w:szCs w:val="28"/>
          <w:lang w:val="en-US" w:eastAsia="zh-CN"/>
        </w:rPr>
        <w:t>卫生健康支出（类）2024年度年初预算27.17万元，2024年度决算31.27万元，完成年初预算</w:t>
      </w:r>
      <w:r>
        <w:rPr>
          <w:rFonts w:hint="eastAsia" w:ascii="仿宋_GB2312" w:eastAsia="仿宋_GB2312" w:cs="Times New Roman"/>
          <w:sz w:val="28"/>
          <w:szCs w:val="28"/>
          <w:lang w:val="en-US" w:eastAsia="zh-CN"/>
        </w:rPr>
        <w:t>115.10</w:t>
      </w:r>
      <w:r>
        <w:rPr>
          <w:rFonts w:hint="eastAsia" w:ascii="仿宋_GB2312" w:hAnsi="Times New Roman" w:eastAsia="仿宋_GB2312" w:cs="Times New Roman"/>
          <w:sz w:val="28"/>
          <w:szCs w:val="28"/>
          <w:lang w:val="en-US" w:eastAsia="zh-CN"/>
        </w:rPr>
        <w:t>%。</w:t>
      </w:r>
    </w:p>
    <w:p>
      <w:pPr>
        <w:tabs>
          <w:tab w:val="center" w:pos="6979"/>
        </w:tabs>
        <w:spacing w:line="580" w:lineRule="exact"/>
        <w:ind w:firstLine="570"/>
        <w:rPr>
          <w:rFonts w:hint="eastAsia"/>
          <w:lang w:val="en-US" w:eastAsia="zh-CN"/>
        </w:rPr>
      </w:pPr>
      <w:r>
        <w:rPr>
          <w:rFonts w:hint="eastAsia" w:ascii="仿宋_GB2312" w:hAnsi="Times New Roman" w:eastAsia="仿宋_GB2312" w:cs="Times New Roman"/>
          <w:sz w:val="28"/>
          <w:szCs w:val="28"/>
          <w:lang w:val="en-US" w:eastAsia="zh-CN"/>
        </w:rPr>
        <w:t>“行政</w:t>
      </w:r>
      <w:r>
        <w:rPr>
          <w:rFonts w:hint="eastAsia" w:ascii="仿宋_GB2312" w:eastAsia="仿宋_GB2312"/>
          <w:sz w:val="28"/>
          <w:szCs w:val="28"/>
        </w:rPr>
        <w:t>事业</w:t>
      </w:r>
      <w:r>
        <w:rPr>
          <w:rFonts w:hint="eastAsia" w:ascii="仿宋_GB2312" w:eastAsia="仿宋_GB2312"/>
          <w:sz w:val="28"/>
          <w:szCs w:val="28"/>
          <w:lang w:val="en-US" w:eastAsia="zh-CN"/>
        </w:rPr>
        <w:t>医疗</w:t>
      </w:r>
      <w:r>
        <w:rPr>
          <w:rFonts w:hint="eastAsia" w:ascii="仿宋_GB2312" w:eastAsia="仿宋_GB2312"/>
          <w:sz w:val="28"/>
          <w:szCs w:val="28"/>
        </w:rPr>
        <w:t>（款）</w:t>
      </w:r>
      <w:r>
        <w:rPr>
          <w:rFonts w:hint="eastAsia" w:ascii="仿宋_GB2312" w:eastAsia="仿宋_GB2312"/>
          <w:sz w:val="28"/>
          <w:szCs w:val="28"/>
          <w:lang w:eastAsia="zh-CN"/>
        </w:rPr>
        <w:t>”</w:t>
      </w:r>
      <w:r>
        <w:rPr>
          <w:rFonts w:hint="eastAsia" w:ascii="仿宋_GB2312" w:eastAsia="仿宋_GB2312" w:cs="Times New Roman"/>
          <w:sz w:val="28"/>
          <w:szCs w:val="28"/>
          <w:lang w:val="en-US" w:eastAsia="zh-CN"/>
        </w:rPr>
        <w:t>2024年度年初预算27.17万元，2024年度决算31.27万元，完成年初预算115.10%。主要原因：社保费基数调整。</w:t>
      </w:r>
    </w:p>
    <w:p>
      <w:pPr>
        <w:numPr>
          <w:ilvl w:val="0"/>
          <w:numId w:val="1"/>
        </w:numPr>
        <w:spacing w:line="580" w:lineRule="exact"/>
        <w:ind w:firstLine="560" w:firstLineChars="200"/>
        <w:outlineLvl w:val="1"/>
        <w:rPr>
          <w:rFonts w:hint="eastAsia" w:ascii="仿宋_GB2312" w:eastAsia="仿宋_GB2312"/>
          <w:sz w:val="28"/>
          <w:szCs w:val="28"/>
        </w:rPr>
      </w:pPr>
      <w:r>
        <w:rPr>
          <w:rFonts w:hint="eastAsia" w:ascii="仿宋_GB2312" w:eastAsia="仿宋_GB2312"/>
          <w:sz w:val="28"/>
          <w:szCs w:val="28"/>
          <w:lang w:val="en-US" w:eastAsia="zh-CN"/>
        </w:rPr>
        <w:t>住房保障支出</w:t>
      </w:r>
      <w:r>
        <w:rPr>
          <w:rFonts w:hint="eastAsia" w:ascii="仿宋_GB2312" w:eastAsia="仿宋_GB2312"/>
          <w:sz w:val="28"/>
          <w:szCs w:val="28"/>
        </w:rPr>
        <w:t>（类）</w:t>
      </w:r>
      <w:r>
        <w:rPr>
          <w:rFonts w:hint="eastAsia" w:ascii="仿宋_GB2312" w:hAnsi="Times New Roman" w:eastAsia="仿宋_GB2312" w:cs="Times New Roman"/>
          <w:sz w:val="28"/>
          <w:szCs w:val="28"/>
          <w:lang w:val="en-US" w:eastAsia="zh-CN"/>
        </w:rPr>
        <w:t>2024年度年初预算</w:t>
      </w:r>
      <w:r>
        <w:rPr>
          <w:rFonts w:hint="eastAsia" w:ascii="仿宋_GB2312" w:eastAsia="仿宋_GB2312" w:cs="Times New Roman"/>
          <w:sz w:val="28"/>
          <w:szCs w:val="28"/>
          <w:lang w:val="en-US" w:eastAsia="zh-CN"/>
        </w:rPr>
        <w:t>56.44</w:t>
      </w:r>
      <w:r>
        <w:rPr>
          <w:rFonts w:hint="eastAsia" w:ascii="仿宋_GB2312" w:hAnsi="Times New Roman" w:eastAsia="仿宋_GB2312" w:cs="Times New Roman"/>
          <w:sz w:val="28"/>
          <w:szCs w:val="28"/>
          <w:lang w:val="en-US" w:eastAsia="zh-CN"/>
        </w:rPr>
        <w:t>万元，2024年度决算</w:t>
      </w:r>
      <w:r>
        <w:rPr>
          <w:rFonts w:hint="eastAsia" w:ascii="仿宋_GB2312" w:eastAsia="仿宋_GB2312" w:cs="Times New Roman"/>
          <w:sz w:val="28"/>
          <w:szCs w:val="28"/>
          <w:lang w:val="en-US" w:eastAsia="zh-CN"/>
        </w:rPr>
        <w:t>63.98</w:t>
      </w:r>
      <w:r>
        <w:rPr>
          <w:rFonts w:hint="eastAsia" w:ascii="仿宋_GB2312" w:hAnsi="Times New Roman" w:eastAsia="仿宋_GB2312" w:cs="Times New Roman"/>
          <w:sz w:val="28"/>
          <w:szCs w:val="28"/>
          <w:lang w:val="en-US" w:eastAsia="zh-CN"/>
        </w:rPr>
        <w:t>万元，完成年初预算</w:t>
      </w:r>
      <w:r>
        <w:rPr>
          <w:rFonts w:hint="eastAsia" w:ascii="仿宋_GB2312" w:eastAsia="仿宋_GB2312" w:cs="Times New Roman"/>
          <w:sz w:val="28"/>
          <w:szCs w:val="28"/>
          <w:lang w:val="en-US" w:eastAsia="zh-CN"/>
        </w:rPr>
        <w:t>113.36</w:t>
      </w:r>
      <w:r>
        <w:rPr>
          <w:rFonts w:hint="eastAsia" w:ascii="仿宋_GB2312" w:hAnsi="Times New Roman" w:eastAsia="仿宋_GB2312" w:cs="Times New Roman"/>
          <w:sz w:val="28"/>
          <w:szCs w:val="28"/>
          <w:lang w:val="en-US" w:eastAsia="zh-CN"/>
        </w:rPr>
        <w:t>%。</w:t>
      </w:r>
    </w:p>
    <w:p>
      <w:pPr>
        <w:numPr>
          <w:ilvl w:val="0"/>
          <w:numId w:val="0"/>
        </w:numPr>
        <w:spacing w:line="580" w:lineRule="exact"/>
        <w:ind w:firstLine="560" w:firstLineChars="200"/>
        <w:outlineLvl w:val="1"/>
        <w:rPr>
          <w:rFonts w:hint="default" w:ascii="仿宋_GB2312" w:eastAsia="仿宋_GB2312"/>
          <w:sz w:val="28"/>
          <w:szCs w:val="28"/>
          <w:lang w:val="en-US"/>
        </w:rPr>
      </w:pPr>
      <w:r>
        <w:rPr>
          <w:rFonts w:hint="eastAsia" w:ascii="仿宋_GB2312" w:eastAsia="仿宋_GB2312"/>
          <w:sz w:val="28"/>
          <w:szCs w:val="28"/>
          <w:lang w:val="en-US" w:eastAsia="zh-CN"/>
        </w:rPr>
        <w:t>“住房改革支出</w:t>
      </w:r>
      <w:r>
        <w:rPr>
          <w:rFonts w:hint="eastAsia" w:ascii="仿宋_GB2312" w:eastAsia="仿宋_GB2312"/>
          <w:sz w:val="28"/>
          <w:szCs w:val="28"/>
        </w:rPr>
        <w:t>（款）</w:t>
      </w:r>
      <w:r>
        <w:rPr>
          <w:rFonts w:hint="eastAsia" w:ascii="仿宋_GB2312" w:eastAsia="仿宋_GB2312"/>
          <w:sz w:val="28"/>
          <w:szCs w:val="28"/>
          <w:lang w:val="en-US" w:eastAsia="zh-CN"/>
        </w:rPr>
        <w:t>”</w:t>
      </w:r>
      <w:r>
        <w:rPr>
          <w:rFonts w:hint="eastAsia" w:ascii="仿宋_GB2312" w:hAnsi="Times New Roman" w:eastAsia="仿宋_GB2312" w:cs="Times New Roman"/>
          <w:sz w:val="28"/>
          <w:szCs w:val="28"/>
          <w:lang w:val="en-US" w:eastAsia="zh-CN"/>
        </w:rPr>
        <w:t>2024年度年初预算</w:t>
      </w:r>
      <w:r>
        <w:rPr>
          <w:rFonts w:hint="eastAsia" w:ascii="仿宋_GB2312" w:eastAsia="仿宋_GB2312" w:cs="Times New Roman"/>
          <w:sz w:val="28"/>
          <w:szCs w:val="28"/>
          <w:lang w:val="en-US" w:eastAsia="zh-CN"/>
        </w:rPr>
        <w:t>56.44</w:t>
      </w:r>
      <w:r>
        <w:rPr>
          <w:rFonts w:hint="eastAsia" w:ascii="仿宋_GB2312" w:hAnsi="Times New Roman" w:eastAsia="仿宋_GB2312" w:cs="Times New Roman"/>
          <w:sz w:val="28"/>
          <w:szCs w:val="28"/>
          <w:lang w:val="en-US" w:eastAsia="zh-CN"/>
        </w:rPr>
        <w:t>万元，2024年度决算</w:t>
      </w:r>
      <w:r>
        <w:rPr>
          <w:rFonts w:hint="eastAsia" w:ascii="仿宋_GB2312" w:eastAsia="仿宋_GB2312" w:cs="Times New Roman"/>
          <w:sz w:val="28"/>
          <w:szCs w:val="28"/>
          <w:lang w:val="en-US" w:eastAsia="zh-CN"/>
        </w:rPr>
        <w:t>63.98</w:t>
      </w:r>
      <w:r>
        <w:rPr>
          <w:rFonts w:hint="eastAsia" w:ascii="仿宋_GB2312" w:hAnsi="Times New Roman" w:eastAsia="仿宋_GB2312" w:cs="Times New Roman"/>
          <w:sz w:val="28"/>
          <w:szCs w:val="28"/>
          <w:lang w:val="en-US" w:eastAsia="zh-CN"/>
        </w:rPr>
        <w:t>万元，完成年初预算</w:t>
      </w:r>
      <w:r>
        <w:rPr>
          <w:rFonts w:hint="eastAsia" w:ascii="仿宋_GB2312" w:eastAsia="仿宋_GB2312" w:cs="Times New Roman"/>
          <w:sz w:val="28"/>
          <w:szCs w:val="28"/>
          <w:lang w:val="en-US" w:eastAsia="zh-CN"/>
        </w:rPr>
        <w:t>113.36</w:t>
      </w:r>
      <w:r>
        <w:rPr>
          <w:rFonts w:hint="eastAsia" w:ascii="仿宋_GB2312" w:hAnsi="Times New Roman" w:eastAsia="仿宋_GB2312" w:cs="Times New Roman"/>
          <w:sz w:val="28"/>
          <w:szCs w:val="28"/>
          <w:lang w:val="en-US" w:eastAsia="zh-CN"/>
        </w:rPr>
        <w:t>%。</w:t>
      </w:r>
      <w:r>
        <w:rPr>
          <w:rFonts w:hint="eastAsia" w:ascii="仿宋_GB2312" w:eastAsia="仿宋_GB2312" w:cs="Times New Roman"/>
          <w:sz w:val="28"/>
          <w:szCs w:val="28"/>
          <w:lang w:val="en-US" w:eastAsia="zh-CN"/>
        </w:rPr>
        <w:t>主要原因：公招一名员工。</w:t>
      </w:r>
    </w:p>
    <w:p>
      <w:pPr>
        <w:spacing w:line="580" w:lineRule="exact"/>
        <w:ind w:firstLine="560" w:firstLineChars="200"/>
        <w:rPr>
          <w:rFonts w:ascii="仿宋_GB2312" w:eastAsia="仿宋_GB2312"/>
          <w:sz w:val="28"/>
          <w:szCs w:val="28"/>
        </w:rPr>
      </w:pPr>
      <w:r>
        <w:rPr>
          <w:rFonts w:hint="eastAsia" w:ascii="黑体" w:eastAsia="黑体"/>
          <w:b/>
          <w:sz w:val="28"/>
          <w:szCs w:val="28"/>
        </w:rPr>
        <w:t>五、政府性基金预算财政拨款支出决算情况说明</w:t>
      </w:r>
      <w:bookmarkStart w:id="0" w:name="_GoBack"/>
      <w:bookmarkEnd w:id="0"/>
    </w:p>
    <w:p>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（一）政府性基金预算财政拨款支出决算总体情况</w:t>
      </w:r>
    </w:p>
    <w:p>
      <w:pPr>
        <w:tabs>
          <w:tab w:val="center" w:pos="6979"/>
        </w:tabs>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lang w:eastAsia="zh-CN"/>
        </w:rPr>
        <w:t>2024</w:t>
      </w:r>
      <w:r>
        <w:rPr>
          <w:rFonts w:hint="eastAsia" w:ascii="仿宋_GB2312" w:eastAsia="仿宋_GB2312"/>
          <w:sz w:val="28"/>
          <w:szCs w:val="28"/>
        </w:rPr>
        <w:t>年度政府性基金预算财政拨款支出</w:t>
      </w:r>
      <w:r>
        <w:rPr>
          <w:rFonts w:ascii="仿宋_GB2312" w:eastAsia="仿宋_GB2312"/>
          <w:sz w:val="28"/>
          <w:szCs w:val="28"/>
        </w:rPr>
        <w:t>0</w:t>
      </w:r>
      <w:r>
        <w:rPr>
          <w:rFonts w:hint="eastAsia" w:ascii="仿宋_GB2312" w:eastAsia="仿宋_GB2312"/>
          <w:sz w:val="28"/>
          <w:szCs w:val="28"/>
        </w:rPr>
        <w:t>万元</w:t>
      </w:r>
      <w:r>
        <w:rPr>
          <w:rFonts w:hint="eastAsia" w:ascii="仿宋_GB2312" w:eastAsia="仿宋_GB2312"/>
          <w:sz w:val="28"/>
          <w:szCs w:val="28"/>
          <w:lang w:eastAsia="zh-CN"/>
        </w:rPr>
        <w:t>。</w:t>
      </w:r>
    </w:p>
    <w:p>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（二）政府性基金预算财政拨款支出决算具体情况</w:t>
      </w:r>
    </w:p>
    <w:p>
      <w:pPr>
        <w:autoSpaceDE w:val="0"/>
        <w:autoSpaceDN w:val="0"/>
        <w:adjustRightInd w:val="0"/>
        <w:spacing w:line="580" w:lineRule="exact"/>
        <w:ind w:firstLine="700" w:firstLineChars="250"/>
        <w:jc w:val="left"/>
        <w:rPr>
          <w:rFonts w:hint="default" w:ascii="仿宋_GB2312" w:eastAsia="仿宋_GB2312"/>
          <w:sz w:val="28"/>
          <w:szCs w:val="28"/>
          <w:lang w:val="en-US" w:eastAsia="zh-CN"/>
        </w:rPr>
      </w:pPr>
      <w:r>
        <w:rPr>
          <w:rFonts w:hint="eastAsia" w:ascii="仿宋_GB2312" w:eastAsia="仿宋_GB2312"/>
          <w:sz w:val="28"/>
          <w:szCs w:val="28"/>
          <w:lang w:val="en-US" w:eastAsia="zh-CN"/>
        </w:rPr>
        <w:t>无此项支出</w:t>
      </w:r>
    </w:p>
    <w:p>
      <w:pPr>
        <w:spacing w:line="580" w:lineRule="exact"/>
        <w:ind w:firstLine="560" w:firstLineChars="200"/>
        <w:rPr>
          <w:rFonts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pPr>
        <w:ind w:firstLine="537" w:firstLineChars="192"/>
        <w:rPr>
          <w:rFonts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年度国有资本经营预算财政</w:t>
      </w:r>
      <w:r>
        <w:rPr>
          <w:rFonts w:ascii="仿宋_GB2312" w:eastAsia="仿宋_GB2312"/>
          <w:sz w:val="28"/>
          <w:szCs w:val="28"/>
        </w:rPr>
        <w:t>拨款</w:t>
      </w:r>
      <w:r>
        <w:rPr>
          <w:rFonts w:hint="eastAsia" w:ascii="仿宋_GB2312" w:eastAsia="仿宋_GB2312"/>
          <w:sz w:val="28"/>
          <w:szCs w:val="28"/>
        </w:rPr>
        <w:t>收入总</w:t>
      </w:r>
      <w:r>
        <w:rPr>
          <w:rFonts w:ascii="仿宋_GB2312" w:eastAsia="仿宋_GB2312"/>
          <w:sz w:val="28"/>
          <w:szCs w:val="28"/>
        </w:rPr>
        <w:t>计0</w:t>
      </w:r>
      <w:r>
        <w:rPr>
          <w:rFonts w:hint="eastAsia" w:ascii="仿宋_GB2312" w:eastAsia="仿宋_GB2312"/>
          <w:sz w:val="28"/>
          <w:szCs w:val="28"/>
        </w:rPr>
        <w:t>万元，国有资本经营预算财政</w:t>
      </w:r>
      <w:r>
        <w:rPr>
          <w:rFonts w:ascii="仿宋_GB2312" w:eastAsia="仿宋_GB2312"/>
          <w:sz w:val="28"/>
          <w:szCs w:val="28"/>
        </w:rPr>
        <w:t>拨款</w:t>
      </w:r>
      <w:r>
        <w:rPr>
          <w:rFonts w:hint="eastAsia" w:ascii="仿宋_GB2312" w:eastAsia="仿宋_GB2312"/>
          <w:sz w:val="28"/>
          <w:szCs w:val="28"/>
        </w:rPr>
        <w:t>支出总</w:t>
      </w:r>
      <w:r>
        <w:rPr>
          <w:rFonts w:ascii="仿宋_GB2312" w:eastAsia="仿宋_GB2312"/>
          <w:sz w:val="28"/>
          <w:szCs w:val="28"/>
        </w:rPr>
        <w:t>计0</w:t>
      </w:r>
      <w:r>
        <w:rPr>
          <w:rFonts w:hint="eastAsia" w:ascii="仿宋_GB2312" w:eastAsia="仿宋_GB2312"/>
          <w:sz w:val="28"/>
          <w:szCs w:val="28"/>
        </w:rPr>
        <w:t>万元。</w:t>
      </w:r>
    </w:p>
    <w:p>
      <w:pPr>
        <w:spacing w:line="580" w:lineRule="exact"/>
        <w:ind w:firstLine="548" w:firstLineChars="196"/>
        <w:rPr>
          <w:rFonts w:ascii="黑体" w:eastAsia="黑体"/>
          <w:sz w:val="28"/>
          <w:szCs w:val="28"/>
        </w:rPr>
      </w:pPr>
      <w:r>
        <w:rPr>
          <w:rFonts w:hint="eastAsia" w:ascii="黑体" w:eastAsia="黑体"/>
          <w:b/>
          <w:sz w:val="28"/>
          <w:szCs w:val="28"/>
        </w:rPr>
        <w:t>七、财政拨款基本支出决算情况说明</w:t>
      </w:r>
    </w:p>
    <w:p>
      <w:pPr>
        <w:tabs>
          <w:tab w:val="center" w:pos="6979"/>
        </w:tabs>
        <w:spacing w:line="580" w:lineRule="exact"/>
        <w:ind w:firstLine="548" w:firstLineChars="196"/>
        <w:rPr>
          <w:rFonts w:ascii="黑体" w:eastAsia="黑体"/>
          <w:b/>
          <w:sz w:val="28"/>
          <w:szCs w:val="28"/>
        </w:rPr>
      </w:pPr>
      <w:r>
        <w:rPr>
          <w:rFonts w:hint="eastAsia" w:ascii="仿宋_GB2312" w:eastAsia="仿宋_GB2312"/>
          <w:sz w:val="28"/>
          <w:szCs w:val="28"/>
          <w:lang w:eastAsia="zh-CN"/>
        </w:rPr>
        <w:t>2024</w:t>
      </w:r>
      <w:r>
        <w:rPr>
          <w:rFonts w:hint="eastAsia" w:ascii="仿宋_GB2312" w:eastAsia="仿宋_GB2312"/>
          <w:sz w:val="28"/>
          <w:szCs w:val="28"/>
        </w:rPr>
        <w:t>年度使用一般公共预算财政拨款安排基本支出出</w:t>
      </w:r>
      <w:r>
        <w:rPr>
          <w:rFonts w:ascii="仿宋_GB2312" w:eastAsia="仿宋_GB2312"/>
          <w:sz w:val="28"/>
          <w:szCs w:val="28"/>
        </w:rPr>
        <w:t>438.93</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万元，其中：（1）工资福利支出包括基本工资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pPr>
        <w:autoSpaceDE w:val="0"/>
        <w:autoSpaceDN w:val="0"/>
        <w:adjustRightInd w:val="0"/>
        <w:spacing w:line="580" w:lineRule="exact"/>
        <w:jc w:val="center"/>
        <w:rPr>
          <w:rFonts w:ascii="宋体" w:hAnsi="宋体" w:cs="宋体"/>
          <w:b/>
          <w:spacing w:val="40"/>
          <w:kern w:val="0"/>
          <w:sz w:val="32"/>
          <w:szCs w:val="32"/>
        </w:rPr>
      </w:pPr>
      <w:r>
        <w:rPr>
          <w:rFonts w:ascii="仿宋_GB2312" w:eastAsia="仿宋_GB2312"/>
          <w:sz w:val="28"/>
          <w:szCs w:val="28"/>
        </w:rPr>
        <w:br w:type="page"/>
      </w:r>
      <w:r>
        <w:rPr>
          <w:rFonts w:hint="eastAsia" w:ascii="宋体" w:hAnsi="宋体" w:cs="宋体"/>
          <w:b/>
          <w:bCs/>
          <w:spacing w:val="40"/>
          <w:kern w:val="0"/>
          <w:sz w:val="32"/>
          <w:szCs w:val="32"/>
        </w:rPr>
        <w:t>第三部分</w:t>
      </w:r>
      <w:r>
        <w:rPr>
          <w:rFonts w:hint="eastAsia" w:ascii="宋体" w:hAnsi="宋体"/>
          <w:b/>
          <w:spacing w:val="40"/>
          <w:sz w:val="32"/>
          <w:szCs w:val="32"/>
          <w:lang w:eastAsia="zh-CN"/>
        </w:rPr>
        <w:t>2024</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pPr>
        <w:spacing w:line="560" w:lineRule="exact"/>
        <w:ind w:firstLine="560" w:firstLineChars="200"/>
        <w:rPr>
          <w:rFonts w:ascii="黑体" w:eastAsia="黑体"/>
          <w:sz w:val="28"/>
          <w:szCs w:val="28"/>
        </w:rPr>
      </w:pPr>
      <w:r>
        <w:rPr>
          <w:rFonts w:hint="eastAsia" w:ascii="黑体" w:eastAsia="黑体"/>
          <w:sz w:val="28"/>
          <w:szCs w:val="28"/>
        </w:rPr>
        <w:t>一、“三公”经费财政拨款决算情况</w:t>
      </w:r>
    </w:p>
    <w:p>
      <w:pPr>
        <w:spacing w:line="560" w:lineRule="exact"/>
        <w:ind w:firstLine="600"/>
        <w:rPr>
          <w:rFonts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年度“三公”经费财政拨款决算数</w:t>
      </w:r>
      <w:r>
        <w:rPr>
          <w:rFonts w:ascii="仿宋_GB2312" w:eastAsia="仿宋_GB2312"/>
          <w:sz w:val="28"/>
          <w:szCs w:val="28"/>
        </w:rPr>
        <w:t>0</w:t>
      </w:r>
      <w:r>
        <w:rPr>
          <w:rFonts w:hint="eastAsia" w:ascii="仿宋_GB2312" w:eastAsia="仿宋_GB2312"/>
          <w:sz w:val="28"/>
          <w:szCs w:val="28"/>
        </w:rPr>
        <w:t>万元，比</w:t>
      </w:r>
      <w:r>
        <w:rPr>
          <w:rFonts w:hint="eastAsia" w:ascii="仿宋_GB2312" w:eastAsia="仿宋_GB2312"/>
          <w:sz w:val="28"/>
          <w:szCs w:val="28"/>
          <w:lang w:eastAsia="zh-CN"/>
        </w:rPr>
        <w:t>2024</w:t>
      </w:r>
      <w:r>
        <w:rPr>
          <w:rFonts w:hint="eastAsia" w:ascii="仿宋_GB2312" w:eastAsia="仿宋_GB2312"/>
          <w:sz w:val="28"/>
          <w:szCs w:val="28"/>
        </w:rPr>
        <w:t>年度“三公”经费财政拨款年初预算</w:t>
      </w:r>
      <w:r>
        <w:rPr>
          <w:rFonts w:ascii="仿宋_GB2312" w:eastAsia="仿宋_GB2312"/>
          <w:sz w:val="28"/>
          <w:szCs w:val="28"/>
        </w:rPr>
        <w:t>0.17</w:t>
      </w:r>
      <w:r>
        <w:rPr>
          <w:rFonts w:hint="eastAsia" w:ascii="仿宋_GB2312" w:eastAsia="仿宋_GB2312"/>
          <w:sz w:val="28"/>
          <w:szCs w:val="28"/>
        </w:rPr>
        <w:t>万元减少</w:t>
      </w:r>
      <w:r>
        <w:rPr>
          <w:rFonts w:ascii="仿宋_GB2312" w:eastAsia="仿宋_GB2312"/>
          <w:sz w:val="28"/>
          <w:szCs w:val="28"/>
        </w:rPr>
        <w:t>0.17</w:t>
      </w:r>
      <w:r>
        <w:rPr>
          <w:rFonts w:hint="eastAsia" w:ascii="仿宋_GB2312" w:eastAsia="仿宋_GB2312"/>
          <w:sz w:val="28"/>
          <w:szCs w:val="28"/>
        </w:rPr>
        <w:t>万元。其中：</w:t>
      </w:r>
    </w:p>
    <w:p>
      <w:pPr>
        <w:spacing w:line="560" w:lineRule="exact"/>
        <w:ind w:firstLine="600"/>
        <w:rPr>
          <w:rFonts w:hint="eastAsia" w:ascii="仿宋_GB2312" w:eastAsia="仿宋_GB2312"/>
          <w:sz w:val="28"/>
          <w:szCs w:val="28"/>
        </w:rPr>
      </w:pPr>
      <w:r>
        <w:rPr>
          <w:rFonts w:hint="eastAsia" w:ascii="仿宋_GB2312" w:eastAsia="仿宋_GB2312"/>
          <w:sz w:val="28"/>
          <w:szCs w:val="28"/>
        </w:rPr>
        <w:t>1.因公出国（境）费用。202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0</w:t>
      </w:r>
      <w:r>
        <w:rPr>
          <w:rFonts w:hint="eastAsia" w:ascii="仿宋_GB2312" w:eastAsia="仿宋_GB2312"/>
          <w:sz w:val="28"/>
          <w:szCs w:val="28"/>
        </w:rPr>
        <w:t>万元增加（减少）</w:t>
      </w:r>
      <w:r>
        <w:rPr>
          <w:rFonts w:ascii="仿宋_GB2312" w:eastAsia="仿宋_GB2312"/>
          <w:sz w:val="28"/>
          <w:szCs w:val="28"/>
        </w:rPr>
        <w:t>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年度组织因公出国（境）团组</w:t>
      </w:r>
      <w:r>
        <w:rPr>
          <w:rFonts w:hint="eastAsia" w:ascii="仿宋_GB2312" w:eastAsia="仿宋_GB2312"/>
          <w:sz w:val="28"/>
          <w:szCs w:val="28"/>
          <w:lang w:eastAsia="zh-CN"/>
        </w:rPr>
        <w:t>0</w:t>
      </w:r>
      <w:r>
        <w:rPr>
          <w:rFonts w:hint="eastAsia" w:ascii="仿宋_GB2312" w:eastAsia="仿宋_GB2312"/>
          <w:sz w:val="28"/>
          <w:szCs w:val="28"/>
        </w:rPr>
        <w:t>个、</w:t>
      </w:r>
      <w:r>
        <w:rPr>
          <w:rFonts w:hint="eastAsia" w:ascii="仿宋_GB2312" w:eastAsia="仿宋_GB2312"/>
          <w:sz w:val="28"/>
          <w:szCs w:val="28"/>
          <w:lang w:eastAsia="zh-CN"/>
        </w:rPr>
        <w:t>0</w:t>
      </w:r>
      <w:r>
        <w:rPr>
          <w:rFonts w:hint="eastAsia" w:ascii="仿宋_GB2312" w:eastAsia="仿宋_GB2312"/>
          <w:sz w:val="28"/>
          <w:szCs w:val="28"/>
        </w:rPr>
        <w:t>人次，人均因公出国（境）费用</w:t>
      </w:r>
      <w:r>
        <w:rPr>
          <w:rFonts w:ascii="仿宋_GB2312" w:eastAsia="仿宋_GB2312"/>
          <w:sz w:val="28"/>
          <w:szCs w:val="28"/>
        </w:rPr>
        <w:t>0</w:t>
      </w:r>
      <w:r>
        <w:rPr>
          <w:rFonts w:hint="eastAsia" w:ascii="仿宋_GB2312" w:eastAsia="仿宋_GB2312"/>
          <w:sz w:val="28"/>
          <w:szCs w:val="28"/>
        </w:rPr>
        <w:t>万元。</w:t>
      </w:r>
    </w:p>
    <w:p>
      <w:pPr>
        <w:spacing w:line="560" w:lineRule="exact"/>
        <w:ind w:firstLine="600"/>
        <w:rPr>
          <w:rFonts w:hint="eastAsia" w:ascii="仿宋_GB2312" w:eastAsia="仿宋_GB2312"/>
          <w:sz w:val="28"/>
          <w:szCs w:val="28"/>
        </w:rPr>
      </w:pPr>
      <w:r>
        <w:rPr>
          <w:rFonts w:hint="eastAsia" w:ascii="仿宋_GB2312" w:eastAsia="仿宋_GB2312"/>
          <w:sz w:val="28"/>
          <w:szCs w:val="28"/>
        </w:rPr>
        <w:t>2.公务接待费。202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0.17</w:t>
      </w:r>
      <w:r>
        <w:rPr>
          <w:rFonts w:hint="eastAsia" w:ascii="仿宋_GB2312" w:eastAsia="仿宋_GB2312"/>
          <w:sz w:val="28"/>
          <w:szCs w:val="28"/>
        </w:rPr>
        <w:t>万元减少</w:t>
      </w:r>
      <w:r>
        <w:rPr>
          <w:rFonts w:ascii="仿宋_GB2312" w:eastAsia="仿宋_GB2312"/>
          <w:sz w:val="28"/>
          <w:szCs w:val="28"/>
        </w:rPr>
        <w:t>0.17</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年度公务接待费公务接待</w:t>
      </w:r>
      <w:r>
        <w:rPr>
          <w:rFonts w:hint="eastAsia" w:ascii="仿宋_GB2312" w:eastAsia="仿宋_GB2312"/>
          <w:sz w:val="28"/>
          <w:szCs w:val="28"/>
          <w:lang w:eastAsia="zh-CN"/>
        </w:rPr>
        <w:t>0</w:t>
      </w:r>
      <w:r>
        <w:rPr>
          <w:rFonts w:hint="eastAsia" w:ascii="仿宋_GB2312" w:eastAsia="仿宋_GB2312"/>
          <w:sz w:val="28"/>
          <w:szCs w:val="28"/>
        </w:rPr>
        <w:t>批次，公务接待</w:t>
      </w:r>
      <w:r>
        <w:rPr>
          <w:rFonts w:hint="eastAsia" w:ascii="仿宋_GB2312" w:eastAsia="仿宋_GB2312"/>
          <w:sz w:val="28"/>
          <w:szCs w:val="28"/>
          <w:lang w:eastAsia="zh-CN"/>
        </w:rPr>
        <w:t>0</w:t>
      </w:r>
      <w:r>
        <w:rPr>
          <w:rFonts w:hint="eastAsia" w:ascii="仿宋_GB2312" w:eastAsia="仿宋_GB2312"/>
          <w:sz w:val="28"/>
          <w:szCs w:val="28"/>
        </w:rPr>
        <w:t>人次。</w:t>
      </w:r>
    </w:p>
    <w:p>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3.公务用车购置及运行维护费。202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0</w:t>
      </w:r>
      <w:r>
        <w:rPr>
          <w:rFonts w:hint="eastAsia" w:ascii="仿宋_GB2312" w:eastAsia="仿宋_GB2312"/>
          <w:sz w:val="28"/>
          <w:szCs w:val="28"/>
        </w:rPr>
        <w:t>万元增加（减少）</w:t>
      </w:r>
      <w:r>
        <w:rPr>
          <w:rFonts w:ascii="仿宋_GB2312" w:eastAsia="仿宋_GB2312"/>
          <w:sz w:val="28"/>
          <w:szCs w:val="28"/>
        </w:rPr>
        <w:t>0</w:t>
      </w:r>
      <w:r>
        <w:rPr>
          <w:rFonts w:hint="eastAsia" w:ascii="仿宋_GB2312" w:eastAsia="仿宋_GB2312"/>
          <w:sz w:val="28"/>
          <w:szCs w:val="28"/>
        </w:rPr>
        <w:t>万元。</w:t>
      </w:r>
    </w:p>
    <w:p>
      <w:pPr>
        <w:spacing w:line="560" w:lineRule="exact"/>
        <w:ind w:firstLine="560" w:firstLineChars="200"/>
        <w:rPr>
          <w:rFonts w:ascii="仿宋_GB2312" w:eastAsia="仿宋_GB2312"/>
          <w:sz w:val="28"/>
          <w:szCs w:val="28"/>
        </w:rPr>
      </w:pPr>
      <w:r>
        <w:rPr>
          <w:rFonts w:hint="eastAsia" w:ascii="仿宋_GB2312" w:eastAsia="仿宋_GB2312"/>
          <w:sz w:val="28"/>
          <w:szCs w:val="28"/>
        </w:rPr>
        <w:t>其中，公务用车购置费202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hint="eastAsia" w:ascii="仿宋_GB2312" w:eastAsia="仿宋_GB2312"/>
          <w:sz w:val="28"/>
          <w:szCs w:val="28"/>
          <w:lang w:val="en-US" w:eastAsia="zh-CN"/>
        </w:rPr>
        <w:t>0</w:t>
      </w:r>
      <w:r>
        <w:rPr>
          <w:rFonts w:hint="eastAsia" w:ascii="仿宋_GB2312" w:eastAsia="仿宋_GB2312"/>
          <w:sz w:val="28"/>
          <w:szCs w:val="28"/>
        </w:rPr>
        <w:t>万元增加（减少）</w:t>
      </w:r>
      <w:r>
        <w:rPr>
          <w:rFonts w:ascii="仿宋_GB2312" w:eastAsia="仿宋_GB2312"/>
          <w:sz w:val="28"/>
          <w:szCs w:val="28"/>
        </w:rPr>
        <w:t>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年度购置（更新）</w:t>
      </w:r>
      <w:r>
        <w:rPr>
          <w:rFonts w:hint="eastAsia" w:ascii="仿宋_GB2312" w:eastAsia="仿宋_GB2312"/>
          <w:sz w:val="28"/>
          <w:szCs w:val="28"/>
          <w:lang w:eastAsia="zh-CN"/>
        </w:rPr>
        <w:t>0</w:t>
      </w:r>
      <w:r>
        <w:rPr>
          <w:rFonts w:hint="eastAsia" w:ascii="仿宋_GB2312" w:eastAsia="仿宋_GB2312"/>
          <w:sz w:val="28"/>
          <w:szCs w:val="28"/>
        </w:rPr>
        <w:t>辆，车均购置费</w:t>
      </w:r>
      <w:r>
        <w:rPr>
          <w:rFonts w:ascii="仿宋_GB2312" w:eastAsia="仿宋_GB2312"/>
          <w:sz w:val="28"/>
          <w:szCs w:val="28"/>
        </w:rPr>
        <w:t>0</w:t>
      </w:r>
      <w:r>
        <w:rPr>
          <w:rFonts w:hint="eastAsia" w:ascii="仿宋_GB2312" w:eastAsia="仿宋_GB2312"/>
          <w:sz w:val="28"/>
          <w:szCs w:val="28"/>
        </w:rPr>
        <w:t>万元。公务用车运行维护费202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hint="eastAsia" w:ascii="仿宋_GB2312" w:eastAsia="仿宋_GB2312"/>
          <w:sz w:val="28"/>
          <w:szCs w:val="28"/>
          <w:lang w:val="en-US" w:eastAsia="zh-CN"/>
        </w:rPr>
        <w:t>0</w:t>
      </w:r>
      <w:r>
        <w:rPr>
          <w:rFonts w:hint="eastAsia" w:ascii="仿宋_GB2312" w:eastAsia="仿宋_GB2312"/>
          <w:sz w:val="28"/>
          <w:szCs w:val="28"/>
        </w:rPr>
        <w:t>万元增加（减少）</w:t>
      </w:r>
      <w:r>
        <w:rPr>
          <w:rFonts w:ascii="仿宋_GB2312" w:eastAsia="仿宋_GB2312"/>
          <w:sz w:val="28"/>
          <w:szCs w:val="28"/>
        </w:rPr>
        <w:t>0</w:t>
      </w:r>
      <w:r>
        <w:rPr>
          <w:rFonts w:hint="eastAsia" w:ascii="仿宋_GB2312" w:eastAsia="仿宋_GB2312"/>
          <w:sz w:val="28"/>
          <w:szCs w:val="28"/>
        </w:rPr>
        <w:t>万元。</w:t>
      </w:r>
      <w:r>
        <w:rPr>
          <w:rFonts w:hint="eastAsia" w:ascii="仿宋_GB2312" w:eastAsia="仿宋_GB2312"/>
          <w:sz w:val="28"/>
          <w:szCs w:val="28"/>
          <w:lang w:eastAsia="zh-CN"/>
        </w:rPr>
        <w:t>2024</w:t>
      </w:r>
      <w:r>
        <w:rPr>
          <w:rFonts w:hint="eastAsia" w:ascii="仿宋_GB2312" w:eastAsia="仿宋_GB2312"/>
          <w:sz w:val="28"/>
          <w:szCs w:val="28"/>
        </w:rPr>
        <w:t>年度公务用车运行维护费中，公务用车加油</w:t>
      </w:r>
      <w:r>
        <w:rPr>
          <w:rFonts w:ascii="仿宋_GB2312" w:eastAsia="仿宋_GB2312"/>
          <w:sz w:val="28"/>
          <w:szCs w:val="28"/>
        </w:rPr>
        <w:t>0</w:t>
      </w:r>
      <w:r>
        <w:rPr>
          <w:rFonts w:hint="eastAsia" w:ascii="仿宋_GB2312" w:eastAsia="仿宋_GB2312"/>
          <w:sz w:val="28"/>
          <w:szCs w:val="28"/>
        </w:rPr>
        <w:t>万元，公务用车维修</w:t>
      </w:r>
      <w:r>
        <w:rPr>
          <w:rFonts w:ascii="仿宋_GB2312" w:eastAsia="仿宋_GB2312"/>
          <w:sz w:val="28"/>
          <w:szCs w:val="28"/>
        </w:rPr>
        <w:t>0</w:t>
      </w:r>
      <w:r>
        <w:rPr>
          <w:rFonts w:hint="eastAsia" w:ascii="仿宋_GB2312" w:eastAsia="仿宋_GB2312"/>
          <w:sz w:val="28"/>
          <w:szCs w:val="28"/>
        </w:rPr>
        <w:t>万元，公务用车保险</w:t>
      </w:r>
      <w:r>
        <w:rPr>
          <w:rFonts w:ascii="仿宋_GB2312" w:eastAsia="仿宋_GB2312"/>
          <w:sz w:val="28"/>
          <w:szCs w:val="28"/>
        </w:rPr>
        <w:t>0</w:t>
      </w:r>
      <w:r>
        <w:rPr>
          <w:rFonts w:hint="eastAsia" w:ascii="仿宋_GB2312" w:eastAsia="仿宋_GB2312"/>
          <w:sz w:val="28"/>
          <w:szCs w:val="28"/>
        </w:rPr>
        <w:t>万元，公务用车其他支出</w:t>
      </w:r>
      <w:r>
        <w:rPr>
          <w:rFonts w:ascii="仿宋_GB2312" w:eastAsia="仿宋_GB2312"/>
          <w:sz w:val="28"/>
          <w:szCs w:val="28"/>
        </w:rPr>
        <w:t>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年度公务用车保有量</w:t>
      </w:r>
      <w:r>
        <w:rPr>
          <w:rFonts w:ascii="仿宋_GB2312" w:eastAsia="仿宋_GB2312"/>
          <w:sz w:val="28"/>
          <w:szCs w:val="28"/>
        </w:rPr>
        <w:t>0</w:t>
      </w:r>
      <w:r>
        <w:rPr>
          <w:rFonts w:hint="eastAsia" w:ascii="仿宋_GB2312" w:eastAsia="仿宋_GB2312"/>
          <w:sz w:val="28"/>
          <w:szCs w:val="28"/>
        </w:rPr>
        <w:t>辆，车均运行维护费</w:t>
      </w:r>
      <w:r>
        <w:rPr>
          <w:rFonts w:ascii="仿宋_GB2312" w:eastAsia="仿宋_GB2312"/>
          <w:sz w:val="28"/>
          <w:szCs w:val="28"/>
        </w:rPr>
        <w:t>0</w:t>
      </w:r>
      <w:r>
        <w:rPr>
          <w:rFonts w:hint="eastAsia" w:ascii="仿宋_GB2312" w:eastAsia="仿宋_GB2312"/>
          <w:sz w:val="28"/>
          <w:szCs w:val="28"/>
        </w:rPr>
        <w:t>万元。</w:t>
      </w:r>
    </w:p>
    <w:p>
      <w:pPr>
        <w:tabs>
          <w:tab w:val="center" w:pos="6979"/>
        </w:tabs>
        <w:ind w:firstLine="554" w:firstLineChars="198"/>
        <w:rPr>
          <w:rFonts w:ascii="黑体" w:eastAsia="黑体"/>
          <w:sz w:val="28"/>
          <w:szCs w:val="28"/>
        </w:rPr>
      </w:pPr>
      <w:r>
        <w:rPr>
          <w:rFonts w:hint="eastAsia" w:ascii="黑体" w:eastAsia="黑体"/>
          <w:sz w:val="28"/>
          <w:szCs w:val="28"/>
        </w:rPr>
        <w:t>二、机关运行经费支出情况</w:t>
      </w:r>
    </w:p>
    <w:p>
      <w:pPr>
        <w:spacing w:line="560" w:lineRule="exact"/>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本单位为全额拨款事业单位，不属于机关运行经费支出统计范围。</w:t>
      </w:r>
    </w:p>
    <w:p>
      <w:pPr>
        <w:ind w:firstLine="537" w:firstLineChars="192"/>
        <w:rPr>
          <w:rFonts w:hint="eastAsia" w:ascii="仿宋_GB2312" w:eastAsia="仿宋_GB2312"/>
          <w:sz w:val="28"/>
          <w:szCs w:val="28"/>
          <w:lang w:eastAsia="zh-CN"/>
        </w:rPr>
      </w:pPr>
    </w:p>
    <w:p>
      <w:pPr>
        <w:ind w:left="540"/>
        <w:rPr>
          <w:rFonts w:ascii="黑体" w:eastAsia="黑体"/>
          <w:sz w:val="28"/>
          <w:szCs w:val="28"/>
        </w:rPr>
      </w:pPr>
      <w:r>
        <w:rPr>
          <w:rFonts w:hint="eastAsia" w:ascii="黑体" w:eastAsia="黑体"/>
          <w:sz w:val="28"/>
          <w:szCs w:val="28"/>
        </w:rPr>
        <w:t>三、政府采购支出情况</w:t>
      </w:r>
    </w:p>
    <w:p>
      <w:pPr>
        <w:ind w:firstLine="560" w:firstLineChars="200"/>
        <w:jc w:val="both"/>
        <w:rPr>
          <w:rFonts w:hint="eastAsia" w:ascii="仿宋_GB2312" w:eastAsia="仿宋_GB2312"/>
          <w:sz w:val="28"/>
          <w:szCs w:val="28"/>
          <w:highlight w:val="yellow"/>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年度政府采购支出总额</w:t>
      </w:r>
      <w:r>
        <w:rPr>
          <w:rFonts w:ascii="仿宋_GB2312" w:eastAsia="仿宋_GB2312"/>
          <w:sz w:val="28"/>
          <w:szCs w:val="28"/>
        </w:rPr>
        <w:t>3.63</w:t>
      </w:r>
      <w:r>
        <w:rPr>
          <w:rFonts w:hint="eastAsia" w:ascii="仿宋_GB2312" w:eastAsia="仿宋_GB2312"/>
          <w:sz w:val="28"/>
          <w:szCs w:val="28"/>
        </w:rPr>
        <w:t>万元，其中：政府采购货物支出</w:t>
      </w:r>
      <w:r>
        <w:rPr>
          <w:rFonts w:ascii="仿宋_GB2312" w:eastAsia="仿宋_GB2312"/>
          <w:sz w:val="28"/>
          <w:szCs w:val="28"/>
        </w:rPr>
        <w:t>0.13</w:t>
      </w:r>
      <w:r>
        <w:rPr>
          <w:rFonts w:hint="eastAsia" w:ascii="仿宋_GB2312" w:eastAsia="仿宋_GB2312"/>
          <w:sz w:val="28"/>
          <w:szCs w:val="28"/>
        </w:rPr>
        <w:t>万元，政府采购工程支出</w:t>
      </w:r>
      <w:r>
        <w:rPr>
          <w:rFonts w:ascii="仿宋_GB2312" w:eastAsia="仿宋_GB2312"/>
          <w:sz w:val="28"/>
          <w:szCs w:val="28"/>
        </w:rPr>
        <w:t>0</w:t>
      </w:r>
      <w:r>
        <w:rPr>
          <w:rFonts w:hint="eastAsia" w:ascii="仿宋_GB2312" w:eastAsia="仿宋_GB2312"/>
          <w:sz w:val="28"/>
          <w:szCs w:val="28"/>
        </w:rPr>
        <w:t>万元，政府采购服务支出</w:t>
      </w:r>
      <w:r>
        <w:rPr>
          <w:rFonts w:ascii="仿宋_GB2312" w:eastAsia="仿宋_GB2312"/>
          <w:sz w:val="28"/>
          <w:szCs w:val="28"/>
        </w:rPr>
        <w:t>3.5</w:t>
      </w:r>
      <w:r>
        <w:rPr>
          <w:rFonts w:hint="eastAsia" w:ascii="仿宋_GB2312" w:eastAsia="仿宋_GB2312"/>
          <w:sz w:val="28"/>
          <w:szCs w:val="28"/>
        </w:rPr>
        <w:t>万元。授予中小企业合同金额</w:t>
      </w:r>
      <w:r>
        <w:rPr>
          <w:rFonts w:ascii="仿宋_GB2312" w:eastAsia="仿宋_GB2312"/>
          <w:sz w:val="28"/>
          <w:szCs w:val="28"/>
        </w:rPr>
        <w:t>3.63</w:t>
      </w:r>
      <w:r>
        <w:rPr>
          <w:rFonts w:hint="eastAsia" w:ascii="仿宋_GB2312" w:eastAsia="仿宋_GB2312"/>
          <w:sz w:val="28"/>
          <w:szCs w:val="28"/>
        </w:rPr>
        <w:t>万元，占政府采购支出总额的</w:t>
      </w:r>
      <w:r>
        <w:rPr>
          <w:rFonts w:hint="eastAsia" w:ascii="仿宋_GB2312" w:eastAsia="仿宋_GB2312"/>
          <w:sz w:val="28"/>
          <w:szCs w:val="28"/>
          <w:lang w:eastAsia="zh-CN"/>
        </w:rPr>
        <w:t>100</w:t>
      </w:r>
      <w:r>
        <w:rPr>
          <w:rFonts w:hint="eastAsia" w:ascii="仿宋_GB2312" w:eastAsia="仿宋_GB2312"/>
          <w:sz w:val="28"/>
          <w:szCs w:val="28"/>
        </w:rPr>
        <w:t>%，</w:t>
      </w:r>
      <w:r>
        <w:rPr>
          <w:rFonts w:hint="eastAsia" w:ascii="仿宋_GB2312" w:eastAsia="仿宋_GB2312"/>
          <w:sz w:val="28"/>
          <w:szCs w:val="28"/>
          <w:lang w:eastAsia="zh-CN"/>
        </w:rPr>
        <w:t>其中：授予小微企业合同金额</w:t>
      </w:r>
      <w:r>
        <w:rPr>
          <w:rFonts w:hint="eastAsia" w:ascii="仿宋_GB2312" w:eastAsia="仿宋_GB2312"/>
          <w:sz w:val="28"/>
          <w:szCs w:val="28"/>
        </w:rPr>
        <w:t>3.63万元，占政府采购支出总额的</w:t>
      </w:r>
      <w:r>
        <w:rPr>
          <w:rFonts w:ascii="仿宋_GB2312" w:eastAsia="仿宋_GB2312"/>
          <w:sz w:val="28"/>
          <w:szCs w:val="28"/>
        </w:rPr>
        <w:t>100</w:t>
      </w:r>
      <w:r>
        <w:rPr>
          <w:rFonts w:hint="eastAsia" w:ascii="仿宋_GB2312" w:eastAsia="仿宋_GB2312"/>
          <w:sz w:val="28"/>
          <w:szCs w:val="28"/>
        </w:rPr>
        <w:t>%。</w:t>
      </w:r>
    </w:p>
    <w:p>
      <w:pPr>
        <w:ind w:firstLine="560" w:firstLineChars="200"/>
        <w:rPr>
          <w:rFonts w:ascii="黑体" w:eastAsia="黑体"/>
          <w:sz w:val="28"/>
          <w:szCs w:val="28"/>
          <w:highlight w:val="yellow"/>
        </w:rPr>
      </w:pPr>
      <w:r>
        <w:rPr>
          <w:rFonts w:hint="eastAsia" w:ascii="黑体" w:eastAsia="黑体"/>
          <w:sz w:val="28"/>
          <w:szCs w:val="28"/>
        </w:rPr>
        <w:t>四、国有资产占用情况</w:t>
      </w:r>
    </w:p>
    <w:p>
      <w:pPr>
        <w:ind w:firstLine="560" w:firstLineChars="200"/>
        <w:rPr>
          <w:rFonts w:ascii="仿宋_GB2312" w:eastAsia="仿宋_GB2312"/>
          <w:sz w:val="32"/>
          <w:szCs w:val="32"/>
        </w:rPr>
      </w:pPr>
      <w:r>
        <w:rPr>
          <w:rFonts w:hint="eastAsia" w:ascii="仿宋_GB2312" w:eastAsia="仿宋_GB2312"/>
          <w:sz w:val="28"/>
          <w:szCs w:val="28"/>
          <w:lang w:val="en-US" w:eastAsia="zh-CN"/>
        </w:rPr>
        <w:t>截止12月31日，北京市西城区阅读推广中心共有车辆0台；</w:t>
      </w:r>
      <w:r>
        <w:rPr>
          <w:rFonts w:hint="eastAsia" w:ascii="仿宋_GB2312" w:eastAsia="仿宋_GB2312"/>
          <w:sz w:val="28"/>
          <w:szCs w:val="28"/>
        </w:rPr>
        <w:t>单位价值100万元（含）以上的设备</w:t>
      </w:r>
      <w:r>
        <w:rPr>
          <w:rFonts w:hint="eastAsia" w:ascii="仿宋_GB2312" w:eastAsia="仿宋_GB2312"/>
          <w:sz w:val="28"/>
          <w:szCs w:val="28"/>
          <w:lang w:val="en-US" w:eastAsia="zh-CN"/>
        </w:rPr>
        <w:t>0</w:t>
      </w:r>
      <w:r>
        <w:rPr>
          <w:rFonts w:hint="eastAsia" w:ascii="仿宋_GB2312" w:eastAsia="仿宋_GB2312"/>
          <w:sz w:val="28"/>
          <w:szCs w:val="28"/>
        </w:rPr>
        <w:t>台（套）</w:t>
      </w:r>
      <w:r>
        <w:rPr>
          <w:rFonts w:hint="eastAsia" w:ascii="仿宋_GB2312" w:eastAsia="仿宋_GB2312"/>
          <w:sz w:val="28"/>
          <w:szCs w:val="28"/>
          <w:lang w:eastAsia="zh-CN"/>
        </w:rPr>
        <w:t>。</w:t>
      </w:r>
    </w:p>
    <w:p>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pPr>
        <w:ind w:firstLine="537" w:firstLineChars="192"/>
        <w:rPr>
          <w:rFonts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ascii="仿宋_GB2312" w:eastAsia="仿宋_GB2312"/>
          <w:sz w:val="28"/>
          <w:szCs w:val="28"/>
        </w:rPr>
        <w:t>政府购买服务决算0</w:t>
      </w:r>
      <w:r>
        <w:rPr>
          <w:rFonts w:hint="eastAsia" w:ascii="仿宋_GB2312" w:eastAsia="仿宋_GB2312"/>
          <w:sz w:val="28"/>
          <w:szCs w:val="28"/>
        </w:rPr>
        <w:t>万元。</w:t>
      </w:r>
    </w:p>
    <w:p>
      <w:pPr>
        <w:ind w:firstLine="560" w:firstLineChars="200"/>
        <w:jc w:val="left"/>
        <w:rPr>
          <w:rFonts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pPr>
        <w:ind w:firstLine="560" w:firstLineChars="200"/>
        <w:rPr>
          <w:rFonts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pPr>
        <w:ind w:firstLine="560" w:firstLineChars="200"/>
        <w:rPr>
          <w:rFonts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pPr>
        <w:ind w:firstLine="560" w:firstLineChars="200"/>
        <w:rPr>
          <w:rFonts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pPr>
        <w:ind w:firstLine="560" w:firstLineChars="200"/>
        <w:rPr>
          <w:rFonts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pPr>
        <w:ind w:firstLine="420" w:firstLineChars="150"/>
        <w:rPr>
          <w:rFonts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pPr>
        <w:ind w:firstLine="420" w:firstLineChars="150"/>
        <w:rPr>
          <w:rFonts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pPr>
        <w:ind w:firstLine="420" w:firstLineChars="150"/>
        <w:rPr>
          <w:rFonts w:ascii="仿宋_GB2312" w:hAnsi="Times New Roman" w:eastAsia="仿宋_GB2312" w:cs="Times New Roman"/>
          <w:b w:val="0"/>
          <w:bCs w:val="0"/>
          <w:sz w:val="28"/>
          <w:szCs w:val="28"/>
        </w:rPr>
      </w:pPr>
      <w:r>
        <w:rPr>
          <w:rFonts w:hint="eastAsia" w:ascii="仿宋_GB2312" w:hAnsi="Times New Roman" w:eastAsia="仿宋_GB2312" w:cs="Times New Roman"/>
          <w:b w:val="0"/>
          <w:bCs w:val="0"/>
          <w:sz w:val="28"/>
          <w:szCs w:val="28"/>
        </w:rPr>
        <w:t>7.各单位需根据自身业务职能，补充当年使用的所有支出功能分类项级科目名词解释，例如：</w:t>
      </w:r>
    </w:p>
    <w:p>
      <w:pPr>
        <w:ind w:firstLine="420" w:firstLineChars="150"/>
        <w:rPr>
          <w:rFonts w:ascii="仿宋_GB2312" w:eastAsia="仿宋_GB2312"/>
          <w:b w:val="0"/>
          <w:bCs w:val="0"/>
          <w:sz w:val="28"/>
          <w:szCs w:val="28"/>
        </w:rPr>
      </w:pPr>
      <w:r>
        <w:rPr>
          <w:rFonts w:hint="eastAsia" w:ascii="仿宋_GB2312" w:hAnsi="Times New Roman" w:eastAsia="仿宋_GB2312" w:cs="Times New Roman"/>
          <w:b w:val="0"/>
          <w:bCs w:val="0"/>
          <w:sz w:val="28"/>
          <w:szCs w:val="28"/>
        </w:rPr>
        <w:t>一般公共服务支出（类）人大事务（款）行政运行（项）：反映行政单位（包括实行公务员管理的事业单位）的基本支出</w:t>
      </w:r>
      <w:r>
        <w:rPr>
          <w:rFonts w:hint="eastAsia" w:ascii="仿宋_GB2312" w:eastAsia="仿宋_GB2312"/>
          <w:b w:val="0"/>
          <w:bCs w:val="0"/>
          <w:sz w:val="28"/>
          <w:szCs w:val="28"/>
        </w:rPr>
        <w:t>。</w:t>
      </w:r>
    </w:p>
    <w:p>
      <w:pPr>
        <w:rPr>
          <w:rFonts w:ascii="仿宋_GB2312" w:eastAsia="仿宋_GB2312"/>
          <w:sz w:val="28"/>
          <w:szCs w:val="28"/>
        </w:rPr>
      </w:pPr>
    </w:p>
    <w:p>
      <w:pPr>
        <w:ind w:firstLine="632" w:firstLineChars="200"/>
        <w:rPr>
          <w:rFonts w:ascii="仿宋_GB2312" w:eastAsia="仿宋_GB2312"/>
          <w:b/>
          <w:color w:val="000000"/>
          <w:spacing w:val="-2"/>
          <w:sz w:val="32"/>
          <w:szCs w:val="32"/>
        </w:rPr>
      </w:pPr>
    </w:p>
    <w:p>
      <w:pPr>
        <w:ind w:firstLine="640" w:firstLineChars="200"/>
        <w:jc w:val="center"/>
        <w:rPr>
          <w:rFonts w:ascii="黑体" w:eastAsia="黑体"/>
          <w:sz w:val="32"/>
          <w:szCs w:val="32"/>
        </w:rPr>
      </w:pPr>
    </w:p>
    <w:p>
      <w:pPr>
        <w:ind w:firstLine="640" w:firstLineChars="200"/>
        <w:jc w:val="center"/>
        <w:rPr>
          <w:rFonts w:ascii="黑体" w:eastAsia="黑体"/>
          <w:sz w:val="32"/>
          <w:szCs w:val="32"/>
        </w:rPr>
      </w:pPr>
    </w:p>
    <w:p>
      <w:pPr>
        <w:ind w:firstLine="640" w:firstLineChars="200"/>
        <w:jc w:val="center"/>
        <w:rPr>
          <w:rFonts w:hint="eastAsia" w:ascii="黑体" w:eastAsia="黑体"/>
          <w:sz w:val="32"/>
          <w:szCs w:val="32"/>
        </w:rPr>
      </w:pPr>
    </w:p>
    <w:p>
      <w:pPr>
        <w:ind w:firstLine="640" w:firstLineChars="200"/>
        <w:jc w:val="center"/>
        <w:rPr>
          <w:rFonts w:ascii="黑体" w:eastAsia="黑体"/>
          <w:sz w:val="32"/>
          <w:szCs w:val="32"/>
        </w:rPr>
      </w:pPr>
      <w:r>
        <w:rPr>
          <w:rFonts w:hint="eastAsia" w:ascii="黑体" w:eastAsia="黑体"/>
          <w:sz w:val="32"/>
          <w:szCs w:val="32"/>
        </w:rPr>
        <w:t xml:space="preserve">第四部分  </w:t>
      </w:r>
      <w:r>
        <w:rPr>
          <w:rFonts w:hint="eastAsia" w:ascii="黑体" w:eastAsia="黑体"/>
          <w:sz w:val="32"/>
          <w:szCs w:val="32"/>
          <w:lang w:eastAsia="zh-CN"/>
        </w:rPr>
        <w:t>2024</w:t>
      </w:r>
      <w:r>
        <w:rPr>
          <w:rFonts w:hint="eastAsia" w:ascii="黑体" w:eastAsia="黑体"/>
          <w:sz w:val="32"/>
          <w:szCs w:val="32"/>
        </w:rPr>
        <w:t>年度部门绩效评价情况</w:t>
      </w:r>
    </w:p>
    <w:p>
      <w:pPr>
        <w:ind w:firstLine="560" w:firstLineChars="200"/>
        <w:rPr>
          <w:rFonts w:ascii="黑体" w:eastAsia="黑体"/>
          <w:sz w:val="28"/>
          <w:szCs w:val="28"/>
          <w:highlight w:val="yellow"/>
        </w:rPr>
      </w:pPr>
    </w:p>
    <w:p>
      <w:pPr>
        <w:ind w:firstLine="560" w:firstLineChars="200"/>
        <w:rPr>
          <w:rFonts w:ascii="黑体" w:eastAsia="黑体"/>
          <w:sz w:val="28"/>
          <w:szCs w:val="28"/>
        </w:rPr>
      </w:pPr>
      <w:r>
        <w:rPr>
          <w:rFonts w:hint="eastAsia" w:ascii="黑体" w:eastAsia="黑体"/>
          <w:sz w:val="28"/>
          <w:szCs w:val="28"/>
        </w:rPr>
        <w:t>一、部门整体绩效评价报告（详见附件）</w:t>
      </w:r>
    </w:p>
    <w:p>
      <w:pPr>
        <w:ind w:firstLine="560" w:firstLineChars="200"/>
        <w:rPr>
          <w:rFonts w:ascii="黑体" w:eastAsia="黑体"/>
          <w:sz w:val="28"/>
          <w:szCs w:val="28"/>
        </w:rPr>
      </w:pPr>
      <w:r>
        <w:rPr>
          <w:rFonts w:hint="eastAsia" w:ascii="黑体" w:eastAsia="黑体"/>
          <w:sz w:val="28"/>
          <w:szCs w:val="28"/>
        </w:rPr>
        <w:t>二、项目支出绩效评价报告（详见附件）</w:t>
      </w:r>
    </w:p>
    <w:p>
      <w:pPr>
        <w:ind w:firstLine="560" w:firstLineChars="200"/>
        <w:rPr>
          <w:rFonts w:ascii="黑体" w:eastAsia="黑体"/>
          <w:sz w:val="28"/>
          <w:szCs w:val="28"/>
        </w:rPr>
      </w:pPr>
      <w:r>
        <w:rPr>
          <w:rFonts w:hint="eastAsia" w:ascii="黑体" w:eastAsia="黑体"/>
          <w:sz w:val="28"/>
          <w:szCs w:val="28"/>
        </w:rPr>
        <w:t>三</w:t>
      </w:r>
      <w:r>
        <w:rPr>
          <w:rFonts w:ascii="黑体" w:eastAsia="黑体"/>
          <w:sz w:val="28"/>
          <w:szCs w:val="28"/>
        </w:rPr>
        <w:t>、</w:t>
      </w:r>
      <w:r>
        <w:rPr>
          <w:rFonts w:hint="eastAsia" w:ascii="黑体" w:eastAsia="黑体"/>
          <w:sz w:val="28"/>
          <w:szCs w:val="28"/>
        </w:rPr>
        <w:t>项目</w:t>
      </w:r>
      <w:r>
        <w:rPr>
          <w:rFonts w:ascii="黑体" w:eastAsia="黑体"/>
          <w:sz w:val="28"/>
          <w:szCs w:val="28"/>
        </w:rPr>
        <w:t>支出绩效自评表</w:t>
      </w:r>
      <w:r>
        <w:rPr>
          <w:rFonts w:hint="eastAsia" w:ascii="黑体" w:eastAsia="黑体"/>
          <w:sz w:val="28"/>
          <w:szCs w:val="28"/>
        </w:rPr>
        <w:t>（详见附件）</w:t>
      </w:r>
    </w:p>
    <w:p>
      <w:pPr>
        <w:ind w:firstLine="560" w:firstLineChars="200"/>
        <w:rPr>
          <w:rFonts w:ascii="黑体" w:eastAsia="黑体"/>
          <w:sz w:val="28"/>
          <w:szCs w:val="28"/>
        </w:rPr>
      </w:pPr>
      <w:r>
        <w:rPr>
          <w:rFonts w:hint="eastAsia" w:ascii="黑体" w:eastAsia="黑体"/>
          <w:sz w:val="28"/>
          <w:szCs w:val="28"/>
        </w:rPr>
        <w:t>四、中央对北京XX转移支付预算执行情况绩效自评报告（详见附件）</w:t>
      </w:r>
    </w:p>
    <w:p>
      <w:pPr>
        <w:spacing w:line="480" w:lineRule="exact"/>
        <w:ind w:firstLine="560"/>
        <w:rPr>
          <w:rFonts w:hint="eastAsia" w:ascii="黑体" w:eastAsia="黑体"/>
          <w:sz w:val="28"/>
          <w:szCs w:val="28"/>
        </w:rPr>
      </w:pPr>
      <w:r>
        <w:rPr>
          <w:rFonts w:hint="eastAsia" w:ascii="黑体" w:eastAsia="黑体"/>
          <w:sz w:val="28"/>
          <w:szCs w:val="28"/>
        </w:rPr>
        <w:t>（注：有中央转移支付的一级预算部门，公开“一、二、三、四”；没有中央转移支付的一级预算部门，公开“一、二、三”；二级预算单位仅公开“三”。）</w:t>
      </w:r>
    </w:p>
    <w:p>
      <w:pPr>
        <w:pStyle w:val="3"/>
        <w:rPr>
          <w:rFonts w:hint="eastAsia" w:ascii="黑体" w:eastAsia="黑体"/>
          <w:sz w:val="28"/>
          <w:szCs w:val="28"/>
        </w:rPr>
      </w:pPr>
    </w:p>
    <w:p>
      <w:pPr>
        <w:pStyle w:val="3"/>
        <w:rPr>
          <w:rFonts w:hint="eastAsia" w:ascii="黑体" w:eastAsia="黑体"/>
          <w:sz w:val="28"/>
          <w:szCs w:val="28"/>
        </w:rPr>
      </w:pPr>
    </w:p>
    <w:p>
      <w:pPr>
        <w:pStyle w:val="3"/>
        <w:rPr>
          <w:rFonts w:hint="eastAsia" w:ascii="黑体" w:eastAsia="黑体"/>
          <w:sz w:val="28"/>
          <w:szCs w:val="28"/>
        </w:rPr>
      </w:pPr>
    </w:p>
    <w:p>
      <w:pPr>
        <w:pStyle w:val="3"/>
        <w:rPr>
          <w:rFonts w:hint="eastAsia" w:ascii="黑体" w:eastAsia="黑体"/>
          <w:sz w:val="28"/>
          <w:szCs w:val="28"/>
        </w:rPr>
      </w:pPr>
    </w:p>
    <w:p>
      <w:pPr>
        <w:pStyle w:val="3"/>
        <w:rPr>
          <w:rFonts w:hint="eastAsia" w:ascii="黑体" w:eastAsia="黑体"/>
          <w:sz w:val="28"/>
          <w:szCs w:val="28"/>
        </w:rPr>
      </w:pPr>
    </w:p>
    <w:p>
      <w:pPr>
        <w:pStyle w:val="2"/>
        <w:keepNext w:val="0"/>
        <w:keepLines/>
        <w:pageBreakBefore w:val="0"/>
        <w:widowControl w:val="0"/>
        <w:kinsoku/>
        <w:wordWrap/>
        <w:overflowPunct/>
        <w:topLinePunct w:val="0"/>
        <w:autoSpaceDE/>
        <w:autoSpaceDN/>
        <w:bidi w:val="0"/>
        <w:adjustRightInd/>
        <w:snapToGrid/>
        <w:spacing w:line="15" w:lineRule="auto"/>
        <w:textAlignment w:val="auto"/>
      </w:pPr>
    </w:p>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Droid Sans">
    <w:altName w:val="微软雅黑"/>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4"/>
      </w:rPr>
    </w:pPr>
    <w:r>
      <w:fldChar w:fldCharType="begin"/>
    </w:r>
    <w:r>
      <w:rPr>
        <w:rStyle w:val="14"/>
      </w:rPr>
      <w:instrText xml:space="preserve">PAGE  </w:instrText>
    </w:r>
    <w:r>
      <w:fldChar w:fldCharType="separate"/>
    </w:r>
    <w:r>
      <w:rPr>
        <w:rStyle w:val="14"/>
      </w:rPr>
      <w:t>3</w:t>
    </w:r>
    <w:r>
      <w:fldChar w:fldCharType="end"/>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4"/>
      </w:rPr>
    </w:pPr>
    <w:r>
      <w:fldChar w:fldCharType="begin"/>
    </w:r>
    <w:r>
      <w:rPr>
        <w:rStyle w:val="14"/>
      </w:rPr>
      <w:instrText xml:space="preserve">PAGE  </w:instrText>
    </w:r>
    <w:r>
      <w:fldChar w:fldCharType="separate"/>
    </w:r>
    <w:r>
      <w:rPr>
        <w:rStyle w:val="14"/>
      </w:rPr>
      <w:t>5</w:t>
    </w:r>
    <w:r>
      <w:fldChar w:fldCharType="end"/>
    </w:r>
  </w:p>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4"/>
      </w:rPr>
    </w:pPr>
    <w:r>
      <w:fldChar w:fldCharType="begin"/>
    </w:r>
    <w:r>
      <w:rPr>
        <w:rStyle w:val="14"/>
      </w:rPr>
      <w:instrText xml:space="preserve">PAGE  </w:instrText>
    </w:r>
    <w:r>
      <w:fldChar w:fldCharType="separate"/>
    </w:r>
    <w:r>
      <w:rPr>
        <w:rStyle w:val="14"/>
      </w:rPr>
      <w:t>15</w:t>
    </w:r>
    <w:r>
      <w:fldChar w:fldCharType="end"/>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5CA5A1"/>
    <w:multiLevelType w:val="singleLevel"/>
    <w:tmpl w:val="D45CA5A1"/>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57"/>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IwMTNkNzRkOGQ3ZDg5YTBkMDAwNTJiNjc4NWVlMjc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F120AB"/>
    <w:rsid w:val="035105FC"/>
    <w:rsid w:val="04C3537C"/>
    <w:rsid w:val="079004AC"/>
    <w:rsid w:val="0AE57738"/>
    <w:rsid w:val="0BA148CA"/>
    <w:rsid w:val="0C1165C4"/>
    <w:rsid w:val="0DD136FE"/>
    <w:rsid w:val="0E956A64"/>
    <w:rsid w:val="0EB64CFE"/>
    <w:rsid w:val="0F8E2C57"/>
    <w:rsid w:val="1059665E"/>
    <w:rsid w:val="10AC13BA"/>
    <w:rsid w:val="145A6C1B"/>
    <w:rsid w:val="167A2FF9"/>
    <w:rsid w:val="19031137"/>
    <w:rsid w:val="1AEC0734"/>
    <w:rsid w:val="1DEF20B0"/>
    <w:rsid w:val="214243FA"/>
    <w:rsid w:val="21AD613C"/>
    <w:rsid w:val="257A14F5"/>
    <w:rsid w:val="26920BFA"/>
    <w:rsid w:val="27196C26"/>
    <w:rsid w:val="29EF086F"/>
    <w:rsid w:val="2EFFE297"/>
    <w:rsid w:val="301437CA"/>
    <w:rsid w:val="349D1F0A"/>
    <w:rsid w:val="34DD0473"/>
    <w:rsid w:val="3B9414E3"/>
    <w:rsid w:val="3C684897"/>
    <w:rsid w:val="3F7E7638"/>
    <w:rsid w:val="431D412A"/>
    <w:rsid w:val="433E495C"/>
    <w:rsid w:val="44B7644A"/>
    <w:rsid w:val="47E64083"/>
    <w:rsid w:val="489F2FD7"/>
    <w:rsid w:val="4AC27CB3"/>
    <w:rsid w:val="4BF72BEF"/>
    <w:rsid w:val="4FA90297"/>
    <w:rsid w:val="4FC41A43"/>
    <w:rsid w:val="4FE2609D"/>
    <w:rsid w:val="51DB3C59"/>
    <w:rsid w:val="550C0952"/>
    <w:rsid w:val="55762E42"/>
    <w:rsid w:val="57A7B272"/>
    <w:rsid w:val="58470068"/>
    <w:rsid w:val="58747CAC"/>
    <w:rsid w:val="5A1720F9"/>
    <w:rsid w:val="5B9C37C2"/>
    <w:rsid w:val="5BA7C654"/>
    <w:rsid w:val="60A54109"/>
    <w:rsid w:val="61063DBC"/>
    <w:rsid w:val="61D01CDF"/>
    <w:rsid w:val="64C0607C"/>
    <w:rsid w:val="65756C86"/>
    <w:rsid w:val="674D385B"/>
    <w:rsid w:val="676F09E1"/>
    <w:rsid w:val="798524E4"/>
    <w:rsid w:val="7A7F1C49"/>
    <w:rsid w:val="7B5B7AE6"/>
    <w:rsid w:val="7B7B6628"/>
    <w:rsid w:val="7BA7071E"/>
    <w:rsid w:val="7BDF6DA8"/>
    <w:rsid w:val="7C7EDC1A"/>
    <w:rsid w:val="7CCED98D"/>
    <w:rsid w:val="7D08410F"/>
    <w:rsid w:val="7DB96DED"/>
    <w:rsid w:val="7DD3AD81"/>
    <w:rsid w:val="7E256583"/>
    <w:rsid w:val="7F7FE70F"/>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200" w:firstLineChars="200"/>
    </w:pPr>
  </w:style>
  <w:style w:type="paragraph" w:styleId="4">
    <w:name w:val="Body Text"/>
    <w:basedOn w:val="1"/>
    <w:next w:val="1"/>
    <w:qFormat/>
    <w:uiPriority w:val="0"/>
    <w:pPr>
      <w:widowControl/>
      <w:spacing w:before="100" w:beforeAutospacing="1" w:after="100" w:afterAutospacing="1"/>
      <w:jc w:val="left"/>
    </w:pPr>
    <w:rPr>
      <w:rFonts w:ascii="宋体" w:hAnsi="宋体" w:cs="宋体"/>
      <w:kern w:val="0"/>
      <w:sz w:val="24"/>
    </w:rPr>
  </w:style>
  <w:style w:type="paragraph" w:styleId="5">
    <w:name w:val="Body Text Indent"/>
    <w:basedOn w:val="1"/>
    <w:qFormat/>
    <w:uiPriority w:val="0"/>
    <w:pPr>
      <w:ind w:firstLine="645"/>
    </w:pPr>
    <w:rPr>
      <w:rFonts w:ascii="仿宋_GB2312" w:hAnsi="Calibri" w:eastAsia="仿宋_GB2312"/>
      <w:sz w:val="32"/>
      <w:szCs w:val="32"/>
    </w:rPr>
  </w:style>
  <w:style w:type="paragraph" w:styleId="6">
    <w:name w:val="Date"/>
    <w:basedOn w:val="1"/>
    <w:next w:val="1"/>
    <w:qFormat/>
    <w:uiPriority w:val="0"/>
    <w:pPr>
      <w:ind w:left="100" w:leftChars="2500"/>
    </w:pPr>
  </w:style>
  <w:style w:type="paragraph" w:styleId="7">
    <w:name w:val="Balloon Text"/>
    <w:basedOn w:val="1"/>
    <w:semiHidden/>
    <w:qFormat/>
    <w:uiPriority w:val="0"/>
    <w:rPr>
      <w:sz w:val="18"/>
      <w:szCs w:val="18"/>
    </w:rPr>
  </w:style>
  <w:style w:type="paragraph" w:styleId="8">
    <w:name w:val="footer"/>
    <w:basedOn w:val="1"/>
    <w:link w:val="15"/>
    <w:qFormat/>
    <w:uiPriority w:val="0"/>
    <w:pPr>
      <w:tabs>
        <w:tab w:val="center" w:pos="4153"/>
        <w:tab w:val="right" w:pos="8306"/>
      </w:tabs>
      <w:snapToGrid w:val="0"/>
      <w:jc w:val="left"/>
    </w:pPr>
    <w:rPr>
      <w:sz w:val="18"/>
      <w:szCs w:val="18"/>
    </w:rPr>
  </w:style>
  <w:style w:type="paragraph" w:styleId="9">
    <w:name w:val="header"/>
    <w:basedOn w:val="1"/>
    <w:link w:val="16"/>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10">
    <w:name w:val="Normal (Web)"/>
    <w:basedOn w:val="1"/>
    <w:unhideWhenUsed/>
    <w:qFormat/>
    <w:uiPriority w:val="0"/>
    <w:pPr>
      <w:spacing w:before="100" w:beforeAutospacing="1" w:after="100" w:afterAutospacing="1"/>
      <w:ind w:right="238"/>
      <w:jc w:val="left"/>
    </w:pPr>
    <w:rPr>
      <w:b/>
      <w:kern w:val="0"/>
      <w:sz w:val="24"/>
      <w:szCs w:val="20"/>
    </w:rPr>
  </w:style>
  <w:style w:type="character" w:styleId="13">
    <w:name w:val="Strong"/>
    <w:qFormat/>
    <w:uiPriority w:val="0"/>
    <w:rPr>
      <w:b/>
    </w:rPr>
  </w:style>
  <w:style w:type="character" w:styleId="14">
    <w:name w:val="page number"/>
    <w:qFormat/>
    <w:uiPriority w:val="0"/>
  </w:style>
  <w:style w:type="character" w:customStyle="1" w:styleId="15">
    <w:name w:val="页脚 Char"/>
    <w:link w:val="8"/>
    <w:qFormat/>
    <w:uiPriority w:val="0"/>
    <w:rPr>
      <w:rFonts w:eastAsia="宋体"/>
      <w:kern w:val="2"/>
      <w:sz w:val="18"/>
      <w:szCs w:val="18"/>
      <w:lang w:val="en-US" w:eastAsia="zh-CN" w:bidi="ar-SA"/>
    </w:rPr>
  </w:style>
  <w:style w:type="character" w:customStyle="1" w:styleId="16">
    <w:name w:val="页眉 Char"/>
    <w:link w:val="9"/>
    <w:qFormat/>
    <w:uiPriority w:val="0"/>
    <w:rPr>
      <w:rFonts w:ascii="Calibri" w:hAnsi="Calibri" w:eastAsia="宋体"/>
      <w:kern w:val="2"/>
      <w:sz w:val="18"/>
      <w:szCs w:val="18"/>
      <w:lang w:val="en-US" w:eastAsia="zh-CN" w:bidi="ar-SA"/>
    </w:rPr>
  </w:style>
  <w:style w:type="paragraph" w:customStyle="1" w:styleId="17">
    <w:name w:val="Char Char Char Char Char Char Char"/>
    <w:basedOn w:val="1"/>
    <w:qFormat/>
    <w:uiPriority w:val="0"/>
    <w:rPr>
      <w:rFonts w:ascii="Tahoma" w:hAnsi="Tahoma"/>
      <w:sz w:val="24"/>
      <w:szCs w:val="20"/>
    </w:rPr>
  </w:style>
  <w:style w:type="paragraph" w:customStyle="1" w:styleId="18">
    <w:name w:val="Char1 Char Char Char"/>
    <w:basedOn w:val="1"/>
    <w:qFormat/>
    <w:uiPriority w:val="0"/>
    <w:pPr>
      <w:widowControl/>
      <w:spacing w:after="160" w:line="240" w:lineRule="exact"/>
      <w:jc w:val="left"/>
    </w:pPr>
    <w:rPr>
      <w:szCs w:val="20"/>
    </w:rPr>
  </w:style>
  <w:style w:type="paragraph" w:customStyle="1" w:styleId="19">
    <w:name w:val="Char"/>
    <w:basedOn w:val="1"/>
    <w:qFormat/>
    <w:uiPriority w:val="0"/>
    <w:rPr>
      <w:rFonts w:ascii="Tahoma" w:hAnsi="Tahoma"/>
      <w:sz w:val="24"/>
      <w:szCs w:val="20"/>
    </w:rPr>
  </w:style>
  <w:style w:type="paragraph" w:customStyle="1" w:styleId="20">
    <w:name w:val="Char Char3 Char Char"/>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0"/>
              <a:t>收入决算</a:t>
            </a:r>
            <a:endParaRPr lang="zh-CN" altLang="en-US" sz="1400" b="0"/>
          </a:p>
        </c:rich>
      </c:tx>
      <c:layout/>
      <c:overlay val="0"/>
    </c:title>
    <c:autoTitleDeleted val="0"/>
    <c:plotArea>
      <c:layout/>
      <c:pieChart>
        <c:varyColors val="1"/>
        <c:ser>
          <c:idx val="0"/>
          <c:order val="0"/>
          <c:tx>
            <c:strRef>
              <c:f>Sheet1!$B$1</c:f>
              <c:strCache>
                <c:ptCount val="1"/>
                <c:pt idx="0">
                  <c:v>收入</c:v>
                </c:pt>
              </c:strCache>
            </c:strRef>
          </c:tx>
          <c:explosion val="0"/>
          <c:dPt>
            <c:idx val="0"/>
            <c:bubble3D val="0"/>
          </c:dPt>
          <c:dPt>
            <c:idx val="1"/>
            <c:bubble3D val="0"/>
          </c:dPt>
          <c:dPt>
            <c:idx val="2"/>
            <c:bubble3D val="0"/>
          </c:dPt>
          <c:dPt>
            <c:idx val="3"/>
            <c:bubble3D val="0"/>
          </c:dPt>
          <c:dPt>
            <c:idx val="4"/>
            <c:bubble3D val="0"/>
          </c:dPt>
          <c:dPt>
            <c:idx val="5"/>
            <c:bubble3D val="0"/>
          </c:dPt>
          <c:dLbls>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Sheet1!$A$2:$A$7</c:f>
              <c:strCache>
                <c:ptCount val="6"/>
                <c:pt idx="0">
                  <c:v>财政拨款收入</c:v>
                </c:pt>
                <c:pt idx="1">
                  <c:v>上级补助收入</c:v>
                </c:pt>
                <c:pt idx="2">
                  <c:v>事业收入</c:v>
                </c:pt>
                <c:pt idx="3">
                  <c:v>经营收入</c:v>
                </c:pt>
                <c:pt idx="4">
                  <c:v>附属单位上缴</c:v>
                </c:pt>
                <c:pt idx="5">
                  <c:v>其他收入</c:v>
                </c:pt>
              </c:strCache>
            </c:strRef>
          </c:cat>
          <c:val>
            <c:numRef>
              <c:f>Sheet1!$B$2:$B$7</c:f>
              <c:numCache>
                <c:formatCode>General</c:formatCode>
                <c:ptCount val="6"/>
                <c:pt idx="0">
                  <c:v>1865.82</c:v>
                </c:pt>
                <c:pt idx="1">
                  <c:v>0</c:v>
                </c:pt>
                <c:pt idx="2">
                  <c:v>0</c:v>
                </c:pt>
                <c:pt idx="3">
                  <c:v>0</c:v>
                </c:pt>
                <c:pt idx="4">
                  <c:v>0</c:v>
                </c:pt>
                <c:pt idx="5">
                  <c:v>0</c:v>
                </c:pt>
              </c:numCache>
            </c:numRef>
          </c:val>
        </c:ser>
        <c:dLbls>
          <c:showLegendKey val="0"/>
          <c:showVal val="1"/>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solidFill>
                <a:latin typeface="+mn-lt"/>
                <a:ea typeface="+mn-ea"/>
                <a:cs typeface="+mn-cs"/>
              </a:defRPr>
            </a:pPr>
            <a:r>
              <a:rPr lang="zh-CN" altLang="en-US">
                <a:solidFill>
                  <a:schemeClr val="tx1"/>
                </a:solidFill>
              </a:rPr>
              <a:t>支出决算</a:t>
            </a:r>
            <a:endParaRPr lang="zh-CN" altLang="en-US">
              <a:solidFill>
                <a:schemeClr val="tx1"/>
              </a:solidFill>
            </a:endParaRPr>
          </a:p>
        </c:rich>
      </c:tx>
      <c:layout/>
      <c:overlay val="0"/>
      <c:spPr>
        <a:noFill/>
        <a:ln>
          <a:noFill/>
        </a:ln>
        <a:effectLst/>
      </c:spPr>
    </c:title>
    <c:autoTitleDeleted val="0"/>
    <c:plotArea>
      <c:layout/>
      <c:pieChart>
        <c:varyColors val="1"/>
        <c:ser>
          <c:idx val="0"/>
          <c:order val="0"/>
          <c:tx>
            <c:strRef>
              <c:f>Sheet0!$B$1</c:f>
              <c:strCache>
                <c:ptCount val="1"/>
                <c:pt idx="0">
                  <c:v>支出</c:v>
                </c:pt>
              </c:strCache>
            </c:strRef>
          </c:tx>
          <c:explosion val="0"/>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Lbls>
            <c:dLbl>
              <c:idx val="2"/>
              <c:layout>
                <c:manualLayout>
                  <c:x val="-0.03900372940115"/>
                  <c:y val="0.0328271436107878"/>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4"/>
              <c:layout>
                <c:manualLayout>
                  <c:x val="0.0389887693586102"/>
                  <c:y val="0.0105112295100623"/>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Sheet0!$A$2:$A$6</c:f>
              <c:strCache>
                <c:ptCount val="5"/>
                <c:pt idx="0">
                  <c:v>基本支出</c:v>
                </c:pt>
                <c:pt idx="1">
                  <c:v>项目支出</c:v>
                </c:pt>
                <c:pt idx="2">
                  <c:v>上缴上级支出</c:v>
                </c:pt>
                <c:pt idx="3">
                  <c:v>经营支出</c:v>
                </c:pt>
                <c:pt idx="4">
                  <c:v>对附属单位补助支出</c:v>
                </c:pt>
              </c:strCache>
            </c:strRef>
          </c:cat>
          <c:val>
            <c:numRef>
              <c:f>Sheet0!$B$2:$B$6</c:f>
              <c:numCache>
                <c:formatCode>General</c:formatCode>
                <c:ptCount val="5"/>
                <c:pt idx="0">
                  <c:v>438.93</c:v>
                </c:pt>
                <c:pt idx="1">
                  <c:v>1426.88</c:v>
                </c:pt>
                <c:pt idx="2">
                  <c:v>0</c:v>
                </c:pt>
                <c:pt idx="3">
                  <c:v>0</c:v>
                </c:pt>
                <c:pt idx="4">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3"/>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4"/>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chart>
  <c:spPr>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3819</Words>
  <Characters>6444</Characters>
  <Lines>44</Lines>
  <Paragraphs>12</Paragraphs>
  <TotalTime>39</TotalTime>
  <ScaleCrop>false</ScaleCrop>
  <LinksUpToDate>false</LinksUpToDate>
  <CharactersWithSpaces>6463</CharactersWithSpaces>
  <Application>WPS Office_11.8.2.12011_F1E327BC-269C-435d-A152-05C5408002CA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2017-07-11T15:16:00Z</dcterms:created>
  <dc:creator>常程</dc:creator>
  <cp:lastModifiedBy>Ü不爱吃 的喵</cp:lastModifiedBy>
  <cp:lastPrinted>2020-08-07T11:39:00Z</cp:lastPrinted>
  <dcterms:modified xsi:type="dcterms:W3CDTF">2025-08-28T04:29:25Z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2052-11.8.2.12011</vt:lpwstr>
  </property>
  <property fmtid="{D5CDD505-2E9C-101B-9397-08002B2CF9AE}" pid="3" name="ICV">
    <vt:lpwstr>7438EE01414740C98E84FF3A1A41675E</vt:lpwstr>
  </property>
  <property fmtid="{D5CDD505-2E9C-101B-9397-08002B2CF9AE}" pid="4" name="KSOTemplateDocerSaveRecord">
    <vt:lpwstr>eyJoZGlkIjoiMzc4NWY1MzkzMjk1MGZhYTYzN2RlYzY2ZjI5NzA1ZTciLCJ1c2VySWQiOiIxMDExMTUzMTMyIn0=</vt:lpwstr>
  </property>
</Properties>
</file>