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仿宋_GB2312" w:hAnsi="Times New Roman" w:eastAsia="仿宋_GB2312" w:cs="Times New Roman"/>
          <w:b/>
          <w:sz w:val="44"/>
          <w:szCs w:val="44"/>
        </w:rPr>
      </w:pPr>
    </w:p>
    <w:p>
      <w:pPr>
        <w:spacing w:line="640" w:lineRule="exact"/>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t>1.</w:t>
      </w:r>
      <w:r>
        <w:rPr>
          <w:rFonts w:hint="eastAsia"/>
          <w:b/>
        </w:rPr>
        <w:t xml:space="preserve"> </w:t>
      </w:r>
      <w:r>
        <w:rPr>
          <w:rFonts w:hint="eastAsia" w:ascii="仿宋_GB2312" w:hAnsi="Times New Roman" w:eastAsia="仿宋_GB2312" w:cs="Times New Roman"/>
          <w:b/>
          <w:sz w:val="32"/>
          <w:szCs w:val="32"/>
        </w:rPr>
        <w:t>项目支出绩效自评表</w:t>
      </w:r>
    </w:p>
    <w:tbl>
      <w:tblPr>
        <w:tblStyle w:val="4"/>
        <w:tblW w:w="8928" w:type="dxa"/>
        <w:jc w:val="center"/>
        <w:tblLayout w:type="fixed"/>
        <w:tblCellMar>
          <w:top w:w="0" w:type="dxa"/>
          <w:left w:w="108" w:type="dxa"/>
          <w:bottom w:w="0" w:type="dxa"/>
          <w:right w:w="108" w:type="dxa"/>
        </w:tblCellMar>
      </w:tblPr>
      <w:tblGrid>
        <w:gridCol w:w="578"/>
        <w:gridCol w:w="888"/>
        <w:gridCol w:w="954"/>
        <w:gridCol w:w="931"/>
        <w:gridCol w:w="140"/>
        <w:gridCol w:w="974"/>
        <w:gridCol w:w="1118"/>
        <w:gridCol w:w="1037"/>
        <w:gridCol w:w="493"/>
        <w:gridCol w:w="280"/>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3"/>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3"/>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（2024年度）</w:t>
            </w:r>
          </w:p>
        </w:tc>
      </w:tr>
      <w:tr>
        <w:tblPrEx>
          <w:tblCellMar>
            <w:top w:w="0" w:type="dxa"/>
            <w:left w:w="108" w:type="dxa"/>
            <w:bottom w:w="0" w:type="dxa"/>
            <w:right w:w="108" w:type="dxa"/>
          </w:tblCellMar>
        </w:tblPrEx>
        <w:trPr>
          <w:trHeight w:val="291" w:hRule="exact"/>
          <w:jc w:val="center"/>
        </w:trPr>
        <w:tc>
          <w:tcPr>
            <w:tcW w:w="146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462"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华文仿宋" w:hAnsi="华文仿宋" w:eastAsia="华文仿宋" w:cs="宋体"/>
                <w:kern w:val="0"/>
                <w:szCs w:val="21"/>
              </w:rPr>
              <w:t>西城区粤东新馆保护利用工程</w:t>
            </w:r>
          </w:p>
        </w:tc>
      </w:tr>
      <w:tr>
        <w:tblPrEx>
          <w:tblCellMar>
            <w:top w:w="0" w:type="dxa"/>
            <w:left w:w="108" w:type="dxa"/>
            <w:bottom w:w="0" w:type="dxa"/>
            <w:right w:w="108" w:type="dxa"/>
          </w:tblCellMar>
        </w:tblPrEx>
        <w:trPr>
          <w:trHeight w:val="291" w:hRule="exact"/>
          <w:jc w:val="center"/>
        </w:trPr>
        <w:tc>
          <w:tcPr>
            <w:tcW w:w="146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117"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华文仿宋" w:hAnsi="华文仿宋" w:eastAsia="华文仿宋" w:cs="宋体"/>
                <w:kern w:val="0"/>
                <w:szCs w:val="21"/>
              </w:rPr>
            </w:pPr>
            <w:r>
              <w:rPr>
                <w:rFonts w:hint="eastAsia" w:ascii="华文仿宋" w:hAnsi="华文仿宋" w:eastAsia="华文仿宋" w:cs="宋体"/>
                <w:kern w:val="0"/>
                <w:szCs w:val="21"/>
              </w:rPr>
              <w:t>西城区人民政府</w:t>
            </w:r>
          </w:p>
        </w:tc>
        <w:tc>
          <w:tcPr>
            <w:tcW w:w="10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30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146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117"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联系电话</w:t>
            </w:r>
          </w:p>
        </w:tc>
        <w:tc>
          <w:tcPr>
            <w:tcW w:w="230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474" w:hRule="exact"/>
          <w:jc w:val="center"/>
        </w:trPr>
        <w:tc>
          <w:tcPr>
            <w:tcW w:w="1466"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0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77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46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85"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20万元</w:t>
            </w:r>
          </w:p>
        </w:tc>
        <w:tc>
          <w:tcPr>
            <w:tcW w:w="1118"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20万元</w:t>
            </w:r>
          </w:p>
        </w:tc>
        <w:tc>
          <w:tcPr>
            <w:tcW w:w="10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10.8222万元</w:t>
            </w:r>
          </w:p>
        </w:tc>
        <w:tc>
          <w:tcPr>
            <w:tcW w:w="77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54%</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w:t>
            </w:r>
          </w:p>
        </w:tc>
      </w:tr>
      <w:tr>
        <w:tblPrEx>
          <w:tblCellMar>
            <w:top w:w="0" w:type="dxa"/>
            <w:left w:w="108" w:type="dxa"/>
            <w:bottom w:w="0" w:type="dxa"/>
            <w:right w:w="108" w:type="dxa"/>
          </w:tblCellMar>
        </w:tblPrEx>
        <w:trPr>
          <w:trHeight w:val="291" w:hRule="exact"/>
          <w:jc w:val="center"/>
        </w:trPr>
        <w:tc>
          <w:tcPr>
            <w:tcW w:w="146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20万元</w:t>
            </w:r>
          </w:p>
        </w:tc>
        <w:tc>
          <w:tcPr>
            <w:tcW w:w="1118"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20万元</w:t>
            </w:r>
          </w:p>
        </w:tc>
        <w:tc>
          <w:tcPr>
            <w:tcW w:w="10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10.8222万元</w:t>
            </w:r>
          </w:p>
        </w:tc>
        <w:tc>
          <w:tcPr>
            <w:tcW w:w="77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46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7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46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7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green"/>
              </w:rPr>
            </w:pPr>
            <w:r>
              <w:rPr>
                <w:rFonts w:hint="eastAsia" w:ascii="宋体" w:hAnsi="宋体" w:eastAsia="宋体" w:cs="宋体"/>
                <w:kern w:val="0"/>
                <w:sz w:val="18"/>
                <w:szCs w:val="18"/>
                <w:highlight w:val="green"/>
              </w:rPr>
              <w:t>预期目标</w:t>
            </w:r>
          </w:p>
        </w:tc>
        <w:tc>
          <w:tcPr>
            <w:tcW w:w="334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green"/>
              </w:rPr>
            </w:pPr>
            <w:r>
              <w:rPr>
                <w:rFonts w:hint="eastAsia" w:ascii="宋体" w:hAnsi="宋体" w:eastAsia="宋体" w:cs="宋体"/>
                <w:kern w:val="0"/>
                <w:sz w:val="18"/>
                <w:szCs w:val="18"/>
                <w:highlight w:val="green"/>
              </w:rPr>
              <w:t>实际完成情况</w:t>
            </w:r>
          </w:p>
        </w:tc>
      </w:tr>
      <w:tr>
        <w:tblPrEx>
          <w:tblCellMar>
            <w:top w:w="0" w:type="dxa"/>
            <w:left w:w="108" w:type="dxa"/>
            <w:bottom w:w="0" w:type="dxa"/>
            <w:right w:w="108" w:type="dxa"/>
          </w:tblCellMar>
        </w:tblPrEx>
        <w:trPr>
          <w:trHeight w:val="1363"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完成原址文物修缮施工；完成产权注销及用地划拨手续办理；</w:t>
            </w:r>
          </w:p>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完成新建部分多规会商、工程规证手续办理。</w:t>
            </w:r>
          </w:p>
        </w:tc>
        <w:tc>
          <w:tcPr>
            <w:tcW w:w="334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完成项目钉桩测绘、方案公示及多规会商手续办理，完成现状房屋房产测绘，申报古树避让保护方案并按照园林主管部门意见调整设计方案，按照发改委要求重新申报项目可研。</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88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95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107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209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10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4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42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highlight w:val="green"/>
              </w:rPr>
              <w:t>偏差原因分析及改进措施</w:t>
            </w:r>
          </w:p>
        </w:tc>
      </w:tr>
      <w:tr>
        <w:tblPrEx>
          <w:tblCellMar>
            <w:top w:w="0" w:type="dxa"/>
            <w:left w:w="108" w:type="dxa"/>
            <w:bottom w:w="0" w:type="dxa"/>
            <w:right w:w="108" w:type="dxa"/>
          </w:tblCellMar>
        </w:tblPrEx>
        <w:trPr>
          <w:trHeight w:val="122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954"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1071" w:type="dxa"/>
            <w:gridSpan w:val="2"/>
            <w:tcBorders>
              <w:top w:val="single" w:color="auto" w:sz="4" w:space="0"/>
              <w:left w:val="nil"/>
              <w:bottom w:val="single" w:color="auto" w:sz="4" w:space="0"/>
              <w:right w:val="single" w:color="auto" w:sz="4" w:space="0"/>
            </w:tcBorders>
            <w:vAlign w:val="center"/>
          </w:tcPr>
          <w:p>
            <w:pPr>
              <w:widowControl/>
              <w:spacing w:line="20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2092" w:type="dxa"/>
            <w:gridSpan w:val="2"/>
            <w:tcBorders>
              <w:top w:val="nil"/>
              <w:left w:val="nil"/>
              <w:bottom w:val="single" w:color="auto" w:sz="4" w:space="0"/>
              <w:right w:val="single" w:color="auto" w:sz="4" w:space="0"/>
            </w:tcBorders>
            <w:shd w:val="clear" w:color="auto" w:fill="auto"/>
            <w:vAlign w:val="center"/>
          </w:tcPr>
          <w:p>
            <w:pPr>
              <w:widowControl/>
              <w:spacing w:line="20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6"/>
                <w:szCs w:val="16"/>
              </w:rPr>
              <w:t>项目总建筑面积2711.77平方米，其中地上面积1058.77平方米，包括文物修缮面积963.8平方米，规划新建面积94.97平方米；地下建筑面积1653平方米</w:t>
            </w:r>
          </w:p>
        </w:tc>
        <w:tc>
          <w:tcPr>
            <w:tcW w:w="1037" w:type="dxa"/>
            <w:tcBorders>
              <w:top w:val="nil"/>
              <w:left w:val="nil"/>
              <w:bottom w:val="single" w:color="auto" w:sz="4" w:space="0"/>
              <w:right w:val="single" w:color="auto" w:sz="4" w:space="0"/>
            </w:tcBorders>
            <w:vAlign w:val="center"/>
          </w:tcPr>
          <w:p>
            <w:pPr>
              <w:widowControl/>
              <w:spacing w:line="200" w:lineRule="exact"/>
              <w:jc w:val="left"/>
              <w:rPr>
                <w:rFonts w:ascii="宋体" w:hAnsi="宋体" w:eastAsia="宋体" w:cs="宋体"/>
                <w:color w:val="000000"/>
                <w:kern w:val="0"/>
                <w:sz w:val="16"/>
                <w:szCs w:val="16"/>
              </w:rPr>
            </w:pPr>
            <w:r>
              <w:rPr>
                <w:rFonts w:hint="eastAsia" w:ascii="宋体" w:hAnsi="宋体" w:eastAsia="宋体" w:cs="宋体"/>
                <w:color w:val="000000"/>
                <w:kern w:val="0"/>
                <w:sz w:val="16"/>
                <w:szCs w:val="16"/>
              </w:rPr>
              <w:t>最新方案项目</w:t>
            </w:r>
            <w:r>
              <w:rPr>
                <w:rFonts w:ascii="宋体" w:hAnsi="宋体" w:eastAsia="宋体" w:cs="宋体"/>
                <w:color w:val="000000"/>
                <w:kern w:val="0"/>
                <w:sz w:val="16"/>
                <w:szCs w:val="16"/>
              </w:rPr>
              <w:t>总建筑面积</w:t>
            </w:r>
            <w:r>
              <w:rPr>
                <w:rFonts w:hint="eastAsia" w:ascii="宋体" w:hAnsi="宋体" w:eastAsia="宋体" w:cs="宋体"/>
                <w:color w:val="000000"/>
                <w:kern w:val="0"/>
                <w:sz w:val="16"/>
                <w:szCs w:val="16"/>
              </w:rPr>
              <w:t>2095.18</w:t>
            </w:r>
            <w:r>
              <w:rPr>
                <w:rFonts w:ascii="宋体" w:hAnsi="宋体" w:eastAsia="宋体" w:cs="宋体"/>
                <w:color w:val="000000"/>
                <w:kern w:val="0"/>
                <w:sz w:val="16"/>
                <w:szCs w:val="16"/>
              </w:rPr>
              <w:t>平方米</w:t>
            </w:r>
          </w:p>
        </w:tc>
        <w:tc>
          <w:tcPr>
            <w:tcW w:w="493"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42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14</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00" w:lineRule="exact"/>
              <w:jc w:val="left"/>
              <w:rPr>
                <w:rFonts w:ascii="宋体" w:hAnsi="宋体" w:eastAsia="宋体" w:cs="宋体"/>
                <w:color w:val="000000"/>
                <w:kern w:val="0"/>
                <w:sz w:val="16"/>
                <w:szCs w:val="16"/>
              </w:rPr>
            </w:pPr>
            <w:r>
              <w:rPr>
                <w:rFonts w:hint="eastAsia" w:ascii="宋体" w:hAnsi="宋体" w:eastAsia="宋体" w:cs="宋体"/>
                <w:color w:val="000000"/>
                <w:kern w:val="0"/>
                <w:sz w:val="16"/>
                <w:szCs w:val="16"/>
              </w:rPr>
              <w:t>因古树生长，取消地上17号文物复建及地下部分建筑。改进措施：尽快稳定方案并取得方案批复</w:t>
            </w:r>
          </w:p>
        </w:tc>
      </w:tr>
      <w:tr>
        <w:tblPrEx>
          <w:tblCellMar>
            <w:top w:w="0" w:type="dxa"/>
            <w:left w:w="108" w:type="dxa"/>
            <w:bottom w:w="0" w:type="dxa"/>
            <w:right w:w="108" w:type="dxa"/>
          </w:tblCellMar>
        </w:tblPrEx>
        <w:trPr>
          <w:trHeight w:val="299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54"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1071" w:type="dxa"/>
            <w:gridSpan w:val="2"/>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ascii="宋体" w:hAnsi="宋体" w:eastAsia="宋体" w:cs="宋体"/>
                <w:color w:val="000000"/>
                <w:kern w:val="0"/>
                <w:sz w:val="16"/>
                <w:szCs w:val="16"/>
              </w:rPr>
            </w:pPr>
            <w:r>
              <w:rPr>
                <w:rFonts w:hint="eastAsia" w:ascii="宋体" w:hAnsi="宋体" w:eastAsia="宋体" w:cs="宋体"/>
                <w:color w:val="000000"/>
                <w:kern w:val="0"/>
                <w:sz w:val="18"/>
                <w:szCs w:val="18"/>
              </w:rPr>
              <w:t>指标1：</w:t>
            </w:r>
          </w:p>
        </w:tc>
        <w:tc>
          <w:tcPr>
            <w:tcW w:w="2092"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0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原址保留粤东新馆西路第二进院，将粤东新馆东路于菜市口大街道路工程中确定迁建的建筑及进入南横西街道路红线的建筑迁建至13号院西侧、道路红线以外。按照规制统一规划、完整布局，形成自西向东并排的四组院落，横贯南半截胡同至菜市口大街。周边辅助以绿化美化并根据空间情况作雕塑等小景设计，实现法源寺历史文化保护区东南角的环境整治提升，并与对面中山会馆、中信文物广场形成辉映景观</w:t>
            </w:r>
          </w:p>
        </w:tc>
        <w:tc>
          <w:tcPr>
            <w:tcW w:w="1037" w:type="dxa"/>
            <w:tcBorders>
              <w:top w:val="single" w:color="auto" w:sz="4" w:space="0"/>
              <w:left w:val="nil"/>
              <w:bottom w:val="single" w:color="auto" w:sz="4" w:space="0"/>
              <w:right w:val="single" w:color="auto" w:sz="4" w:space="0"/>
            </w:tcBorders>
            <w:vAlign w:val="center"/>
          </w:tcPr>
          <w:p>
            <w:pPr>
              <w:widowControl/>
              <w:spacing w:line="20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最新方案已按照要求实现规划</w:t>
            </w:r>
          </w:p>
        </w:tc>
        <w:tc>
          <w:tcPr>
            <w:tcW w:w="4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4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00" w:lineRule="exact"/>
              <w:jc w:val="left"/>
              <w:rPr>
                <w:rFonts w:ascii="宋体" w:hAnsi="宋体" w:eastAsia="宋体" w:cs="宋体"/>
                <w:color w:val="000000"/>
                <w:kern w:val="0"/>
                <w:sz w:val="16"/>
                <w:szCs w:val="16"/>
              </w:rPr>
            </w:pPr>
            <w:r>
              <w:rPr>
                <w:rFonts w:hint="eastAsia" w:ascii="宋体" w:hAnsi="宋体" w:eastAsia="宋体" w:cs="宋体"/>
                <w:color w:val="000000"/>
                <w:kern w:val="0"/>
                <w:sz w:val="16"/>
                <w:szCs w:val="16"/>
              </w:rPr>
              <w:t>无偏差</w:t>
            </w:r>
          </w:p>
        </w:tc>
      </w:tr>
      <w:tr>
        <w:tblPrEx>
          <w:tblCellMar>
            <w:top w:w="0" w:type="dxa"/>
            <w:left w:w="108" w:type="dxa"/>
            <w:bottom w:w="0" w:type="dxa"/>
            <w:right w:w="108" w:type="dxa"/>
          </w:tblCellMar>
        </w:tblPrEx>
        <w:trPr>
          <w:trHeight w:val="131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5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1071" w:type="dxa"/>
            <w:gridSpan w:val="2"/>
            <w:tcBorders>
              <w:top w:val="single" w:color="auto" w:sz="4" w:space="0"/>
              <w:left w:val="nil"/>
              <w:bottom w:val="single" w:color="auto" w:sz="4" w:space="0"/>
              <w:right w:val="single" w:color="auto" w:sz="4" w:space="0"/>
            </w:tcBorders>
            <w:vAlign w:val="center"/>
          </w:tcPr>
          <w:p>
            <w:pPr>
              <w:widowControl/>
              <w:spacing w:line="200" w:lineRule="exact"/>
              <w:jc w:val="left"/>
              <w:rPr>
                <w:rFonts w:ascii="宋体" w:hAnsi="宋体" w:eastAsia="宋体" w:cs="宋体"/>
                <w:color w:val="000000"/>
                <w:kern w:val="0"/>
                <w:sz w:val="16"/>
                <w:szCs w:val="16"/>
              </w:rPr>
            </w:pPr>
            <w:r>
              <w:rPr>
                <w:rFonts w:hint="eastAsia" w:ascii="宋体" w:hAnsi="宋体" w:eastAsia="宋体" w:cs="宋体"/>
                <w:color w:val="000000"/>
                <w:kern w:val="0"/>
                <w:sz w:val="18"/>
                <w:szCs w:val="18"/>
              </w:rPr>
              <w:t>指标1：</w:t>
            </w:r>
          </w:p>
        </w:tc>
        <w:tc>
          <w:tcPr>
            <w:tcW w:w="20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2024年完成原址文物修缮施工，完成产权注销及用地划拨手续办理，完成新建部分多规会商、工程规证前期手续办理</w:t>
            </w:r>
          </w:p>
        </w:tc>
        <w:tc>
          <w:tcPr>
            <w:tcW w:w="1037" w:type="dxa"/>
            <w:tcBorders>
              <w:top w:val="single" w:color="auto" w:sz="4" w:space="0"/>
              <w:left w:val="nil"/>
              <w:bottom w:val="single" w:color="auto" w:sz="4" w:space="0"/>
              <w:right w:val="single" w:color="auto" w:sz="4" w:space="0"/>
            </w:tcBorders>
            <w:vAlign w:val="center"/>
          </w:tcPr>
          <w:p>
            <w:pPr>
              <w:widowControl/>
              <w:spacing w:line="20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完成钉桩测绘、房产测绘及多规会商手续办理，申报古树避让方案</w:t>
            </w:r>
          </w:p>
        </w:tc>
        <w:tc>
          <w:tcPr>
            <w:tcW w:w="4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4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color w:val="000000"/>
                <w:kern w:val="0"/>
                <w:sz w:val="16"/>
                <w:szCs w:val="16"/>
              </w:rPr>
              <w:t>因方案不稳定，影响项目前期手续办理进度。改进措施：尽快稳定方案并批复</w:t>
            </w:r>
          </w:p>
        </w:tc>
      </w:tr>
      <w:tr>
        <w:tblPrEx>
          <w:tblCellMar>
            <w:top w:w="0" w:type="dxa"/>
            <w:left w:w="108" w:type="dxa"/>
            <w:bottom w:w="0" w:type="dxa"/>
            <w:right w:w="108" w:type="dxa"/>
          </w:tblCellMar>
        </w:tblPrEx>
        <w:trPr>
          <w:trHeight w:val="166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5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1071" w:type="dxa"/>
            <w:gridSpan w:val="2"/>
            <w:tcBorders>
              <w:top w:val="single" w:color="auto" w:sz="4" w:space="0"/>
              <w:left w:val="nil"/>
              <w:right w:val="single" w:color="auto" w:sz="4" w:space="0"/>
            </w:tcBorders>
            <w:vAlign w:val="center"/>
          </w:tcPr>
          <w:p>
            <w:pPr>
              <w:widowControl/>
              <w:spacing w:line="240" w:lineRule="exact"/>
              <w:jc w:val="left"/>
              <w:rPr>
                <w:rFonts w:ascii="宋体" w:hAnsi="宋体" w:eastAsia="宋体" w:cs="宋体"/>
                <w:color w:val="000000"/>
                <w:kern w:val="0"/>
                <w:sz w:val="16"/>
                <w:szCs w:val="16"/>
              </w:rPr>
            </w:pPr>
            <w:r>
              <w:rPr>
                <w:rFonts w:hint="eastAsia" w:ascii="宋体" w:hAnsi="宋体" w:eastAsia="宋体" w:cs="宋体"/>
                <w:color w:val="000000"/>
                <w:kern w:val="0"/>
                <w:sz w:val="18"/>
                <w:szCs w:val="18"/>
              </w:rPr>
              <w:t>指标1：</w:t>
            </w:r>
          </w:p>
        </w:tc>
        <w:tc>
          <w:tcPr>
            <w:tcW w:w="20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2024年完成投资20万元</w:t>
            </w:r>
          </w:p>
        </w:tc>
        <w:tc>
          <w:tcPr>
            <w:tcW w:w="1037" w:type="dxa"/>
            <w:tcBorders>
              <w:top w:val="single" w:color="auto" w:sz="4" w:space="0"/>
              <w:left w:val="nil"/>
              <w:bottom w:val="single" w:color="auto" w:sz="4" w:space="0"/>
              <w:right w:val="single" w:color="auto" w:sz="4" w:space="0"/>
            </w:tcBorders>
            <w:vAlign w:val="center"/>
          </w:tcPr>
          <w:p>
            <w:pPr>
              <w:widowControl/>
              <w:spacing w:line="20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完成投资10.8222万元</w:t>
            </w:r>
          </w:p>
        </w:tc>
        <w:tc>
          <w:tcPr>
            <w:tcW w:w="4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4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color w:val="000000"/>
                <w:kern w:val="0"/>
                <w:sz w:val="15"/>
                <w:szCs w:val="15"/>
              </w:rPr>
              <w:t>因前期手续办理</w:t>
            </w:r>
            <w:bookmarkStart w:id="0" w:name="_GoBack"/>
            <w:bookmarkEnd w:id="0"/>
            <w:r>
              <w:rPr>
                <w:rFonts w:hint="eastAsia" w:ascii="宋体" w:hAnsi="宋体" w:eastAsia="宋体" w:cs="宋体"/>
                <w:color w:val="000000"/>
                <w:kern w:val="0"/>
                <w:sz w:val="15"/>
                <w:szCs w:val="15"/>
              </w:rPr>
              <w:t>进度较原计划滞后影响资金支出进度。将加快前期手续办理，确保投资按计划执行。</w:t>
            </w:r>
          </w:p>
        </w:tc>
      </w:tr>
      <w:tr>
        <w:tblPrEx>
          <w:tblCellMar>
            <w:top w:w="0" w:type="dxa"/>
            <w:left w:w="108" w:type="dxa"/>
            <w:bottom w:w="0" w:type="dxa"/>
            <w:right w:w="108" w:type="dxa"/>
          </w:tblCellMar>
        </w:tblPrEx>
        <w:trPr>
          <w:trHeight w:val="157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88"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954" w:type="dxa"/>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71" w:type="dxa"/>
            <w:gridSpan w:val="2"/>
            <w:tcBorders>
              <w:top w:val="single" w:color="auto" w:sz="4" w:space="0"/>
              <w:left w:val="nil"/>
              <w:right w:val="single" w:color="auto" w:sz="4" w:space="0"/>
            </w:tcBorders>
            <w:vAlign w:val="center"/>
          </w:tcPr>
          <w:p>
            <w:pPr>
              <w:widowControl/>
              <w:spacing w:line="200" w:lineRule="exact"/>
              <w:jc w:val="left"/>
              <w:rPr>
                <w:rFonts w:ascii="宋体" w:hAnsi="宋体" w:eastAsia="宋体" w:cs="宋体"/>
                <w:color w:val="000000"/>
                <w:kern w:val="0"/>
                <w:sz w:val="16"/>
                <w:szCs w:val="16"/>
              </w:rPr>
            </w:pPr>
            <w:r>
              <w:rPr>
                <w:rFonts w:hint="eastAsia" w:ascii="宋体" w:hAnsi="宋体" w:eastAsia="宋体" w:cs="宋体"/>
                <w:color w:val="000000"/>
                <w:kern w:val="0"/>
                <w:sz w:val="18"/>
                <w:szCs w:val="18"/>
              </w:rPr>
              <w:t>指标1：</w:t>
            </w:r>
          </w:p>
        </w:tc>
        <w:tc>
          <w:tcPr>
            <w:tcW w:w="2092" w:type="dxa"/>
            <w:gridSpan w:val="2"/>
            <w:tcBorders>
              <w:top w:val="single" w:color="auto" w:sz="4" w:space="0"/>
              <w:left w:val="single" w:color="auto" w:sz="4" w:space="0"/>
              <w:right w:val="single" w:color="auto" w:sz="4" w:space="0"/>
            </w:tcBorders>
            <w:shd w:val="clear" w:color="auto" w:fill="auto"/>
            <w:vAlign w:val="center"/>
          </w:tcPr>
          <w:p>
            <w:pPr>
              <w:widowControl/>
              <w:spacing w:line="20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将粤东新馆建设成为历史教育基地，并重点打造集史料收藏、学术研究、成果发布、人才培养、海内外文化交流、青少年爱国主义教育为一体的、具有广泛影响力及学术权威的戊戌维新文化高地</w:t>
            </w:r>
          </w:p>
        </w:tc>
        <w:tc>
          <w:tcPr>
            <w:tcW w:w="1037" w:type="dxa"/>
            <w:tcBorders>
              <w:top w:val="single" w:color="auto" w:sz="4" w:space="0"/>
              <w:left w:val="nil"/>
              <w:right w:val="single" w:color="auto" w:sz="4" w:space="0"/>
            </w:tcBorders>
            <w:vAlign w:val="center"/>
          </w:tcPr>
          <w:p>
            <w:pPr>
              <w:widowControl/>
              <w:spacing w:line="240" w:lineRule="exact"/>
              <w:jc w:val="center"/>
              <w:rPr>
                <w:rFonts w:ascii="宋体" w:hAnsi="宋体" w:eastAsia="宋体" w:cs="宋体"/>
                <w:kern w:val="0"/>
                <w:sz w:val="16"/>
                <w:szCs w:val="16"/>
              </w:rPr>
            </w:pPr>
            <w:r>
              <w:rPr>
                <w:rFonts w:hint="eastAsia" w:ascii="宋体" w:hAnsi="宋体" w:eastAsia="宋体" w:cs="宋体"/>
                <w:kern w:val="0"/>
                <w:sz w:val="16"/>
                <w:szCs w:val="16"/>
              </w:rPr>
              <w:t>方案已按要求实现</w:t>
            </w:r>
          </w:p>
        </w:tc>
        <w:tc>
          <w:tcPr>
            <w:tcW w:w="493" w:type="dxa"/>
            <w:tcBorders>
              <w:top w:val="single" w:color="auto" w:sz="4" w:space="0"/>
              <w:left w:val="nil"/>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421" w:type="dxa"/>
            <w:gridSpan w:val="2"/>
            <w:tcBorders>
              <w:top w:val="single" w:color="auto" w:sz="4" w:space="0"/>
              <w:left w:val="nil"/>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1089" w:hRule="exact"/>
          <w:jc w:val="center"/>
        </w:trPr>
        <w:tc>
          <w:tcPr>
            <w:tcW w:w="5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95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1071" w:type="dxa"/>
            <w:gridSpan w:val="2"/>
            <w:tcBorders>
              <w:top w:val="single" w:color="auto" w:sz="4" w:space="0"/>
              <w:left w:val="nil"/>
              <w:bottom w:val="single" w:color="auto" w:sz="4" w:space="0"/>
              <w:right w:val="single" w:color="auto" w:sz="4" w:space="0"/>
            </w:tcBorders>
            <w:vAlign w:val="center"/>
          </w:tcPr>
          <w:p>
            <w:pPr>
              <w:widowControl/>
              <w:spacing w:line="200" w:lineRule="exact"/>
              <w:jc w:val="left"/>
              <w:rPr>
                <w:rFonts w:ascii="宋体" w:hAnsi="宋体" w:eastAsia="宋体" w:cs="宋体"/>
                <w:color w:val="000000"/>
                <w:kern w:val="0"/>
                <w:sz w:val="16"/>
                <w:szCs w:val="16"/>
              </w:rPr>
            </w:pPr>
            <w:r>
              <w:rPr>
                <w:rFonts w:hint="eastAsia" w:ascii="宋体" w:hAnsi="宋体" w:eastAsia="宋体" w:cs="宋体"/>
                <w:color w:val="000000"/>
                <w:kern w:val="0"/>
                <w:sz w:val="18"/>
                <w:szCs w:val="18"/>
              </w:rPr>
              <w:t>指标1：</w:t>
            </w:r>
          </w:p>
        </w:tc>
        <w:tc>
          <w:tcPr>
            <w:tcW w:w="2092"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00" w:lineRule="exact"/>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项目建成后拟作为公共文化设施，向社会开放。因此，本项目建设既是满足市民文化需求，也是提升社会效益的需要</w:t>
            </w:r>
          </w:p>
        </w:tc>
        <w:tc>
          <w:tcPr>
            <w:tcW w:w="10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6"/>
                <w:szCs w:val="16"/>
              </w:rPr>
            </w:pPr>
            <w:r>
              <w:rPr>
                <w:rFonts w:hint="eastAsia" w:ascii="宋体" w:hAnsi="宋体" w:eastAsia="宋体" w:cs="宋体"/>
                <w:kern w:val="0"/>
                <w:sz w:val="16"/>
                <w:szCs w:val="16"/>
              </w:rPr>
              <w:t>方案已按要求实现</w:t>
            </w:r>
          </w:p>
        </w:tc>
        <w:tc>
          <w:tcPr>
            <w:tcW w:w="4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4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291" w:hRule="exact"/>
          <w:jc w:val="center"/>
        </w:trPr>
        <w:tc>
          <w:tcPr>
            <w:tcW w:w="66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49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2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9</w:t>
            </w:r>
            <w:r>
              <w:rPr>
                <w:rFonts w:hint="eastAsia" w:ascii="宋体" w:hAnsi="宋体" w:eastAsia="宋体" w:cs="宋体"/>
                <w:color w:val="000000"/>
                <w:kern w:val="0"/>
                <w:sz w:val="18"/>
                <w:szCs w:val="18"/>
                <w:lang w:val="en-US" w:eastAsia="zh-CN"/>
              </w:rPr>
              <w:t>8</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spacing w:line="600" w:lineRule="exact"/>
        <w:rPr>
          <w:rFonts w:ascii="宋体" w:hAnsi="宋体" w:eastAsia="宋体" w:cs="宋体"/>
          <w:b/>
          <w:color w:val="000000"/>
          <w:kern w:val="0"/>
          <w:sz w:val="22"/>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3350"/>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1AC7"/>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166FF"/>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1724"/>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4CD8"/>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3D"/>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34E43FE"/>
    <w:rsid w:val="252C03CD"/>
    <w:rsid w:val="2A443FBA"/>
    <w:rsid w:val="3F892743"/>
    <w:rsid w:val="41401212"/>
    <w:rsid w:val="478552E3"/>
    <w:rsid w:val="4E481A1B"/>
    <w:rsid w:val="5E8C7702"/>
    <w:rsid w:val="5FF24ECB"/>
    <w:rsid w:val="73373C88"/>
    <w:rsid w:val="75354525"/>
    <w:rsid w:val="75617217"/>
    <w:rsid w:val="77AE0291"/>
    <w:rsid w:val="7B7A2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197</Words>
  <Characters>1123</Characters>
  <Lines>9</Lines>
  <Paragraphs>2</Paragraphs>
  <TotalTime>12</TotalTime>
  <ScaleCrop>false</ScaleCrop>
  <LinksUpToDate>false</LinksUpToDate>
  <CharactersWithSpaces>1318</CharactersWithSpaces>
  <Application>WPS Office_11.8.2.12011_F1E327BC-269C-435d-A152-05C5408002CA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2025-05-09T05:44:00Z</dcterms:created>
  <dc:creator>王雅婧</dc:creator>
  <cp:lastModifiedBy>姚远</cp:lastModifiedBy>
  <dcterms:modified xsi:type="dcterms:W3CDTF">2025-08-25T02:20:12Z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2052-11.8.2.12011</vt:lpwstr>
  </property>
  <property fmtid="{D5CDD505-2E9C-101B-9397-08002B2CF9AE}" pid="3" name="ICV">
    <vt:lpwstr>E88C3F2F6B3649719CD267E840275097_13</vt:lpwstr>
  </property>
  <property fmtid="{D5CDD505-2E9C-101B-9397-08002B2CF9AE}" pid="4" name="KSOTemplateDocerSaveRecord">
    <vt:lpwstr>eyJoZGlkIjoiOTA3NTRjOGNmZGMwMWM5YmVjZDViNWQ2ZTY2ZWQzZjEiLCJ1c2VySWQiOiIxNDY3MzU1Njk1In0=</vt:lpwstr>
  </property>
</Properties>
</file>