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769"/>
        <w:gridCol w:w="1041"/>
        <w:gridCol w:w="1086"/>
        <w:gridCol w:w="28"/>
        <w:gridCol w:w="1106"/>
        <w:gridCol w:w="849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</w:t>
            </w:r>
            <w:r>
              <w:rPr>
                <w:rFonts w:hint="eastAsia" w:asciiTheme="minorEastAsia" w:hAnsiTheme="minorEastAsia" w:cstheme="minorEastAsia"/>
                <w:szCs w:val="21"/>
                <w:lang w:eastAsia="zh-Hans"/>
              </w:rPr>
              <w:t>北京国际文旅消费博览会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39.98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99.95%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指标1：开展活动天数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≥3天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指标2：参与企业数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≥7家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整体活动传播广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现场执行率好，无重大事故情况出现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参加活动时间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6月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市文旅局整体活动时间调整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活动整体成本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40万元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39.98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指标1：经济效益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促进文旅游消费提升，对参与活动商家经济效益具备带动作用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结合、线上线下活动策划，促进文旅新消费场景融合创新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指标1：社会效益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助力文旅消费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助力文旅消费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活动影响力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突出文旅融合发展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拓展消费新场景，促进文化旅游产业链融合发展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1C0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0B0C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5C4E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166E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84A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869CB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608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3F95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3935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266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87C92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4DD2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132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246B5666"/>
    <w:rsid w:val="47F9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186</Words>
  <Characters>1066</Characters>
  <Lines>8</Lines>
  <Paragraphs>2</Paragraphs>
  <TotalTime>30</TotalTime>
  <ScaleCrop>false</ScaleCrop>
  <LinksUpToDate>false</LinksUpToDate>
  <CharactersWithSpaces>1250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2025-08-25T02:31:04Z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