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080" w:firstLineChars="600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2024“南中轴·夜天桥”艺术推广活动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720" w:firstLineChars="400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620" w:firstLineChars="900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80万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80万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80万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80万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指标1：17场艺术推广活动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≥12场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指标2：市属媒体、西城区属媒体、网络媒体宣推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93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≥30家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指标1：文化艺术活动内容价值导向正确、内容积极健康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文化艺术活动内容价值导向正确、内容积极健康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指标2：遴选高质量演出及合作方资源、邀请行业重量级嘉宾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遴选高质量演出及合作方资源、邀请行业重量级嘉宾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指标3：演出或活动质量不发生重大安全及政治事故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演出或活动质量不发生重大安全及政治事故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指标1：支出符合专项资金管理规定，合法合规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支出符合专项资金管理规定，合法合规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指标2：演出费、场租费、宣传费等按批复金额执行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演出费、场租费、宣传费等按批复金额执行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指标1：吸引观众或参与人次预计惠及3000市民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≥3000人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指标2：活动上座率75%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≥75%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活动上座率还可以在提高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指标1：对现场演出观众、艺术展览及活动抽样10%观众做满意度调查问卷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活动满意度在90%以上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39D4"/>
    <w:rsid w:val="004C3A23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08C4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37FA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47E20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C4280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4C0D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04A62A1C"/>
    <w:rsid w:val="181F6915"/>
    <w:rsid w:val="1CBC46E5"/>
    <w:rsid w:val="23A34E07"/>
    <w:rsid w:val="29127DD1"/>
    <w:rsid w:val="299627B0"/>
    <w:rsid w:val="348C0732"/>
    <w:rsid w:val="3BAB20EB"/>
    <w:rsid w:val="4B7F3072"/>
    <w:rsid w:val="5186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563</Words>
  <Characters>632</Characters>
  <Lines>316</Lines>
  <Paragraphs>170</Paragraphs>
  <TotalTime>13</TotalTime>
  <ScaleCrop>false</ScaleCrop>
  <LinksUpToDate>false</LinksUpToDate>
  <CharactersWithSpaces>1025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姚远</cp:lastModifiedBy>
  <dcterms:modified xsi:type="dcterms:W3CDTF">2025-08-25T01:45:25Z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D5DA39BCCC0B48CC9E95BCA71B904925</vt:lpwstr>
  </property>
  <property fmtid="{D5CDD505-2E9C-101B-9397-08002B2CF9AE}" pid="4" name="KSOTemplateDocerSaveRecord">
    <vt:lpwstr>eyJoZGlkIjoiZTRiMTI3YjBlNDEyMWFkNmVkY2M2NjJhNmYyYjdhY2YifQ==</vt:lpwstr>
  </property>
</Properties>
</file>