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0C" w:rsidRDefault="00B52266">
      <w:pPr>
        <w:spacing w:line="640" w:lineRule="exact"/>
        <w:jc w:val="center"/>
        <w:rPr>
          <w:rFonts w:ascii="仿宋_GB2312" w:eastAsia="仿宋_GB2312" w:hAnsi="Times New Roman" w:cs="Times New Roman"/>
          <w:b/>
          <w:sz w:val="44"/>
          <w:szCs w:val="44"/>
        </w:rPr>
      </w:pPr>
      <w:r>
        <w:rPr>
          <w:rFonts w:ascii="仿宋_GB2312" w:eastAsia="仿宋_GB2312" w:hAnsi="Times New Roman" w:cs="Times New Roman" w:hint="eastAsia"/>
          <w:b/>
          <w:sz w:val="44"/>
          <w:szCs w:val="44"/>
        </w:rPr>
        <w:t>全年部门整体支出单位自评需报送资料</w:t>
      </w:r>
    </w:p>
    <w:p w:rsidR="001F0B0C" w:rsidRDefault="001F0B0C">
      <w:pPr>
        <w:spacing w:line="640" w:lineRule="exact"/>
        <w:jc w:val="center"/>
        <w:rPr>
          <w:rFonts w:ascii="仿宋_GB2312" w:eastAsia="仿宋_GB2312" w:hAnsi="Times New Roman" w:cs="Times New Roman"/>
          <w:b/>
          <w:sz w:val="44"/>
          <w:szCs w:val="44"/>
        </w:rPr>
      </w:pPr>
    </w:p>
    <w:p w:rsidR="001F0B0C" w:rsidRDefault="00B52266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9354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1040"/>
        <w:gridCol w:w="1062"/>
        <w:gridCol w:w="277"/>
        <w:gridCol w:w="280"/>
        <w:gridCol w:w="416"/>
        <w:gridCol w:w="141"/>
        <w:gridCol w:w="695"/>
        <w:gridCol w:w="699"/>
      </w:tblGrid>
      <w:tr w:rsidR="001F0B0C" w:rsidTr="00F756D3">
        <w:trPr>
          <w:trHeight w:hRule="exact" w:val="440"/>
          <w:jc w:val="center"/>
        </w:trPr>
        <w:tc>
          <w:tcPr>
            <w:tcW w:w="935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B0C" w:rsidRDefault="00B5226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F0B0C" w:rsidTr="00F756D3">
        <w:trPr>
          <w:trHeight w:val="194"/>
          <w:jc w:val="center"/>
        </w:trPr>
        <w:tc>
          <w:tcPr>
            <w:tcW w:w="935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F0B0C" w:rsidRDefault="00B5226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C37132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4F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《西城区文化产业高质量发展三年行动计划》（2023-2025年）尾款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4F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12.5万元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4F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12.5万元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4F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12.5万元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 w:rsidR="001F0B0C" w:rsidTr="00F756D3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4F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发布《西城区文化产业高质量发展三年行动计划》（2023-2025年）</w:t>
            </w:r>
          </w:p>
        </w:tc>
        <w:tc>
          <w:tcPr>
            <w:tcW w:w="3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C94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于2024年8月发布</w:t>
            </w:r>
          </w:p>
        </w:tc>
      </w:tr>
      <w:tr w:rsidR="001F0B0C" w:rsidTr="00F756D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符合国家、北京市文化产业相关政策、规划和发展方向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A6A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795E2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主要任务和重点项目具有较好的实施性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A6A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795E2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795E2A">
        <w:trPr>
          <w:trHeight w:hRule="exact" w:val="5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对外发布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A6A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2023年底或2024年初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2024年8月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795E2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795E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5E2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机构改革</w:t>
            </w:r>
            <w:r w:rsidR="00070122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及议事协调机构调整等</w:t>
            </w: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尾</w:t>
            </w:r>
            <w:proofErr w:type="gramStart"/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款总体</w:t>
            </w:r>
            <w:proofErr w:type="gramEnd"/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预算成本控制数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A6A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12.5万元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12.5万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795E2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有利于促进招商引资，增加文化经济活力。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持续提升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795E2A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795E2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为西城区文化产业高质量发展提供有力的实施支撑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持续提升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  <w:r w:rsidR="00BA6AAA"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为西城区文化产业发展发展提出指导思想、基本原则和发展目标；制定文化产业发展的主要指标，明确发展重点任务。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持续提升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B522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756D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Pr="00F756D3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0B0C" w:rsidTr="00F756D3">
        <w:trPr>
          <w:trHeight w:hRule="exact" w:val="291"/>
          <w:jc w:val="center"/>
        </w:trPr>
        <w:tc>
          <w:tcPr>
            <w:tcW w:w="6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B522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F756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B0C" w:rsidRDefault="001F0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F0B0C" w:rsidRDefault="001F0B0C">
      <w:pPr>
        <w:rPr>
          <w:rFonts w:ascii="黑体" w:eastAsia="黑体" w:hAnsi="黑体" w:cs="Times New Roman"/>
          <w:szCs w:val="24"/>
        </w:rPr>
        <w:sectPr w:rsidR="001F0B0C">
          <w:footerReference w:type="even" r:id="rId7"/>
          <w:footerReference w:type="default" r:id="rId8"/>
          <w:footerReference w:type="first" r:id="rId9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1F0B0C" w:rsidRDefault="00B52266">
      <w:pPr>
        <w:jc w:val="center"/>
        <w:rPr>
          <w:rFonts w:ascii="Times New Roman" w:eastAsia="宋体" w:hAnsi="Times New Roman" w:cs="Times New Roman"/>
          <w:sz w:val="52"/>
          <w:szCs w:val="52"/>
        </w:rPr>
      </w:pPr>
      <w:bookmarkStart w:id="1" w:name="_Toc380588482"/>
      <w:bookmarkStart w:id="2" w:name="_Toc396293517"/>
      <w:r>
        <w:rPr>
          <w:rFonts w:ascii="Times New Roman" w:eastAsia="宋体" w:hAnsi="Times New Roman" w:cs="Times New Roman" w:hint="eastAsia"/>
          <w:b/>
          <w:sz w:val="52"/>
          <w:szCs w:val="52"/>
        </w:rPr>
        <w:lastRenderedPageBreak/>
        <w:t>2.</w:t>
      </w:r>
      <w:r>
        <w:rPr>
          <w:rFonts w:ascii="Times New Roman" w:eastAsia="宋体" w:hAnsi="Times New Roman" w:cs="Times New Roman" w:hint="eastAsia"/>
          <w:b/>
          <w:sz w:val="52"/>
          <w:szCs w:val="52"/>
        </w:rPr>
        <w:t>西城区项目支出绩效报告</w:t>
      </w:r>
      <w:bookmarkEnd w:id="1"/>
      <w:bookmarkEnd w:id="2"/>
    </w:p>
    <w:p w:rsidR="001F0B0C" w:rsidRDefault="001F0B0C"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eastAsia="宋体" w:hAnsi="Times New Roman" w:cs="Times New Roman"/>
          <w:sz w:val="30"/>
          <w:szCs w:val="30"/>
        </w:rPr>
      </w:pPr>
    </w:p>
    <w:p w:rsidR="001F0B0C" w:rsidRDefault="00B52266">
      <w:pPr>
        <w:spacing w:before="100" w:beforeAutospacing="1" w:after="100" w:afterAutospacing="1" w:line="312" w:lineRule="auto"/>
        <w:jc w:val="center"/>
        <w:rPr>
          <w:rFonts w:ascii="仿宋_GB2312" w:eastAsia="宋体" w:hAnsi="宋体" w:cs="Times New Roman"/>
          <w:sz w:val="32"/>
          <w:szCs w:val="32"/>
        </w:rPr>
      </w:pPr>
      <w:r>
        <w:rPr>
          <w:rFonts w:ascii="仿宋_GB2312" w:eastAsia="宋体" w:hAnsi="宋体" w:cs="Times New Roman" w:hint="eastAsia"/>
          <w:sz w:val="32"/>
          <w:szCs w:val="32"/>
        </w:rPr>
        <w:t>（</w:t>
      </w:r>
      <w:r>
        <w:rPr>
          <w:rFonts w:ascii="仿宋_GB2312" w:eastAsia="宋体" w:hAnsi="宋体" w:cs="Times New Roman" w:hint="eastAsia"/>
          <w:sz w:val="32"/>
          <w:szCs w:val="32"/>
        </w:rPr>
        <w:t xml:space="preserve">     </w:t>
      </w:r>
      <w:r>
        <w:rPr>
          <w:rFonts w:ascii="仿宋_GB2312" w:eastAsia="宋体" w:hAnsi="宋体" w:cs="Times New Roman" w:hint="eastAsia"/>
          <w:sz w:val="32"/>
          <w:szCs w:val="32"/>
        </w:rPr>
        <w:t>年度）</w:t>
      </w:r>
    </w:p>
    <w:p w:rsidR="001F0B0C" w:rsidRDefault="001F0B0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1F0B0C" w:rsidRDefault="001F0B0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1F0B0C" w:rsidRDefault="001F0B0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1F0B0C" w:rsidRDefault="001F0B0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1F0B0C" w:rsidRDefault="001F0B0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1F0B0C" w:rsidRDefault="001F0B0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</w:p>
    <w:p w:rsidR="001F0B0C" w:rsidRDefault="00B52266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>
        <w:rPr>
          <w:rFonts w:ascii="仿宋_GB2312" w:eastAsia="宋体" w:hAnsi="宋体" w:cs="Times New Roman" w:hint="eastAsia"/>
          <w:sz w:val="32"/>
          <w:szCs w:val="32"/>
        </w:rPr>
        <w:t>部门名称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       </w:t>
      </w:r>
    </w:p>
    <w:p w:rsidR="001F0B0C" w:rsidRDefault="00B52266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>
        <w:rPr>
          <w:rFonts w:ascii="仿宋_GB2312" w:eastAsia="宋体" w:hAnsi="宋体" w:cs="Times New Roman" w:hint="eastAsia"/>
          <w:sz w:val="32"/>
          <w:szCs w:val="32"/>
        </w:rPr>
        <w:t>项目名称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       </w:t>
      </w:r>
    </w:p>
    <w:p w:rsidR="001F0B0C" w:rsidRDefault="00B52266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>
        <w:rPr>
          <w:rFonts w:ascii="仿宋_GB2312" w:eastAsia="宋体" w:hAnsi="宋体" w:cs="Times New Roman" w:hint="eastAsia"/>
          <w:sz w:val="32"/>
          <w:szCs w:val="32"/>
        </w:rPr>
        <w:t>负责人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         </w:t>
      </w:r>
    </w:p>
    <w:p w:rsidR="001F0B0C" w:rsidRDefault="00B52266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>
        <w:rPr>
          <w:rFonts w:ascii="仿宋_GB2312" w:eastAsia="宋体" w:hAnsi="宋体" w:cs="Times New Roman" w:hint="eastAsia"/>
          <w:sz w:val="32"/>
          <w:szCs w:val="32"/>
        </w:rPr>
        <w:t>填报日期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       </w:t>
      </w:r>
    </w:p>
    <w:p w:rsidR="001F0B0C" w:rsidRDefault="00B52266">
      <w:pPr>
        <w:jc w:val="center"/>
        <w:rPr>
          <w:rFonts w:ascii="Arial" w:eastAsia="宋体" w:hAnsi="Arial" w:cs="Arial"/>
          <w:b/>
          <w:bCs/>
          <w:sz w:val="36"/>
          <w:szCs w:val="36"/>
        </w:rPr>
      </w:pPr>
      <w:r>
        <w:rPr>
          <w:rFonts w:ascii="仿宋_GB2312" w:eastAsia="宋体" w:hAnsi="宋体" w:cs="Times New Roman"/>
          <w:sz w:val="32"/>
          <w:szCs w:val="32"/>
          <w:u w:val="single"/>
        </w:rPr>
        <w:br w:type="page"/>
      </w:r>
      <w:r>
        <w:rPr>
          <w:rFonts w:ascii="宋体" w:eastAsia="宋体" w:hAnsi="宋体" w:cs="Arial" w:hint="eastAsia"/>
          <w:b/>
          <w:bCs/>
          <w:sz w:val="36"/>
          <w:szCs w:val="36"/>
        </w:rPr>
        <w:lastRenderedPageBreak/>
        <w:t>项目支出</w:t>
      </w:r>
      <w:r>
        <w:rPr>
          <w:rFonts w:ascii="宋体" w:eastAsia="宋体" w:hAnsi="宋体" w:cs="Arial"/>
          <w:b/>
          <w:bCs/>
          <w:sz w:val="36"/>
          <w:szCs w:val="36"/>
        </w:rPr>
        <w:t>绩效</w:t>
      </w:r>
      <w:r>
        <w:rPr>
          <w:rFonts w:ascii="宋体" w:eastAsia="宋体" w:hAnsi="宋体" w:cs="Arial" w:hint="eastAsia"/>
          <w:b/>
          <w:bCs/>
          <w:sz w:val="36"/>
          <w:szCs w:val="36"/>
        </w:rPr>
        <w:t>评价报告</w:t>
      </w:r>
    </w:p>
    <w:p w:rsidR="001F0B0C" w:rsidRDefault="00B52266">
      <w:pPr>
        <w:jc w:val="center"/>
        <w:rPr>
          <w:rFonts w:ascii="仿宋_GB2312" w:eastAsia="宋体" w:hAnsi="Times New Roman" w:cs="Times New Roman"/>
          <w:szCs w:val="24"/>
        </w:rPr>
      </w:pPr>
      <w:r>
        <w:rPr>
          <w:rFonts w:ascii="仿宋_GB2312" w:eastAsia="宋体" w:hAnsi="Times New Roman" w:cs="Times New Roman" w:hint="eastAsia"/>
          <w:szCs w:val="24"/>
        </w:rPr>
        <w:t>（参考提纲）</w:t>
      </w:r>
    </w:p>
    <w:p w:rsidR="001F0B0C" w:rsidRDefault="001F0B0C">
      <w:pPr>
        <w:jc w:val="center"/>
        <w:rPr>
          <w:rFonts w:ascii="仿宋_GB2312" w:eastAsia="宋体" w:hAnsi="Times New Roman" w:cs="Times New Roman"/>
          <w:szCs w:val="30"/>
        </w:rPr>
      </w:pP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一、基本情况</w:t>
      </w:r>
    </w:p>
    <w:p w:rsidR="001F0B0C" w:rsidRDefault="00B52266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 w:rsidR="001F0B0C" w:rsidRDefault="00B52266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（二）项目绩效目标。包括总体目标和阶段性目标。</w:t>
      </w: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二、绩效评价工作开展情况</w:t>
      </w:r>
    </w:p>
    <w:p w:rsidR="001F0B0C" w:rsidRDefault="00B52266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（一）绩效评价目的、对象和范围。</w:t>
      </w:r>
    </w:p>
    <w:p w:rsidR="001F0B0C" w:rsidRDefault="00B52266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 w:rsidR="001F0B0C" w:rsidRDefault="00B52266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（三）绩效评价工作过程。</w:t>
      </w: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三、综合评价情况及评价结论（附相关评分表）</w:t>
      </w: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四、绩效评价指标分析</w:t>
      </w:r>
    </w:p>
    <w:p w:rsidR="001F0B0C" w:rsidRDefault="00B52266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（一）项目决策情况。</w:t>
      </w:r>
    </w:p>
    <w:p w:rsidR="001F0B0C" w:rsidRDefault="00B52266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（二）项目过程情况。</w:t>
      </w:r>
    </w:p>
    <w:p w:rsidR="001F0B0C" w:rsidRDefault="00B52266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（三）项目产出情况。</w:t>
      </w:r>
    </w:p>
    <w:p w:rsidR="001F0B0C" w:rsidRDefault="00B52266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（四）项目效益情况。</w:t>
      </w: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五、主要经验及做法、存在的问题及原因分析</w:t>
      </w: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六、有关建议</w:t>
      </w:r>
    </w:p>
    <w:p w:rsidR="001F0B0C" w:rsidRDefault="00B52266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七、其他需要说明的问题</w:t>
      </w:r>
    </w:p>
    <w:sectPr w:rsidR="001F0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42" w:rsidRDefault="00761442">
      <w:r>
        <w:separator/>
      </w:r>
    </w:p>
  </w:endnote>
  <w:endnote w:type="continuationSeparator" w:id="0">
    <w:p w:rsidR="00761442" w:rsidRDefault="0076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0C" w:rsidRDefault="00B5226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1F0B0C" w:rsidRDefault="001F0B0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0C" w:rsidRDefault="00B52266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70122" w:rsidRPr="00070122">
      <w:rPr>
        <w:rFonts w:ascii="宋体" w:hAnsi="宋体"/>
        <w:noProof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:rsidR="001F0B0C" w:rsidRDefault="001F0B0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0C" w:rsidRDefault="00B5226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1F0B0C" w:rsidRDefault="001F0B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42" w:rsidRDefault="00761442">
      <w:r>
        <w:separator/>
      </w:r>
    </w:p>
  </w:footnote>
  <w:footnote w:type="continuationSeparator" w:id="0">
    <w:p w:rsidR="00761442" w:rsidRDefault="00761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122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0B0C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4472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442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E2A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266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6AAA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132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4F1B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978"/>
    <w:rsid w:val="00F72DCC"/>
    <w:rsid w:val="00F730B6"/>
    <w:rsid w:val="00F73DBA"/>
    <w:rsid w:val="00F73DFB"/>
    <w:rsid w:val="00F756D3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Vivi</cp:lastModifiedBy>
  <cp:revision>8</cp:revision>
  <dcterms:created xsi:type="dcterms:W3CDTF">2025-05-08T07:03:00Z</dcterms:created>
  <dcterms:modified xsi:type="dcterms:W3CDTF">2025-05-08T07:15:00Z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