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1394"/>
        <w:gridCol w:w="708"/>
        <w:gridCol w:w="547"/>
        <w:gridCol w:w="20"/>
        <w:gridCol w:w="772"/>
        <w:gridCol w:w="44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文物保护经费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西城区人民政府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5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联系电话</w:t>
            </w:r>
          </w:p>
        </w:tc>
        <w:tc>
          <w:tcPr>
            <w:tcW w:w="20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9.7164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97％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27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2024年全区文物工作重点着眼实现以下社会效益：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1、通过会议、培训、交流，有效传达贯彻中央、市、区政府文物工作精神，提高从业人员工作能力与专业水平。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、通过扎实有效的开展业务工作，依法完善西城区文物保护工作体系，提高政府科学管理能力，为领导决策以及全区文物保护发展、城市形象和品质的提升提供科学准确的智力支持和基础性保障，从而实现留住西城的历史根脉，充实“四名”体系建设的任务目标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3、依托文化遗产日等重要时间节点，开展文物法律、法规及文物保护知识普及宣传，从而有效提高公众守法意识，宣传文物保护观念。</w:t>
            </w:r>
          </w:p>
        </w:tc>
        <w:tc>
          <w:tcPr>
            <w:tcW w:w="27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指标1：委托专业机构依法划定不可移动文物保护范围、建控地带所需经费。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大于等于1次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不可移动文物保护范围、建控地带的划定工作已基本完成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指标2：如遇文物建筑险情，在正式修缮前委托相关单位进行抢险支护、苫盖、围挡等相关经费。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大于等于1次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未遇文物建筑险情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指标3：委托专业机构或专家开展文物认定、鉴定、价值评估工作所需经费。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大于等于1次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指标4：委托专家在工程实施过程中协助进行监督、验收、专业技术指导等相关经费。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大于等于1次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指标1：确保不可移动文物安全，并督促管理使用单位落实好文物保护工作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指标1：委托专业机构依法划定不可移动文物保护范围、建控地带所需经费。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完成最终成果，经评审会验收合格后立即结算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不可移动文物保护范围、建控地带的划定工作已基本完成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指标2：委托专家在工程实施过程中协助进行监督、验收、专业技术指导等相关经费。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20个工作日内完成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指标3：委托专业机构或专家开展文物认定、鉴定、价值评估工作所需经费。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20个工作日内完成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指标1：委托专业机构依法划定不可移动文物保护范围、建控地带所需经费。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专业机构开展区级文物保护单位保护范围、建控地带研究划定1万元/项。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指标2：如遇文物建筑险情，在正式修缮前委托相关单位进行抢险支护、苫盖、围挡等相关经费。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根据文物实际险情测算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指标3：委托专家在工程实施过程中协助进行监督、验收、专业技术指导等相关经费。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出现场1000元/人/次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指标4：委托专业机构或专家开展文物认定、鉴定、价值评估工作所需经费。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专家认定、鉴定费1000元/人/次。专业机构开展历史文化价值评估及历史资料搜集2.5万元/项。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指标1：持续推进已迁建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文物复建工作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至少完成一项文物复建方案的批复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指标2：保障文物修缮项目顺利实施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保障文物修缮项目顺利实施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指标1：社会满意度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大于90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大于90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指标2接诉即办满意度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大于90%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大于90%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97.7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7D2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4047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4ADE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4CEF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2F33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2BC6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836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06C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2257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67E88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2C926FC3"/>
    <w:rsid w:val="6BB0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265</Words>
  <Characters>1511</Characters>
  <Lines>12</Lines>
  <Paragraphs>3</Paragraphs>
  <TotalTime>57</TotalTime>
  <ScaleCrop>false</ScaleCrop>
  <LinksUpToDate>false</LinksUpToDate>
  <CharactersWithSpaces>1773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2025-08-25T02:04:51Z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</Properties>
</file>