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firstLine="442" w:firstLineChars="100"/>
        <w:jc w:val="both"/>
        <w:rPr>
          <w:rFonts w:hint="eastAsia" w:ascii="仿宋_GB2312" w:hAnsi="Times New Roman" w:eastAsia="仿宋_GB2312" w:cs="Times New Roman"/>
          <w:b/>
          <w:sz w:val="44"/>
          <w:szCs w:val="44"/>
        </w:rPr>
      </w:pPr>
      <w:r>
        <w:rPr>
          <w:rFonts w:hint="eastAsia" w:ascii="仿宋_GB2312" w:hAnsi="Times New Roman" w:eastAsia="仿宋_GB2312" w:cs="Times New Roman"/>
          <w:b/>
          <w:sz w:val="44"/>
          <w:szCs w:val="44"/>
        </w:rPr>
        <w:t>全年部门整体支出单位自评需报送资料</w:t>
      </w:r>
    </w:p>
    <w:p>
      <w:pPr>
        <w:spacing w:line="640" w:lineRule="exact"/>
        <w:jc w:val="center"/>
        <w:rPr>
          <w:rFonts w:hint="eastAsia" w:ascii="仿宋_GB2312" w:hAnsi="Times New Roman" w:eastAsia="仿宋_GB2312" w:cs="Times New Roman"/>
          <w:b/>
          <w:sz w:val="44"/>
          <w:szCs w:val="44"/>
        </w:rPr>
      </w:pPr>
    </w:p>
    <w:p>
      <w:pPr>
        <w:spacing w:line="640" w:lineRule="exact"/>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w:t>
      </w:r>
      <w:r>
        <w:rPr>
          <w:rFonts w:hint="eastAsia"/>
          <w:b/>
        </w:rPr>
        <w:t xml:space="preserve"> </w:t>
      </w:r>
      <w:r>
        <w:rPr>
          <w:rFonts w:hint="eastAsia" w:ascii="仿宋_GB2312" w:hAnsi="Times New Roman" w:eastAsia="仿宋_GB2312" w:cs="Times New Roman"/>
          <w:b/>
          <w:sz w:val="32"/>
          <w:szCs w:val="32"/>
        </w:rPr>
        <w:t>项目支出绩效自评表</w:t>
      </w:r>
    </w:p>
    <w:tbl>
      <w:tblPr>
        <w:tblStyle w:val="4"/>
        <w:tblW w:w="9677" w:type="dxa"/>
        <w:jc w:val="center"/>
        <w:tblLayout w:type="fixed"/>
        <w:tblCellMar>
          <w:top w:w="0" w:type="dxa"/>
          <w:left w:w="108" w:type="dxa"/>
          <w:bottom w:w="0" w:type="dxa"/>
          <w:right w:w="108" w:type="dxa"/>
        </w:tblCellMar>
      </w:tblPr>
      <w:tblGrid>
        <w:gridCol w:w="578"/>
        <w:gridCol w:w="963"/>
        <w:gridCol w:w="1092"/>
        <w:gridCol w:w="718"/>
        <w:gridCol w:w="1114"/>
        <w:gridCol w:w="279"/>
        <w:gridCol w:w="693"/>
        <w:gridCol w:w="983"/>
        <w:gridCol w:w="97"/>
        <w:gridCol w:w="460"/>
        <w:gridCol w:w="416"/>
        <w:gridCol w:w="141"/>
        <w:gridCol w:w="695"/>
        <w:gridCol w:w="1448"/>
      </w:tblGrid>
      <w:tr>
        <w:tblPrEx>
          <w:tblCellMar>
            <w:top w:w="0" w:type="dxa"/>
            <w:left w:w="108" w:type="dxa"/>
            <w:bottom w:w="0" w:type="dxa"/>
            <w:right w:w="108" w:type="dxa"/>
          </w:tblCellMar>
        </w:tblPrEx>
        <w:trPr>
          <w:trHeight w:val="440" w:hRule="exact"/>
          <w:jc w:val="center"/>
        </w:trPr>
        <w:tc>
          <w:tcPr>
            <w:tcW w:w="9677"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677"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8136"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信息化运维费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389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OLE_LINK1"/>
            <w:r>
              <w:rPr>
                <w:rFonts w:hint="eastAsia" w:ascii="宋体" w:hAnsi="宋体" w:eastAsia="宋体" w:cs="宋体"/>
                <w:i w:val="0"/>
                <w:iCs w:val="0"/>
                <w:color w:val="000000"/>
                <w:kern w:val="0"/>
                <w:sz w:val="18"/>
                <w:szCs w:val="18"/>
                <w:u w:val="none"/>
                <w:lang w:val="en-US" w:eastAsia="zh-CN" w:bidi="ar"/>
              </w:rPr>
              <w:t>北京市西城区文化</w:t>
            </w:r>
            <w:bookmarkEnd w:id="0"/>
            <w:r>
              <w:rPr>
                <w:rFonts w:hint="eastAsia" w:ascii="宋体" w:hAnsi="宋体" w:eastAsia="宋体" w:cs="宋体"/>
                <w:i w:val="0"/>
                <w:iCs w:val="0"/>
                <w:color w:val="000000"/>
                <w:kern w:val="0"/>
                <w:sz w:val="18"/>
                <w:szCs w:val="18"/>
                <w:u w:val="none"/>
                <w:lang w:val="en-US" w:eastAsia="zh-CN" w:bidi="ar"/>
              </w:rPr>
              <w:t>和旅游局</w:t>
            </w:r>
          </w:p>
        </w:tc>
        <w:tc>
          <w:tcPr>
            <w:tcW w:w="10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3160" w:type="dxa"/>
            <w:gridSpan w:val="5"/>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lang w:eastAsia="zh-CN"/>
              </w:rPr>
            </w:pPr>
            <w:r>
              <w:rPr>
                <w:rFonts w:hint="eastAsia" w:ascii="宋体" w:hAnsi="宋体" w:eastAsia="宋体" w:cs="宋体"/>
                <w:i w:val="0"/>
                <w:iCs w:val="0"/>
                <w:color w:val="000000"/>
                <w:kern w:val="0"/>
                <w:sz w:val="18"/>
                <w:szCs w:val="18"/>
                <w:u w:val="none"/>
                <w:lang w:val="en-US" w:eastAsia="zh-CN" w:bidi="ar"/>
              </w:rPr>
              <w:t>北京市西城区文化市场综合执法大队</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389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31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项目资金</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97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87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14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16000</w:t>
            </w:r>
          </w:p>
        </w:tc>
        <w:tc>
          <w:tcPr>
            <w:tcW w:w="97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16000</w:t>
            </w:r>
          </w:p>
        </w:tc>
        <w:tc>
          <w:tcPr>
            <w:tcW w:w="108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16000</w:t>
            </w:r>
          </w:p>
        </w:tc>
        <w:tc>
          <w:tcPr>
            <w:tcW w:w="87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144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16000</w:t>
            </w:r>
          </w:p>
        </w:tc>
        <w:tc>
          <w:tcPr>
            <w:tcW w:w="97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16000</w:t>
            </w:r>
          </w:p>
        </w:tc>
        <w:tc>
          <w:tcPr>
            <w:tcW w:w="108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16000</w:t>
            </w:r>
          </w:p>
        </w:tc>
        <w:tc>
          <w:tcPr>
            <w:tcW w:w="87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7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485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预期目标</w:t>
            </w:r>
          </w:p>
        </w:tc>
        <w:tc>
          <w:tcPr>
            <w:tcW w:w="424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实际完成情况</w:t>
            </w:r>
          </w:p>
        </w:tc>
      </w:tr>
      <w:tr>
        <w:tblPrEx>
          <w:tblCellMar>
            <w:top w:w="0" w:type="dxa"/>
            <w:left w:w="108" w:type="dxa"/>
            <w:bottom w:w="0" w:type="dxa"/>
            <w:right w:w="108" w:type="dxa"/>
          </w:tblCellMar>
        </w:tblPrEx>
        <w:trPr>
          <w:trHeight w:val="3961"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859"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1、主要内容：桌面计算机及周边IT设备运维服务</w:t>
            </w:r>
          </w:p>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计算机维护工作：负责行政执法队计算机及周边IT设备的维护工作。提供办公所在地所有计算机上门调试、安装、维护服务，不包含需要更换配件的相关工作。乙方维护人员在接到维护任务后应在第一时间前往需维护单位。对所需维护情况进行判定，并告知故障方。非硬件故障的必须修复问题，如果修复过程中涉及重新安装操作系统或其他导致用户计算机内数据丢失的操作，乙方有义务提醒用户方，并协助做好数据备份工作。避免数据丢失。</w:t>
            </w:r>
          </w:p>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（2）例行巡检服务：负责每周对各科室进行一次上门巡检服务。查找隐患，排除故障。对计算机、服务器的运行状态，安全软件的安装更新情况进行检查，修复。保证用户的安全使用。</w:t>
            </w:r>
          </w:p>
          <w:p>
            <w:pPr>
              <w:widowControl/>
              <w:spacing w:line="240" w:lineRule="exact"/>
              <w:jc w:val="left"/>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应急值守服务：负责重点时期应急值守工作，重点工作时期安排高级工程师驻场配合运维人员提供应急保障服务。</w:t>
            </w:r>
          </w:p>
        </w:tc>
        <w:tc>
          <w:tcPr>
            <w:tcW w:w="4240"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每周三、四安排专业技术人员对执法大队各科室计算机及办公设备进行日常维护和技术问题解决，全年圆满完成工作任务，用户满意度90%以上，为执法大队正常开展业务工作保驾护航。较好完成了对执法大队工作人员日常的远程技术支持及软件技术问题的相关指导。得到用户认可。</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绩</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效</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6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8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rPr>
              <w:t>偏差原因分析及改进措施</w:t>
            </w:r>
          </w:p>
        </w:tc>
      </w:tr>
      <w:tr>
        <w:tblPrEx>
          <w:tblCellMar>
            <w:top w:w="0" w:type="dxa"/>
            <w:left w:w="108" w:type="dxa"/>
            <w:bottom w:w="0" w:type="dxa"/>
            <w:right w:w="108" w:type="dxa"/>
          </w:tblCellMar>
        </w:tblPrEx>
        <w:trPr>
          <w:trHeight w:val="104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shd w:val="clear" w:color="auto" w:fill="auto"/>
            <w:vAlign w:val="center"/>
          </w:tcPr>
          <w:p>
            <w:pPr>
              <w:widowControl/>
              <w:spacing w:line="240" w:lineRule="exact"/>
              <w:jc w:val="left"/>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每周为执法大队各部门共60台</w:t>
            </w:r>
            <w:bookmarkStart w:id="2" w:name="_GoBack"/>
            <w:bookmarkEnd w:id="2"/>
            <w:r>
              <w:rPr>
                <w:rFonts w:hint="eastAsia" w:ascii="宋体" w:hAnsi="宋体" w:eastAsia="宋体" w:cs="宋体"/>
                <w:i w:val="0"/>
                <w:iCs w:val="0"/>
                <w:color w:val="000000"/>
                <w:kern w:val="0"/>
                <w:sz w:val="18"/>
                <w:szCs w:val="18"/>
                <w:u w:val="none"/>
                <w:lang w:val="en-US" w:eastAsia="zh-CN" w:bidi="ar"/>
              </w:rPr>
              <w:t>计算机及办公设备提供技术服务</w:t>
            </w:r>
          </w:p>
        </w:tc>
        <w:tc>
          <w:tcPr>
            <w:tcW w:w="693" w:type="dxa"/>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983" w:type="dxa"/>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vMerge w:val="restart"/>
            <w:tcBorders>
              <w:top w:val="single" w:color="auto" w:sz="4" w:space="0"/>
              <w:left w:val="nil"/>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保证每周为各科室高质量解决IT技术问题</w:t>
            </w:r>
          </w:p>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p>
        </w:tc>
        <w:tc>
          <w:tcPr>
            <w:tcW w:w="693" w:type="dxa"/>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15</w:t>
            </w:r>
          </w:p>
        </w:tc>
        <w:tc>
          <w:tcPr>
            <w:tcW w:w="983" w:type="dxa"/>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10</w:t>
            </w:r>
          </w:p>
        </w:tc>
        <w:tc>
          <w:tcPr>
            <w:tcW w:w="557" w:type="dxa"/>
            <w:gridSpan w:val="2"/>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vMerge w:val="continue"/>
            <w:tcBorders>
              <w:left w:val="nil"/>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p>
        </w:tc>
        <w:tc>
          <w:tcPr>
            <w:tcW w:w="693" w:type="dxa"/>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3" w:type="dxa"/>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vMerge w:val="continue"/>
            <w:tcBorders>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p>
        </w:tc>
        <w:tc>
          <w:tcPr>
            <w:tcW w:w="693" w:type="dxa"/>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3" w:type="dxa"/>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vMerge w:val="restart"/>
            <w:tcBorders>
              <w:top w:val="single" w:color="auto" w:sz="4" w:space="0"/>
              <w:left w:val="nil"/>
              <w:right w:val="single" w:color="auto" w:sz="4" w:space="0"/>
            </w:tcBorders>
            <w:shd w:val="clear" w:color="auto" w:fill="auto"/>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及时维修IT设备为各部门节省办公成本</w:t>
            </w:r>
          </w:p>
        </w:tc>
        <w:tc>
          <w:tcPr>
            <w:tcW w:w="693" w:type="dxa"/>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15</w:t>
            </w:r>
          </w:p>
        </w:tc>
        <w:tc>
          <w:tcPr>
            <w:tcW w:w="983" w:type="dxa"/>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15</w:t>
            </w:r>
          </w:p>
        </w:tc>
        <w:tc>
          <w:tcPr>
            <w:tcW w:w="557" w:type="dxa"/>
            <w:gridSpan w:val="2"/>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10</w:t>
            </w:r>
          </w:p>
        </w:tc>
        <w:tc>
          <w:tcPr>
            <w:tcW w:w="557" w:type="dxa"/>
            <w:gridSpan w:val="2"/>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10</w:t>
            </w: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vMerge w:val="continue"/>
            <w:tcBorders>
              <w:left w:val="nil"/>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p>
        </w:tc>
        <w:tc>
          <w:tcPr>
            <w:tcW w:w="693" w:type="dxa"/>
            <w:vMerge w:val="continue"/>
            <w:tcBorders>
              <w:left w:val="nil"/>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p>
        </w:tc>
        <w:tc>
          <w:tcPr>
            <w:tcW w:w="983" w:type="dxa"/>
            <w:vMerge w:val="continue"/>
            <w:tcBorders>
              <w:left w:val="nil"/>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p>
        </w:tc>
        <w:tc>
          <w:tcPr>
            <w:tcW w:w="557" w:type="dxa"/>
            <w:gridSpan w:val="2"/>
            <w:vMerge w:val="continue"/>
            <w:tcBorders>
              <w:left w:val="nil"/>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p>
        </w:tc>
        <w:tc>
          <w:tcPr>
            <w:tcW w:w="557" w:type="dxa"/>
            <w:gridSpan w:val="2"/>
            <w:vMerge w:val="continue"/>
            <w:tcBorders>
              <w:left w:val="nil"/>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vMerge w:val="continue"/>
            <w:tcBorders>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p>
        </w:tc>
        <w:tc>
          <w:tcPr>
            <w:tcW w:w="693" w:type="dxa"/>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3" w:type="dxa"/>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48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信息化运维费</w:t>
            </w:r>
          </w:p>
        </w:tc>
        <w:tc>
          <w:tcPr>
            <w:tcW w:w="69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8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指标2：</w:t>
            </w:r>
          </w:p>
        </w:tc>
        <w:tc>
          <w:tcPr>
            <w:tcW w:w="6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6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vMerge w:val="restart"/>
            <w:tcBorders>
              <w:top w:val="single" w:color="auto" w:sz="4" w:space="0"/>
              <w:left w:val="nil"/>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更高效便捷的为执法队行业管理范围内的企业提供服务。</w:t>
            </w:r>
          </w:p>
        </w:tc>
        <w:tc>
          <w:tcPr>
            <w:tcW w:w="693" w:type="dxa"/>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p>
        </w:tc>
        <w:tc>
          <w:tcPr>
            <w:tcW w:w="983" w:type="dxa"/>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p>
        </w:tc>
        <w:tc>
          <w:tcPr>
            <w:tcW w:w="557" w:type="dxa"/>
            <w:gridSpan w:val="2"/>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557" w:type="dxa"/>
            <w:gridSpan w:val="2"/>
            <w:vMerge w:val="restart"/>
            <w:tcBorders>
              <w:top w:val="nil"/>
              <w:left w:val="nil"/>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vMerge w:val="continue"/>
            <w:tcBorders>
              <w:left w:val="nil"/>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p>
        </w:tc>
        <w:tc>
          <w:tcPr>
            <w:tcW w:w="693" w:type="dxa"/>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3" w:type="dxa"/>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vMerge w:val="continue"/>
            <w:tcBorders>
              <w:left w:val="nil"/>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vMerge w:val="continue"/>
            <w:tcBorders>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p>
        </w:tc>
        <w:tc>
          <w:tcPr>
            <w:tcW w:w="693" w:type="dxa"/>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3" w:type="dxa"/>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指标1：</w:t>
            </w:r>
          </w:p>
        </w:tc>
        <w:tc>
          <w:tcPr>
            <w:tcW w:w="69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rPr>
            </w:pPr>
          </w:p>
        </w:tc>
        <w:tc>
          <w:tcPr>
            <w:tcW w:w="98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rPr>
            </w:pPr>
          </w:p>
        </w:tc>
        <w:tc>
          <w:tcPr>
            <w:tcW w:w="55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bookmarkStart w:id="1" w:name="OLE_LINK2"/>
            <w:r>
              <w:rPr>
                <w:rFonts w:hint="eastAsia" w:ascii="宋体" w:hAnsi="宋体" w:eastAsia="宋体" w:cs="宋体"/>
                <w:i w:val="0"/>
                <w:iCs w:val="0"/>
                <w:color w:val="000000"/>
                <w:kern w:val="0"/>
                <w:sz w:val="18"/>
                <w:szCs w:val="18"/>
                <w:u w:val="none"/>
                <w:lang w:val="en-US" w:eastAsia="zh-CN" w:bidi="ar"/>
              </w:rPr>
              <w:t>指标2：</w:t>
            </w:r>
            <w:bookmarkEnd w:id="1"/>
          </w:p>
        </w:tc>
        <w:tc>
          <w:tcPr>
            <w:tcW w:w="6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6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214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mMjZhNTQ4Y2EzMDI3MTQ4NTg0MzNmYzFmMGRjN2UifQ=="/>
  </w:docVars>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34E43FE"/>
    <w:rsid w:val="045D075D"/>
    <w:rsid w:val="082F21D4"/>
    <w:rsid w:val="17AE2414"/>
    <w:rsid w:val="1F231D6A"/>
    <w:rsid w:val="22481A21"/>
    <w:rsid w:val="29B12974"/>
    <w:rsid w:val="30B949BC"/>
    <w:rsid w:val="36814F77"/>
    <w:rsid w:val="403E70F2"/>
    <w:rsid w:val="4EBA2544"/>
    <w:rsid w:val="544C232B"/>
    <w:rsid w:val="572412AC"/>
    <w:rsid w:val="584B127E"/>
    <w:rsid w:val="5AF46F1F"/>
    <w:rsid w:val="5EBF6F78"/>
    <w:rsid w:val="601F1827"/>
    <w:rsid w:val="642F008B"/>
    <w:rsid w:val="7382560E"/>
    <w:rsid w:val="7834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935</Words>
  <Characters>1011</Characters>
  <Lines>8</Lines>
  <Paragraphs>2</Paragraphs>
  <TotalTime>0</TotalTime>
  <ScaleCrop>false</ScaleCrop>
  <LinksUpToDate>false</LinksUpToDate>
  <CharactersWithSpaces>1020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lenovo</cp:lastModifiedBy>
  <dcterms:modified xsi:type="dcterms:W3CDTF">2025-08-22T06:29:51Z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377224D6112F4F5FB9884C324D81DA44_13</vt:lpwstr>
  </property>
  <property fmtid="{D5CDD505-2E9C-101B-9397-08002B2CF9AE}" pid="4" name="KSOTemplateDocerSaveRecord">
    <vt:lpwstr>eyJoZGlkIjoiOTljZjM5OWJlN2Y2ZDQwNGRjZjJlMjdjMDQ2MDRhNTEiLCJ1c2VySWQiOiI4OTI3MjkxMDYifQ==</vt:lpwstr>
  </property>
</Properties>
</file>