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20"/>
                <w:szCs w:val="20"/>
                <w:highlight w:val="none"/>
                <w:u w:val="none"/>
              </w:rPr>
            </w:pPr>
            <w:bookmarkStart w:id="0" w:name="_GoBack"/>
            <w:r>
              <w:rPr>
                <w:rFonts w:hint="eastAsia" w:ascii="方正小标宋简体" w:hAnsi="黑体" w:eastAsia="方正小标宋简体"/>
                <w:color w:val="auto"/>
                <w:sz w:val="40"/>
                <w:szCs w:val="40"/>
                <w:highlight w:val="none"/>
              </w:rPr>
              <w:t>北京市城管执法部门轻微违法行为不予行政处罚</w:t>
            </w:r>
            <w:r>
              <w:rPr>
                <w:rFonts w:hint="eastAsia" w:ascii="方正小标宋简体" w:hAnsi="黑体" w:eastAsia="方正小标宋简体"/>
                <w:color w:val="auto"/>
                <w:sz w:val="40"/>
                <w:szCs w:val="40"/>
                <w:highlight w:val="none"/>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违法</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《北京市市容环境卫生条例》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《北京市市容环境卫生条例》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《北京市市容环境卫生条例》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《北京市市容环境卫生条例》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《北京市市容环境卫生条例》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第五十条第一款，不得占用道路、绿地等公共场所从事车辆清洗、维修等业务。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《北京市生活垃圾管理条例》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《北京市生活垃圾管理条例》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《北京市生活垃圾管理条例》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《北京市生活垃圾管理条例》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第三十二条  再生资源回收经营者应当到区城市管理部门备案，并遵守下列规定：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(一)在服务范围内，公布回收价格及服务电话；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(二)根据可回收物目录，扩大收集渠道，做到应收尽收；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(三)配备相应的贮存设施设备，不同种类的物品应当分类贮存；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(四)运输可回收物品，采取措施防止扬散、渗漏；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(五)消防、环境保护和市容环境卫生等法律、法规、规章的其他规定。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《北京市生活垃圾管理条例》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《北京市人民政府关于扫雪铲冰管理的规定》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第三条第一款  遇降雪天气，单位和个人应当承担责任地段的扫雪铲冰工作。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《北京市人民政府关于扫雪铲冰管理的规定》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《北京市标语宣传品设置管理规定》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《北京市标语宣传品设置管理规定》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《北京市标语宣传品设置管理规定》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第十五条第二款 设置期限届满或者节日、活动结束后，应当及时撤除标语宣传品；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《北京市标语宣传品设置管理规定》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《北京市户外广告设施、牌匾标识和标语宣传品设置管理条例》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《北京市市容环境卫生条例》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《北京市户外广告设施、牌匾标识和标语宣传品设置管理条例》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《北京市户外广告设施、牌匾标识和标语宣传品设置管理条例》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《北京市户外广告设施、牌匾标识和标语宣传品设置管理条例》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《北京市户外广告设施、牌匾标识和标语宣传品设置管理条例》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《北京市养犬管理规定》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《北京市养犬管理规定》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《北京市长城保护管理办法》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《北京市长城保护管理办法》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《北京历史文化名城保护条例》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《北京历史文化名城保护条例》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《北京市架空线管理若干规定》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《城市照明管理规定》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《城市照明管理规定》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《城市道路管理条例》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《北京市供热采暖管理办法》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《北京市建筑绿色发展条例》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《北京市建筑绿色发展条例》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第十三条第一款　经营者应当向消费者出具载明下列内容的凭据：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(一)双方名称或者姓名、联系方式等；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(二)经营者收款账户信息、预收金额、支付方式、履约保证措施；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(四)履行期限，以及经营场所自有或者租赁、租期；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(五)风险提示；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(六)赠送权益的使用范围、条件及退款的处理方式；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(七)变更、中止、终止等情形预收款的处理方式；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(八)退款计算方法、渠道、手续费；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(九)挂失、补办、转让方式；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(十)消费记录、余额查询方式；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(十一)违约责任；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(十二)解决争议的方法。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第十九条第一款　经营者应当自交易完成之日起保存交易记录至少三年。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《北京市单用途预付卡管理条例》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《北京市绿化条例》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《北京市公园条例》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《北京市大气污染防治条例》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《北京市大气污染防治条例》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《无证无照经营查处办法》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《无证无照经营查处办法》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《无证无照经营查处办法》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(一)民用机场、火车站、城市公共交通站点；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(二)国际体育赛事、国际会议、国际展会等大型国际活动承办、接待场所；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(三)引进境外人才聚集的社区；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(四)应急避难场所；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(五)文化、旅游、体育等其他重要公共场所。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《北京市国际交往语言环境建设条例》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《城镇排水与污水处理条例》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第三十二条第一款 排水单位和个人应当按照国家有关规定缴纳污水处理费。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《北京市排水和再生水管理办法》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《城镇排水与污水处理条例》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《建筑业企业资质管理规定》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第三十二条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企业的信用档案信息按照有关规定向社会公开。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《建筑业企业资质管理规定》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《注册造价工程师管理办法》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《注册造价工程师管理办法》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第十八条第二款 项目负责人应当签署工程质量终身责任承诺书。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《北京市建设工程质量条例》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《北京市建设工程质量条例》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《北京市建设工程质量条例》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《地下水管理条例》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《地下水管理条例》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《城镇污水排入排水管网许可管理办法》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《城镇污水排入排水管网许可管理办法》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《北京市水污染防治条例》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《北京市水污染防治条例》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《建设工程勘察设计资质管理规定》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《建设工程勘察设计资质管理规定》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《北京市水土保持条例》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第二十五条第三款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《北京市水土保持条例》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《北京市水土保持条例》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《北京市水土保持条例》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《城市房屋便器水箱应用监督管理办法》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《城市房屋便器水箱应用监督管理办法》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《城市房屋便器水箱应用监督管理办法》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《城市房屋便器水箱应用监督管理办法》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《取水许可管理办法》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《取水许可管理办法》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《取水许可和水资源费征收管理条例》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《取水许可和水资源费征收管理条例》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Style w:val="25"/>
                <w:color w:val="auto"/>
                <w:sz w:val="20"/>
                <w:szCs w:val="20"/>
                <w:highlight w:val="none"/>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《中华人民共和国河道管理条例》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《北京市河湖保护管理条例》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《中华人民共和国河道管理条例》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《北京市河湖保护管理条例》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非机动车在步行绿道、滨水步道通行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1.违法行为轻微，已及时改正违法行为并消除相关影响，没有造成危害后果。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2.初次违法，危害后果轻微，已及时改正违法行为并消除危害后果。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《北京市非机动车管理条例》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第二十七条第一款   禁止车辆在步行绿道和滨水步道内通行。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进入清单的事项，实施轻微违法不予处罚时，需具备相关适用条件；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未进入清单的事项，如符合《行政处罚法》的要求，也可依法实施不予行政处罚。</w:t>
            </w:r>
          </w:p>
        </w:tc>
      </w:tr>
      <w:bookmarkEnd w:id="0"/>
    </w:tbl>
    <w:p/>
    <w:p/>
    <w:p/>
    <w:p/>
    <w:p>
      <w:pPr>
        <w:widowControl/>
        <w:shd w:val="clear" w:color="auto" w:fill="FFFFFF"/>
        <w:spacing w:line="560" w:lineRule="exact"/>
        <w:rPr>
          <w:rFonts w:ascii="仿宋_GB2312" w:hAnsi="Times New Roman" w:eastAsia="仿宋_GB2312"/>
          <w:snapToGrid w:val="0"/>
          <w:kern w:val="0"/>
          <w:sz w:val="32"/>
          <w:szCs w:val="32"/>
        </w:rPr>
      </w:pPr>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6D0173F"/>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5D17035"/>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10</TotalTime>
  <ScaleCrop>false</ScaleCrop>
  <LinksUpToDate>false</LinksUpToDate>
  <CharactersWithSpaces>4939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Administrator</cp:lastModifiedBy>
  <cp:lastPrinted>2021-01-06T03:33:00Z</cp:lastPrinted>
  <dcterms:modified xsi:type="dcterms:W3CDTF">2026-01-29T03:16:18Z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812FFD5BE45259CB3964DE68111BE5EE_43</vt:lpwstr>
  </property>
</Properties>
</file>