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2023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考试报等</w:t>
            </w:r>
            <w:r>
              <w:rPr>
                <w:rFonts w:ascii="宋体" w:hAnsi="宋体" w:eastAsia="宋体" w:cs="宋体"/>
                <w:kern w:val="0"/>
                <w:sz w:val="18"/>
                <w:szCs w:val="18"/>
              </w:rPr>
              <w:t>资料费</w:t>
            </w:r>
            <w:r>
              <w:rPr>
                <w:rFonts w:hint="eastAsia" w:ascii="宋体" w:hAnsi="宋体" w:eastAsia="宋体" w:cs="宋体"/>
                <w:kern w:val="0"/>
                <w:sz w:val="18"/>
                <w:szCs w:val="18"/>
              </w:rPr>
              <w:t>工作经费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北京市西城区教育考试中心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rPr>
              <w:t>北京市西城区教育考试中心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郭郁葱</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贾维</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66139852</w:t>
            </w:r>
          </w:p>
        </w:tc>
      </w:tr>
      <w:tr>
        <w:tblPrEx>
          <w:tblCellMar>
            <w:top w:w="0" w:type="dxa"/>
            <w:left w:w="108" w:type="dxa"/>
            <w:bottom w:w="0" w:type="dxa"/>
            <w:right w:w="108" w:type="dxa"/>
          </w:tblCellMar>
        </w:tblPrEx>
        <w:trPr>
          <w:trHeight w:val="515"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11.4175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11.4175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11.4175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11.4175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878"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为了更好地服务初三考生、家长及学校，有效搭建招生学校与考生沟通桥梁。根据考试中心“三重一大”制度要求在支出时报校务委员会审批,顺利完成相关工作。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该项目北京考试报同市中招办，与各区考试中心、教研中心、学校招生办和知名专家教师合作，第一时间发布、解读2024年中考政策；印制2024年《招生简章》；宣传各中招学校的招生办法与办学特色；科学指导考生合理填报中考志愿；连续刊登专业文章解析北京市中考命题指导思想、命题原则；依据中招进程，从考生角度出发，对与中考生相关的各项政策信息进行宣传报道，助考生顺利中考。《北京考试报》是由教育部、市教委、北京教育考试院指导的，全市唯一一份以发布和解读北京市考试招生政策为主要内容的专业报纸，是首都教育招生考试工作的宣传主阵地，是北京考生及家长、教育工作者获取相关招考信息的主渠道。</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3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tcPr>
          <w:p>
            <w:pPr>
              <w:rPr>
                <w:sz w:val="13"/>
                <w:szCs w:val="13"/>
              </w:rPr>
            </w:pPr>
            <w:r>
              <w:rPr>
                <w:rFonts w:hint="eastAsia"/>
                <w:sz w:val="13"/>
                <w:szCs w:val="13"/>
              </w:rPr>
              <w:t>指标1：</w:t>
            </w:r>
            <w:r>
              <w:rPr>
                <w:sz w:val="13"/>
                <w:szCs w:val="13"/>
              </w:rPr>
              <w:t>订阅考试报</w:t>
            </w:r>
          </w:p>
        </w:tc>
        <w:tc>
          <w:tcPr>
            <w:tcW w:w="839" w:type="dxa"/>
            <w:tcBorders>
              <w:top w:val="nil"/>
              <w:left w:val="nil"/>
              <w:bottom w:val="single" w:color="auto" w:sz="4" w:space="0"/>
              <w:right w:val="single" w:color="auto" w:sz="4" w:space="0"/>
            </w:tcBorders>
          </w:tcPr>
          <w:p>
            <w:pPr>
              <w:rPr>
                <w:sz w:val="13"/>
                <w:szCs w:val="13"/>
              </w:rPr>
            </w:pPr>
            <w:r>
              <w:rPr>
                <w:rFonts w:hint="eastAsia"/>
                <w:sz w:val="13"/>
                <w:szCs w:val="13"/>
              </w:rPr>
              <w:t>每年一次</w:t>
            </w:r>
          </w:p>
        </w:tc>
        <w:tc>
          <w:tcPr>
            <w:tcW w:w="837" w:type="dxa"/>
            <w:tcBorders>
              <w:top w:val="nil"/>
              <w:left w:val="nil"/>
              <w:bottom w:val="single" w:color="auto" w:sz="4" w:space="0"/>
              <w:right w:val="single" w:color="auto" w:sz="4" w:space="0"/>
            </w:tcBorders>
          </w:tcPr>
          <w:p>
            <w:pPr>
              <w:rPr>
                <w:sz w:val="13"/>
                <w:szCs w:val="13"/>
              </w:rPr>
            </w:pPr>
            <w:r>
              <w:rPr>
                <w:rFonts w:hint="eastAsia"/>
                <w:sz w:val="13"/>
                <w:szCs w:val="13"/>
              </w:rPr>
              <w:t>100</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1394" w:type="dxa"/>
            <w:gridSpan w:val="2"/>
            <w:tcBorders>
              <w:top w:val="single" w:color="auto" w:sz="4" w:space="0"/>
              <w:left w:val="nil"/>
              <w:bottom w:val="single" w:color="auto" w:sz="4" w:space="0"/>
              <w:right w:val="single" w:color="auto" w:sz="4" w:space="0"/>
            </w:tcBorders>
          </w:tcPr>
          <w:p>
            <w:pPr>
              <w:rPr>
                <w:sz w:val="13"/>
                <w:szCs w:val="13"/>
              </w:rPr>
            </w:pPr>
            <w:r>
              <w:rPr>
                <w:rFonts w:hint="eastAsia"/>
                <w:sz w:val="13"/>
                <w:szCs w:val="13"/>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tcPr>
          <w:p>
            <w:pPr>
              <w:rPr>
                <w:sz w:val="13"/>
                <w:szCs w:val="13"/>
              </w:rPr>
            </w:pPr>
            <w:r>
              <w:rPr>
                <w:rFonts w:hint="eastAsia"/>
                <w:sz w:val="13"/>
                <w:szCs w:val="13"/>
              </w:rPr>
              <w:t>指标1：</w:t>
            </w:r>
            <w:r>
              <w:rPr>
                <w:sz w:val="13"/>
                <w:szCs w:val="13"/>
              </w:rPr>
              <w:t>订阅考试报</w:t>
            </w:r>
            <w:r>
              <w:rPr>
                <w:rFonts w:hint="eastAsia"/>
                <w:sz w:val="13"/>
                <w:szCs w:val="13"/>
              </w:rPr>
              <w:t>订阅考试报</w:t>
            </w:r>
          </w:p>
        </w:tc>
        <w:tc>
          <w:tcPr>
            <w:tcW w:w="839" w:type="dxa"/>
            <w:tcBorders>
              <w:top w:val="nil"/>
              <w:left w:val="nil"/>
              <w:bottom w:val="single" w:color="auto" w:sz="4" w:space="0"/>
              <w:right w:val="single" w:color="auto" w:sz="4" w:space="0"/>
            </w:tcBorders>
          </w:tcPr>
          <w:p>
            <w:pPr>
              <w:rPr>
                <w:sz w:val="13"/>
                <w:szCs w:val="13"/>
              </w:rPr>
            </w:pPr>
            <w:r>
              <w:rPr>
                <w:rFonts w:hint="eastAsia"/>
                <w:sz w:val="13"/>
                <w:szCs w:val="13"/>
              </w:rPr>
              <w:t>每年一次</w:t>
            </w:r>
          </w:p>
        </w:tc>
        <w:tc>
          <w:tcPr>
            <w:tcW w:w="837" w:type="dxa"/>
            <w:tcBorders>
              <w:top w:val="nil"/>
              <w:left w:val="nil"/>
              <w:bottom w:val="single" w:color="auto" w:sz="4" w:space="0"/>
              <w:right w:val="single" w:color="auto" w:sz="4" w:space="0"/>
            </w:tcBorders>
          </w:tcPr>
          <w:p>
            <w:pPr>
              <w:rPr>
                <w:sz w:val="13"/>
                <w:szCs w:val="13"/>
              </w:rPr>
            </w:pPr>
            <w:r>
              <w:rPr>
                <w:rFonts w:hint="eastAsia"/>
                <w:sz w:val="13"/>
                <w:szCs w:val="13"/>
              </w:rPr>
              <w:t>100</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1394" w:type="dxa"/>
            <w:gridSpan w:val="2"/>
            <w:tcBorders>
              <w:top w:val="single" w:color="auto" w:sz="4" w:space="0"/>
              <w:left w:val="nil"/>
              <w:bottom w:val="single" w:color="auto" w:sz="4" w:space="0"/>
              <w:right w:val="single" w:color="auto" w:sz="4" w:space="0"/>
            </w:tcBorders>
          </w:tcPr>
          <w:p>
            <w:pPr>
              <w:rPr>
                <w:sz w:val="13"/>
                <w:szCs w:val="13"/>
              </w:rPr>
            </w:pPr>
            <w:r>
              <w:rPr>
                <w:rFonts w:hint="eastAsia"/>
                <w:sz w:val="13"/>
                <w:szCs w:val="13"/>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bookmarkStart w:id="0" w:name="_GoBack"/>
            <w:bookmarkEnd w:id="0"/>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tcPr>
          <w:p>
            <w:pPr>
              <w:rPr>
                <w:sz w:val="13"/>
                <w:szCs w:val="13"/>
              </w:rPr>
            </w:pPr>
            <w:r>
              <w:rPr>
                <w:rFonts w:hint="eastAsia"/>
                <w:sz w:val="13"/>
                <w:szCs w:val="13"/>
              </w:rPr>
              <w:t>指标1：</w:t>
            </w:r>
            <w:r>
              <w:rPr>
                <w:sz w:val="13"/>
                <w:szCs w:val="13"/>
              </w:rPr>
              <w:t>订阅考试报</w:t>
            </w:r>
          </w:p>
        </w:tc>
        <w:tc>
          <w:tcPr>
            <w:tcW w:w="839" w:type="dxa"/>
            <w:tcBorders>
              <w:top w:val="nil"/>
              <w:left w:val="nil"/>
              <w:bottom w:val="single" w:color="auto" w:sz="4" w:space="0"/>
              <w:right w:val="single" w:color="auto" w:sz="4" w:space="0"/>
            </w:tcBorders>
          </w:tcPr>
          <w:p>
            <w:pPr>
              <w:rPr>
                <w:sz w:val="11"/>
                <w:szCs w:val="11"/>
              </w:rPr>
            </w:pPr>
            <w:r>
              <w:rPr>
                <w:rFonts w:hint="eastAsia"/>
                <w:sz w:val="11"/>
                <w:szCs w:val="11"/>
              </w:rPr>
              <w:t>2</w:t>
            </w:r>
            <w:r>
              <w:rPr>
                <w:b/>
                <w:sz w:val="11"/>
                <w:szCs w:val="11"/>
              </w:rPr>
              <w:t>02</w:t>
            </w:r>
            <w:r>
              <w:rPr>
                <w:rFonts w:hint="eastAsia"/>
                <w:b/>
                <w:sz w:val="11"/>
                <w:szCs w:val="11"/>
                <w:lang w:val="en-US" w:eastAsia="zh-CN"/>
              </w:rPr>
              <w:t>3</w:t>
            </w:r>
            <w:r>
              <w:rPr>
                <w:rFonts w:hint="eastAsia"/>
                <w:b/>
                <w:sz w:val="11"/>
                <w:szCs w:val="11"/>
              </w:rPr>
              <w:t>年</w:t>
            </w:r>
            <w:r>
              <w:rPr>
                <w:rFonts w:hint="eastAsia"/>
                <w:sz w:val="11"/>
                <w:szCs w:val="11"/>
              </w:rPr>
              <w:t>9月</w:t>
            </w:r>
          </w:p>
        </w:tc>
        <w:tc>
          <w:tcPr>
            <w:tcW w:w="837" w:type="dxa"/>
            <w:tcBorders>
              <w:top w:val="nil"/>
              <w:left w:val="nil"/>
              <w:bottom w:val="single" w:color="auto" w:sz="4" w:space="0"/>
              <w:right w:val="single" w:color="auto" w:sz="4" w:space="0"/>
            </w:tcBorders>
          </w:tcPr>
          <w:p>
            <w:pPr>
              <w:rPr>
                <w:sz w:val="13"/>
                <w:szCs w:val="13"/>
              </w:rPr>
            </w:pPr>
            <w:r>
              <w:rPr>
                <w:rFonts w:hint="eastAsia"/>
                <w:sz w:val="13"/>
                <w:szCs w:val="13"/>
              </w:rPr>
              <w:t>100</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557" w:type="dxa"/>
            <w:gridSpan w:val="2"/>
            <w:tcBorders>
              <w:top w:val="nil"/>
              <w:left w:val="nil"/>
              <w:bottom w:val="single" w:color="auto" w:sz="4" w:space="0"/>
              <w:right w:val="single" w:color="auto" w:sz="4" w:space="0"/>
            </w:tcBorders>
          </w:tcPr>
          <w:p>
            <w:pPr>
              <w:rPr>
                <w:sz w:val="13"/>
                <w:szCs w:val="13"/>
              </w:rPr>
            </w:pPr>
            <w:r>
              <w:rPr>
                <w:rFonts w:hint="eastAsia"/>
                <w:sz w:val="13"/>
                <w:szCs w:val="13"/>
              </w:rPr>
              <w:t>5</w:t>
            </w:r>
          </w:p>
        </w:tc>
        <w:tc>
          <w:tcPr>
            <w:tcW w:w="1394" w:type="dxa"/>
            <w:gridSpan w:val="2"/>
            <w:tcBorders>
              <w:top w:val="single" w:color="auto" w:sz="4" w:space="0"/>
              <w:left w:val="nil"/>
              <w:bottom w:val="single" w:color="auto" w:sz="4" w:space="0"/>
              <w:right w:val="single" w:color="auto" w:sz="4" w:space="0"/>
            </w:tcBorders>
          </w:tcPr>
          <w:p>
            <w:pPr>
              <w:rPr>
                <w:sz w:val="13"/>
                <w:szCs w:val="13"/>
              </w:rPr>
            </w:pPr>
            <w:r>
              <w:rPr>
                <w:rFonts w:hint="eastAsia"/>
                <w:sz w:val="13"/>
                <w:szCs w:val="13"/>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sz w:val="13"/>
                <w:szCs w:val="13"/>
              </w:rPr>
              <w:t>订阅考试报</w:t>
            </w:r>
          </w:p>
        </w:tc>
        <w:tc>
          <w:tcPr>
            <w:tcW w:w="839" w:type="dxa"/>
            <w:tcBorders>
              <w:top w:val="nil"/>
              <w:left w:val="nil"/>
              <w:bottom w:val="single" w:color="auto" w:sz="4" w:space="0"/>
              <w:right w:val="single" w:color="auto" w:sz="4" w:space="0"/>
            </w:tcBorders>
            <w:vAlign w:val="center"/>
          </w:tcPr>
          <w:p>
            <w:pPr>
              <w:widowControl/>
              <w:spacing w:line="240" w:lineRule="exact"/>
              <w:jc w:val="center"/>
              <w:rPr>
                <w:sz w:val="13"/>
                <w:szCs w:val="13"/>
              </w:rPr>
            </w:pPr>
            <w:r>
              <w:rPr>
                <w:rFonts w:hint="eastAsia"/>
                <w:sz w:val="13"/>
                <w:szCs w:val="13"/>
              </w:rPr>
              <w:t>参照预算指标数进行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68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sz w:val="13"/>
                <w:szCs w:val="13"/>
              </w:rPr>
              <w:t>订阅考试报</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为广大</w:t>
            </w:r>
            <w:r>
              <w:rPr>
                <w:rFonts w:ascii="宋体" w:hAnsi="宋体" w:eastAsia="宋体" w:cs="宋体"/>
                <w:kern w:val="0"/>
                <w:sz w:val="13"/>
                <w:szCs w:val="13"/>
              </w:rPr>
              <w:t>考</w:t>
            </w:r>
            <w:r>
              <w:rPr>
                <w:rFonts w:hint="eastAsia" w:ascii="宋体" w:hAnsi="宋体" w:eastAsia="宋体" w:cs="宋体"/>
                <w:kern w:val="0"/>
                <w:sz w:val="13"/>
                <w:szCs w:val="13"/>
              </w:rPr>
              <w:t>生</w:t>
            </w:r>
            <w:r>
              <w:rPr>
                <w:rFonts w:ascii="宋体" w:hAnsi="宋体" w:eastAsia="宋体" w:cs="宋体"/>
                <w:kern w:val="0"/>
                <w:sz w:val="13"/>
                <w:szCs w:val="13"/>
              </w:rPr>
              <w:t>服务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sz w:val="13"/>
                <w:szCs w:val="13"/>
              </w:rPr>
              <w:t>订阅考试报</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为广大考生服务</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MzNzZmZTMzNTFkMjViM2JhZmQ5YmZkZTY1YjViN2M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4D8"/>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542"/>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997"/>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B29"/>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4E77"/>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03C"/>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78"/>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539"/>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1F9E3DC1"/>
    <w:rsid w:val="78065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189</Words>
  <Characters>1082</Characters>
  <Lines>9</Lines>
  <Paragraphs>2</Paragraphs>
  <TotalTime>1</TotalTime>
  <ScaleCrop>false</ScaleCrop>
  <LinksUpToDate>false</LinksUpToDate>
  <CharactersWithSpaces>1269</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2023-03-01T08:22:00Z</dcterms:created>
  <dc:creator>北京市西城区教育委员会（事业本级）</dc:creator>
  <cp:lastModifiedBy>杨琳</cp:lastModifiedBy>
  <dcterms:modified xsi:type="dcterms:W3CDTF">2024-03-19T08:00:47Z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404212C251F64BF9BDDDDECFF8790FA5_12</vt:lpwstr>
  </property>
</Properties>
</file>