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61"/>
        <w:pBdr/>
        <w:spacing w:line="540" w:lineRule="exact"/>
        <w:ind/>
        <w:rPr>
          <w:rFonts w:hint="eastAsia" w:ascii="黑体" w:hAnsi="黑体" w:eastAsia="黑体" w:cs="黑体"/>
          <w:sz w:val="32"/>
          <w:szCs w:val="32"/>
        </w:rPr>
      </w:pPr>
      <w:r>
        <w:rPr>
          <w:rFonts w:hint="eastAsia" w:ascii="黑体" w:hAnsi="黑体" w:eastAsia="黑体" w:cs="黑体"/>
          <w:sz w:val="32"/>
          <w:szCs w:val="32"/>
        </w:rPr>
      </w:r>
      <w:r>
        <w:rPr>
          <w:rFonts w:hint="eastAsia" w:ascii="黑体" w:hAnsi="黑体" w:eastAsia="黑体" w:cs="黑体"/>
          <w:sz w:val="32"/>
          <w:szCs w:val="32"/>
        </w:rPr>
      </w:r>
    </w:p>
    <w:p>
      <w:pPr>
        <w:pStyle w:val="661"/>
        <w:pBdr/>
        <w:spacing w:line="540" w:lineRule="exact"/>
        <w:ind/>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北京市西城区教育委员会</w:t>
      </w:r>
      <w:r>
        <w:rPr>
          <w:rFonts w:hint="eastAsia" w:ascii="方正小标宋简体" w:hAnsi="方正小标宋简体" w:eastAsia="方正小标宋简体" w:cs="方正小标宋简体"/>
          <w:sz w:val="44"/>
          <w:szCs w:val="44"/>
        </w:rPr>
        <w:t xml:space="preserve">2021年</w:t>
      </w:r>
      <w:r>
        <w:rPr>
          <w:rFonts w:ascii="方正小标宋简体" w:hAnsi="方正小标宋简体" w:eastAsia="方正小标宋简体" w:cs="方正小标宋简体"/>
          <w:sz w:val="44"/>
          <w:szCs w:val="44"/>
        </w:rPr>
      </w:r>
      <w:r>
        <w:rPr>
          <w:rFonts w:ascii="方正小标宋简体" w:hAnsi="方正小标宋简体" w:eastAsia="方正小标宋简体" w:cs="方正小标宋简体"/>
          <w:sz w:val="44"/>
          <w:szCs w:val="44"/>
        </w:rPr>
      </w:r>
    </w:p>
    <w:p>
      <w:pPr>
        <w:pStyle w:val="661"/>
        <w:pBdr/>
        <w:spacing w:line="540" w:lineRule="exact"/>
        <w:ind/>
        <w:jc w:val="center"/>
        <w:rPr>
          <w:sz w:val="44"/>
          <w:szCs w:val="44"/>
        </w:rPr>
      </w:pPr>
      <w:r>
        <w:rPr>
          <w:rFonts w:hint="eastAsia" w:ascii="方正小标宋简体" w:hAnsi="方正小标宋简体" w:eastAsia="方正小标宋简体" w:cs="方正小标宋简体"/>
          <w:sz w:val="44"/>
          <w:szCs w:val="44"/>
        </w:rPr>
        <w:t xml:space="preserve">政府信息公开工作年度报告</w:t>
      </w:r>
      <w:r>
        <w:rPr>
          <w:sz w:val="44"/>
          <w:szCs w:val="44"/>
        </w:rPr>
      </w:r>
      <w:r>
        <w:rPr>
          <w:sz w:val="44"/>
          <w:szCs w:val="44"/>
        </w:rPr>
      </w:r>
    </w:p>
    <w:p>
      <w:pPr>
        <w:pStyle w:val="661"/>
        <w:widowControl w:val="true"/>
        <w:pBdr/>
        <w:spacing w:line="560" w:lineRule="exact"/>
        <w:ind w:firstLine="672"/>
        <w:jc w:val="left"/>
        <w:rPr>
          <w:rFonts w:ascii="仿宋_GB2312" w:hAnsi="宋体" w:eastAsia="仿宋_GB2312" w:cs="宋体"/>
          <w:spacing w:val="8"/>
          <w:sz w:val="32"/>
          <w:szCs w:val="32"/>
        </w:rPr>
      </w:pPr>
      <w:r>
        <w:rPr>
          <w:rFonts w:ascii="仿宋_GB2312" w:hAnsi="宋体" w:eastAsia="仿宋_GB2312" w:cs="宋体"/>
          <w:spacing w:val="8"/>
          <w:sz w:val="32"/>
          <w:szCs w:val="32"/>
        </w:rPr>
      </w:r>
      <w:r>
        <w:rPr>
          <w:rFonts w:ascii="仿宋_GB2312" w:hAnsi="宋体" w:eastAsia="仿宋_GB2312" w:cs="宋体"/>
          <w:spacing w:val="8"/>
          <w:sz w:val="32"/>
          <w:szCs w:val="32"/>
        </w:rPr>
      </w:r>
    </w:p>
    <w:p>
      <w:pPr>
        <w:pStyle w:val="661"/>
        <w:widowControl w:val="true"/>
        <w:pBdr/>
        <w:spacing w:line="560" w:lineRule="exact"/>
        <w:ind w:firstLine="672"/>
        <w:jc w:val="left"/>
        <w:rPr>
          <w:rFonts w:hint="eastAsia" w:ascii="仿宋_GB2312" w:hAnsi="宋体" w:eastAsia="仿宋_GB2312" w:cs="宋体"/>
          <w:spacing w:val="8"/>
          <w:sz w:val="32"/>
          <w:szCs w:val="32"/>
        </w:rPr>
      </w:pPr>
      <w:r>
        <w:rPr>
          <w:rFonts w:hint="eastAsia" w:ascii="仿宋_GB2312" w:hAnsi="宋体" w:eastAsia="仿宋_GB2312" w:cs="宋体"/>
          <w:spacing w:val="8"/>
          <w:sz w:val="32"/>
          <w:szCs w:val="32"/>
        </w:rPr>
        <w:t xml:space="preserve">依据《中华人民共和国政府信息公开条例》(以下简称《政府信息公开条例》)第五十条规定，编制本报告。</w:t>
      </w:r>
      <w:r>
        <w:rPr>
          <w:rFonts w:hint="eastAsia" w:ascii="仿宋_GB2312" w:hAnsi="宋体" w:eastAsia="仿宋_GB2312" w:cs="宋体"/>
          <w:spacing w:val="8"/>
          <w:sz w:val="32"/>
          <w:szCs w:val="32"/>
        </w:rPr>
      </w:r>
    </w:p>
    <w:p>
      <w:pPr>
        <w:pStyle w:val="661"/>
        <w:widowControl w:val="true"/>
        <w:numPr>
          <w:ilvl w:val="0"/>
          <w:numId w:val="3"/>
        </w:numPr>
        <w:pBdr/>
        <w:spacing w:line="560" w:lineRule="exact"/>
        <w:ind/>
        <w:jc w:val="left"/>
        <w:rPr>
          <w:rFonts w:ascii="黑体" w:hAnsi="黑体" w:eastAsia="黑体" w:cs="宋体"/>
          <w:spacing w:val="8"/>
          <w:sz w:val="32"/>
          <w:szCs w:val="32"/>
        </w:rPr>
      </w:pPr>
      <w:r>
        <w:rPr>
          <w:rFonts w:ascii="黑体" w:hAnsi="黑体" w:eastAsia="黑体" w:cs="宋体"/>
          <w:spacing w:val="8"/>
          <w:sz w:val="32"/>
          <w:szCs w:val="32"/>
        </w:rPr>
        <w:t xml:space="preserve">总体情况</w:t>
      </w:r>
      <w:r>
        <w:rPr>
          <w:rFonts w:ascii="黑体" w:hAnsi="黑体" w:eastAsia="黑体" w:cs="宋体"/>
          <w:spacing w:val="8"/>
          <w:sz w:val="32"/>
          <w:szCs w:val="32"/>
        </w:rPr>
      </w:r>
    </w:p>
    <w:p>
      <w:pPr>
        <w:pStyle w:val="661"/>
        <w:widowControl w:val="true"/>
        <w:pBdr/>
        <w:shd w:val="clear" w:color="auto" w:fill="ffffff"/>
        <w:spacing w:line="560" w:lineRule="exact"/>
        <w:ind w:firstLine="480"/>
        <w:rPr>
          <w:rFonts w:ascii="仿宋_GB2312" w:hAnsi="微软雅黑" w:eastAsia="仿宋_GB2312"/>
          <w:color w:val="0f0f0f"/>
          <w:sz w:val="32"/>
          <w:szCs w:val="32"/>
        </w:rPr>
      </w:pPr>
      <w:r>
        <w:rPr>
          <w:rFonts w:hint="eastAsia" w:ascii="Tahoma" w:hAnsi="Tahoma" w:eastAsia="黑体"/>
          <w:sz w:val="24"/>
          <w:szCs w:val="20"/>
        </w:rPr>
        <w:t xml:space="preserve"> </w:t>
      </w:r>
      <w:r>
        <w:rPr>
          <w:rFonts w:ascii="Tahoma" w:hAnsi="Tahoma" w:eastAsia="黑体"/>
          <w:sz w:val="24"/>
          <w:szCs w:val="20"/>
        </w:rPr>
        <w:t xml:space="preserve"> </w:t>
      </w:r>
      <w:r>
        <w:rPr>
          <w:rFonts w:hint="eastAsia" w:ascii="仿宋_GB2312" w:hAnsi="微软雅黑" w:eastAsia="仿宋_GB2312"/>
          <w:color w:val="0f0f0f"/>
          <w:sz w:val="32"/>
          <w:szCs w:val="32"/>
        </w:rPr>
        <w:t xml:space="preserve">202</w:t>
      </w:r>
      <w:r>
        <w:rPr>
          <w:rFonts w:ascii="仿宋_GB2312" w:hAnsi="微软雅黑" w:eastAsia="仿宋_GB2312"/>
          <w:color w:val="0f0f0f"/>
          <w:sz w:val="32"/>
          <w:szCs w:val="32"/>
        </w:rPr>
        <w:t xml:space="preserve">1</w:t>
      </w:r>
      <w:r>
        <w:rPr>
          <w:rFonts w:hint="eastAsia" w:ascii="仿宋_GB2312" w:hAnsi="微软雅黑" w:eastAsia="仿宋_GB2312"/>
          <w:color w:val="0f0f0f"/>
          <w:sz w:val="32"/>
          <w:szCs w:val="32"/>
        </w:rPr>
        <w:t xml:space="preserve">年，</w:t>
      </w:r>
      <w:r>
        <w:rPr>
          <w:rFonts w:hint="eastAsia" w:ascii="仿宋_GB2312" w:hAnsi="微软雅黑" w:eastAsia="仿宋_GB2312"/>
          <w:color w:val="0f0f0f"/>
          <w:sz w:val="32"/>
          <w:szCs w:val="32"/>
        </w:rPr>
        <w:t xml:space="preserve">北京市</w:t>
      </w:r>
      <w:r>
        <w:rPr>
          <w:rFonts w:hint="eastAsia" w:ascii="仿宋_GB2312" w:hAnsi="微软雅黑" w:eastAsia="仿宋_GB2312"/>
          <w:color w:val="0f0f0f"/>
          <w:sz w:val="32"/>
          <w:szCs w:val="32"/>
        </w:rPr>
        <w:t xml:space="preserve">西城区教育委员会</w:t>
      </w:r>
      <w:r>
        <w:rPr>
          <w:rFonts w:hint="eastAsia" w:ascii="仿宋_GB2312" w:hAnsi="微软雅黑" w:eastAsia="仿宋_GB2312"/>
          <w:color w:val="0f0f0f"/>
          <w:sz w:val="32"/>
          <w:szCs w:val="32"/>
        </w:rPr>
        <w:t xml:space="preserve">（以下简称区教委）</w:t>
      </w:r>
      <w:r>
        <w:rPr>
          <w:rFonts w:ascii="仿宋_GB2312" w:hAnsi="微软雅黑" w:eastAsia="仿宋_GB2312"/>
          <w:color w:val="0f0f0f"/>
          <w:sz w:val="32"/>
          <w:szCs w:val="32"/>
        </w:rPr>
        <w:t xml:space="preserve">坚持以习近平新时代中国特色社会主义思想为指导，</w:t>
      </w:r>
      <w:r>
        <w:rPr>
          <w:rFonts w:hint="eastAsia" w:ascii="仿宋_GB2312" w:hAnsi="微软雅黑" w:eastAsia="仿宋_GB2312"/>
          <w:color w:val="0f0f0f"/>
          <w:sz w:val="32"/>
          <w:szCs w:val="32"/>
        </w:rPr>
        <w:t xml:space="preserve">全面贯彻落实《政府信息公开条例》</w:t>
      </w:r>
      <w:r>
        <w:rPr>
          <w:rFonts w:hint="eastAsia" w:ascii="仿宋_GB2312" w:hAnsi="微软雅黑" w:eastAsia="仿宋_GB2312"/>
          <w:color w:val="0f0f0f"/>
          <w:sz w:val="32"/>
          <w:szCs w:val="32"/>
        </w:rPr>
        <w:t xml:space="preserve">，</w:t>
      </w:r>
      <w:r>
        <w:rPr>
          <w:rFonts w:hint="eastAsia" w:ascii="仿宋_GB2312" w:hAnsi="微软雅黑" w:eastAsia="仿宋_GB2312"/>
          <w:color w:val="0f0f0f"/>
          <w:sz w:val="32"/>
          <w:szCs w:val="32"/>
        </w:rPr>
        <w:t xml:space="preserve">坚持以公开透明、公平公正为主线，以服务中心、方便群众为立足点，以促进权力公开透明运行和重点领域信息公开工作为重点，围绕教育中心工作、贴近民生需要、强化公开措施，依法、及时、准确地公开了相关信息，推进政府信息公开工作深入开展。</w:t>
      </w:r>
      <w:r>
        <w:rPr>
          <w:rFonts w:ascii="仿宋_GB2312" w:hAnsi="微软雅黑" w:eastAsia="仿宋_GB2312"/>
          <w:color w:val="0f0f0f"/>
          <w:sz w:val="32"/>
          <w:szCs w:val="32"/>
        </w:rPr>
      </w:r>
      <w:r>
        <w:rPr>
          <w:rFonts w:ascii="仿宋_GB2312" w:hAnsi="微软雅黑" w:eastAsia="仿宋_GB2312"/>
          <w:color w:val="0f0f0f"/>
          <w:sz w:val="32"/>
          <w:szCs w:val="32"/>
        </w:rPr>
      </w:r>
    </w:p>
    <w:p>
      <w:pPr>
        <w:pStyle w:val="676"/>
        <w:pBdr/>
        <w:spacing w:line="560" w:lineRule="exact"/>
        <w:ind w:firstLine="640"/>
        <w:rPr>
          <w:rFonts w:hint="eastAsia" w:ascii="仿宋_GB2312" w:hAnsi="微软雅黑" w:eastAsia="仿宋_GB2312"/>
          <w:color w:val="0f0f0f"/>
          <w:sz w:val="32"/>
          <w:szCs w:val="32"/>
        </w:rPr>
      </w:pPr>
      <w:r>
        <w:rPr>
          <w:rFonts w:hint="eastAsia" w:ascii="仿宋_GB2312" w:hAnsi="微软雅黑" w:eastAsia="仿宋_GB2312"/>
          <w:color w:val="0f0f0f"/>
          <w:sz w:val="32"/>
          <w:szCs w:val="32"/>
        </w:rPr>
        <w:t xml:space="preserve">（一）健全组织机构，强化组织领导。</w:t>
      </w:r>
      <w:r>
        <w:rPr>
          <w:rFonts w:hint="eastAsia" w:ascii="仿宋_GB2312" w:hAnsi="微软雅黑" w:eastAsia="仿宋_GB2312"/>
          <w:color w:val="0f0f0f"/>
          <w:sz w:val="32"/>
          <w:szCs w:val="32"/>
        </w:rPr>
        <w:t xml:space="preserve">区教委</w:t>
      </w:r>
      <w:r>
        <w:rPr>
          <w:rFonts w:hint="eastAsia" w:ascii="仿宋_GB2312" w:hAnsi="微软雅黑" w:eastAsia="仿宋_GB2312"/>
          <w:color w:val="0f0f0f"/>
          <w:sz w:val="32"/>
          <w:szCs w:val="32"/>
        </w:rPr>
        <w:t xml:space="preserve">为进一步推进政府信息公开工作的开展，</w:t>
      </w:r>
      <w:r>
        <w:rPr>
          <w:rFonts w:hint="eastAsia" w:ascii="仿宋_GB2312" w:hAnsi="微软雅黑" w:eastAsia="仿宋_GB2312"/>
          <w:color w:val="0f0f0f"/>
          <w:sz w:val="32"/>
          <w:szCs w:val="32"/>
        </w:rPr>
        <w:t xml:space="preserve">不断</w:t>
      </w:r>
      <w:r>
        <w:rPr>
          <w:rFonts w:hint="eastAsia" w:ascii="仿宋_GB2312" w:hAnsi="微软雅黑" w:eastAsia="仿宋_GB2312"/>
          <w:color w:val="0f0f0f"/>
          <w:sz w:val="32"/>
          <w:szCs w:val="32"/>
        </w:rPr>
        <w:t xml:space="preserve">健全政务公开工作机制，</w:t>
      </w:r>
      <w:r>
        <w:rPr>
          <w:rFonts w:hint="eastAsia" w:ascii="仿宋_GB2312" w:hAnsi="微软雅黑" w:eastAsia="仿宋_GB2312"/>
          <w:color w:val="0f0f0f"/>
          <w:sz w:val="32"/>
          <w:szCs w:val="32"/>
        </w:rPr>
        <w:t xml:space="preserve">建立</w:t>
      </w:r>
      <w:r>
        <w:rPr>
          <w:rFonts w:hint="eastAsia" w:ascii="仿宋_GB2312" w:hAnsi="微软雅黑" w:eastAsia="仿宋_GB2312"/>
          <w:color w:val="0f0f0f"/>
          <w:sz w:val="32"/>
          <w:szCs w:val="32"/>
        </w:rPr>
        <w:t xml:space="preserve">专门工作机构和专职工作队伍健设，成立了以</w:t>
      </w:r>
      <w:r>
        <w:rPr>
          <w:rFonts w:hint="eastAsia" w:ascii="仿宋_GB2312" w:hAnsi="微软雅黑" w:eastAsia="仿宋_GB2312"/>
          <w:color w:val="0f0f0f"/>
          <w:sz w:val="32"/>
          <w:szCs w:val="32"/>
        </w:rPr>
        <w:t xml:space="preserve">教委主任</w:t>
      </w:r>
      <w:r>
        <w:rPr>
          <w:rFonts w:hint="eastAsia" w:ascii="仿宋_GB2312" w:hAnsi="微软雅黑" w:eastAsia="仿宋_GB2312"/>
          <w:color w:val="0f0f0f"/>
          <w:sz w:val="32"/>
          <w:szCs w:val="32"/>
        </w:rPr>
        <w:t xml:space="preserve">任组长，分管领导任副组长</w:t>
      </w:r>
      <w:r>
        <w:rPr>
          <w:rFonts w:hint="eastAsia" w:ascii="仿宋_GB2312" w:hAnsi="微软雅黑" w:eastAsia="仿宋_GB2312"/>
          <w:color w:val="0f0f0f"/>
          <w:sz w:val="32"/>
          <w:szCs w:val="32"/>
        </w:rPr>
        <w:t xml:space="preserve">的政府信息公开工作领导小组</w:t>
      </w:r>
      <w:r>
        <w:rPr>
          <w:rFonts w:hint="eastAsia" w:ascii="仿宋_GB2312" w:hAnsi="微软雅黑" w:eastAsia="仿宋_GB2312"/>
          <w:color w:val="0f0f0f"/>
          <w:sz w:val="32"/>
          <w:szCs w:val="32"/>
        </w:rPr>
        <w:t xml:space="preserve">，领导小组下设办公室，由</w:t>
      </w:r>
      <w:r>
        <w:rPr>
          <w:rFonts w:hint="eastAsia" w:ascii="仿宋_GB2312" w:hAnsi="微软雅黑" w:eastAsia="仿宋_GB2312"/>
          <w:color w:val="0f0f0f"/>
          <w:sz w:val="32"/>
          <w:szCs w:val="32"/>
        </w:rPr>
        <w:t xml:space="preserve">区</w:t>
      </w:r>
      <w:r>
        <w:rPr>
          <w:rFonts w:hint="eastAsia" w:ascii="仿宋_GB2312" w:hAnsi="微软雅黑" w:eastAsia="仿宋_GB2312"/>
          <w:color w:val="0f0f0f"/>
          <w:sz w:val="32"/>
          <w:szCs w:val="32"/>
        </w:rPr>
        <w:t xml:space="preserve">教</w:t>
      </w:r>
      <w:r>
        <w:rPr>
          <w:rFonts w:hint="eastAsia" w:ascii="仿宋_GB2312" w:hAnsi="微软雅黑" w:eastAsia="仿宋_GB2312"/>
          <w:color w:val="0f0f0f"/>
          <w:sz w:val="32"/>
          <w:szCs w:val="32"/>
        </w:rPr>
        <w:t xml:space="preserve">委</w:t>
      </w:r>
      <w:r>
        <w:rPr>
          <w:rFonts w:hint="eastAsia" w:ascii="仿宋_GB2312" w:hAnsi="微软雅黑" w:eastAsia="仿宋_GB2312"/>
          <w:color w:val="0f0f0f"/>
          <w:sz w:val="32"/>
          <w:szCs w:val="32"/>
        </w:rPr>
        <w:t xml:space="preserve">办公室主任任政务公开办公室主任，各</w:t>
      </w:r>
      <w:r>
        <w:rPr>
          <w:rFonts w:hint="eastAsia" w:ascii="仿宋_GB2312" w:hAnsi="微软雅黑" w:eastAsia="仿宋_GB2312"/>
          <w:color w:val="0f0f0f"/>
          <w:sz w:val="32"/>
          <w:szCs w:val="32"/>
        </w:rPr>
        <w:t xml:space="preserve">科</w:t>
      </w:r>
      <w:r>
        <w:rPr>
          <w:rFonts w:hint="eastAsia" w:ascii="仿宋_GB2312" w:hAnsi="微软雅黑" w:eastAsia="仿宋_GB2312"/>
          <w:color w:val="0f0f0f"/>
          <w:sz w:val="32"/>
          <w:szCs w:val="32"/>
        </w:rPr>
        <w:t xml:space="preserve">室负责人担任成员，指定专人作为政府信息公开工作人员，承担信息公开工作，形成了“工作分解到位、责任落实到人”的工作机制，保证了教育系统政府信息公开工作与日常工作融为一体，同步推进。</w:t>
      </w:r>
      <w:r>
        <w:rPr>
          <w:rFonts w:hint="eastAsia" w:ascii="仿宋_GB2312" w:hAnsi="微软雅黑" w:eastAsia="仿宋_GB2312"/>
          <w:color w:val="0f0f0f"/>
          <w:sz w:val="32"/>
          <w:szCs w:val="32"/>
        </w:rPr>
      </w:r>
    </w:p>
    <w:p>
      <w:pPr>
        <w:pStyle w:val="676"/>
        <w:pBdr/>
        <w:spacing w:line="560" w:lineRule="exact"/>
        <w:ind w:firstLine="640"/>
        <w:rPr>
          <w:rFonts w:ascii="仿宋_GB2312" w:hAnsi="微软雅黑" w:eastAsia="仿宋_GB2312"/>
          <w:color w:val="0f0f0f"/>
          <w:sz w:val="32"/>
          <w:szCs w:val="32"/>
        </w:rPr>
      </w:pPr>
      <w:r>
        <w:rPr>
          <w:rFonts w:hint="eastAsia" w:ascii="仿宋_GB2312" w:hAnsi="微软雅黑" w:eastAsia="仿宋_GB2312"/>
          <w:color w:val="0f0f0f"/>
          <w:sz w:val="32"/>
          <w:szCs w:val="32"/>
        </w:rPr>
        <w:t xml:space="preserve">（二）优化公开内容，回应群众关切。按照</w:t>
      </w:r>
      <w:r>
        <w:rPr>
          <w:rFonts w:hint="eastAsia" w:ascii="仿宋_GB2312" w:hAnsi="微软雅黑" w:eastAsia="仿宋_GB2312"/>
          <w:color w:val="0f0f0f"/>
          <w:sz w:val="32"/>
          <w:szCs w:val="32"/>
        </w:rPr>
        <w:t xml:space="preserve">区</w:t>
      </w:r>
      <w:r>
        <w:rPr>
          <w:rFonts w:hint="eastAsia" w:ascii="仿宋_GB2312" w:hAnsi="微软雅黑" w:eastAsia="仿宋_GB2312"/>
          <w:color w:val="0f0f0f"/>
          <w:sz w:val="32"/>
          <w:szCs w:val="32"/>
        </w:rPr>
        <w:t xml:space="preserve">政府</w:t>
      </w:r>
      <w:r>
        <w:rPr>
          <w:rFonts w:hint="eastAsia" w:ascii="仿宋_GB2312" w:hAnsi="微软雅黑" w:eastAsia="仿宋_GB2312"/>
          <w:color w:val="0f0f0f"/>
          <w:sz w:val="32"/>
          <w:szCs w:val="32"/>
        </w:rPr>
        <w:t xml:space="preserve">政务公开工作要点</w:t>
      </w:r>
      <w:r>
        <w:rPr>
          <w:rFonts w:hint="eastAsia" w:ascii="仿宋_GB2312" w:hAnsi="微软雅黑" w:eastAsia="仿宋_GB2312"/>
          <w:color w:val="0f0f0f"/>
          <w:sz w:val="32"/>
          <w:szCs w:val="32"/>
        </w:rPr>
        <w:t xml:space="preserve">要求，规范落实“公开为常态，不公开为例外”的原则，进步明确了</w:t>
      </w:r>
      <w:r>
        <w:rPr>
          <w:rFonts w:hint="eastAsia" w:ascii="仿宋_GB2312" w:hAnsi="微软雅黑" w:eastAsia="仿宋_GB2312"/>
          <w:color w:val="0f0f0f"/>
          <w:sz w:val="32"/>
          <w:szCs w:val="32"/>
        </w:rPr>
        <w:t xml:space="preserve">区教委</w:t>
      </w:r>
      <w:r>
        <w:rPr>
          <w:rFonts w:hint="eastAsia" w:ascii="仿宋_GB2312" w:hAnsi="微软雅黑" w:eastAsia="仿宋_GB2312"/>
          <w:color w:val="0f0f0f"/>
          <w:sz w:val="32"/>
          <w:szCs w:val="32"/>
        </w:rPr>
        <w:t xml:space="preserve">主动向社会公开的政府信息，进一步提高了服务群众能力，提升了政府的公信力。</w:t>
      </w:r>
      <w:r>
        <w:rPr>
          <w:rFonts w:ascii="仿宋_GB2312" w:hAnsi="微软雅黑" w:eastAsia="仿宋_GB2312"/>
          <w:color w:val="0f0f0f"/>
          <w:sz w:val="32"/>
          <w:szCs w:val="32"/>
        </w:rPr>
      </w:r>
      <w:r>
        <w:rPr>
          <w:rFonts w:ascii="仿宋_GB2312" w:hAnsi="微软雅黑" w:eastAsia="仿宋_GB2312"/>
          <w:color w:val="0f0f0f"/>
          <w:sz w:val="32"/>
          <w:szCs w:val="32"/>
        </w:rPr>
      </w:r>
    </w:p>
    <w:p>
      <w:pPr>
        <w:pStyle w:val="661"/>
        <w:widowControl w:val="true"/>
        <w:pBdr/>
        <w:shd w:val="clear" w:color="auto" w:fill="ffffff"/>
        <w:spacing w:line="560" w:lineRule="exact"/>
        <w:ind w:firstLine="640"/>
        <w:rPr>
          <w:rFonts w:ascii="仿宋_GB2312" w:hAnsi="微软雅黑" w:eastAsia="仿宋_GB2312"/>
          <w:color w:val="0f0f0f"/>
          <w:sz w:val="32"/>
          <w:szCs w:val="32"/>
        </w:rPr>
      </w:pPr>
      <w:r>
        <w:rPr>
          <w:rFonts w:hint="eastAsia" w:ascii="仿宋_GB2312" w:hAnsi="仿宋" w:eastAsia="仿宋_GB2312" w:cs="仿宋_GB2312"/>
          <w:sz w:val="32"/>
          <w:szCs w:val="32"/>
        </w:rPr>
        <w:t xml:space="preserve">202</w:t>
      </w:r>
      <w:r>
        <w:rPr>
          <w:rFonts w:ascii="仿宋_GB2312" w:hAnsi="仿宋" w:eastAsia="仿宋_GB2312" w:cs="仿宋_GB2312"/>
          <w:sz w:val="32"/>
          <w:szCs w:val="32"/>
        </w:rPr>
        <w:t xml:space="preserve">1</w:t>
      </w:r>
      <w:r>
        <w:rPr>
          <w:rFonts w:hint="eastAsia" w:ascii="仿宋_GB2312" w:hAnsi="仿宋" w:eastAsia="仿宋_GB2312" w:cs="仿宋_GB2312"/>
          <w:sz w:val="32"/>
          <w:szCs w:val="32"/>
        </w:rPr>
        <w:t xml:space="preserve">年在区政府网站主动公开信息通知公告</w:t>
      </w:r>
      <w:r>
        <w:rPr>
          <w:rFonts w:ascii="仿宋_GB2312" w:hAnsi="仿宋" w:eastAsia="仿宋_GB2312" w:cs="仿宋_GB2312"/>
          <w:sz w:val="32"/>
          <w:szCs w:val="32"/>
        </w:rPr>
        <w:t xml:space="preserve">21</w:t>
      </w:r>
      <w:r>
        <w:rPr>
          <w:rFonts w:hint="eastAsia" w:ascii="仿宋_GB2312" w:hAnsi="仿宋" w:eastAsia="仿宋_GB2312" w:cs="仿宋_GB2312"/>
          <w:sz w:val="32"/>
          <w:szCs w:val="32"/>
        </w:rPr>
        <w:t xml:space="preserve">条、</w:t>
      </w:r>
      <w:r>
        <w:rPr>
          <w:rFonts w:hint="eastAsia" w:ascii="仿宋_GB2312" w:hAnsi="仿宋" w:eastAsia="仿宋_GB2312" w:cs="仿宋_GB2312"/>
          <w:sz w:val="32"/>
          <w:szCs w:val="32"/>
        </w:rPr>
        <w:t xml:space="preserve">部门动态1</w:t>
      </w:r>
      <w:r>
        <w:rPr>
          <w:rFonts w:ascii="仿宋_GB2312" w:hAnsi="仿宋" w:eastAsia="仿宋_GB2312" w:cs="仿宋_GB2312"/>
          <w:sz w:val="32"/>
          <w:szCs w:val="32"/>
        </w:rPr>
        <w:t xml:space="preserve">6</w:t>
      </w:r>
      <w:r>
        <w:rPr>
          <w:rFonts w:hint="eastAsia" w:ascii="仿宋_GB2312" w:hAnsi="仿宋" w:eastAsia="仿宋_GB2312" w:cs="仿宋_GB2312"/>
          <w:sz w:val="32"/>
          <w:szCs w:val="32"/>
        </w:rPr>
        <w:t xml:space="preserve">条、政务公开机构职能5条、规划计划1条、</w:t>
      </w:r>
      <w:r>
        <w:rPr>
          <w:rFonts w:hint="eastAsia" w:ascii="仿宋_GB2312" w:hAnsi="仿宋" w:eastAsia="仿宋_GB2312" w:cs="仿宋_GB2312"/>
          <w:sz w:val="32"/>
          <w:szCs w:val="32"/>
        </w:rPr>
        <w:t xml:space="preserve">公开指南1条、公开年报1条、主动公开全清单1条。</w:t>
      </w:r>
      <w:r>
        <w:rPr>
          <w:rFonts w:hint="eastAsia" w:ascii="仿宋_GB2312" w:hAnsi="仿宋" w:eastAsia="仿宋_GB2312" w:cs="仿宋_GB2312"/>
          <w:sz w:val="32"/>
          <w:szCs w:val="32"/>
        </w:rPr>
        <w:t xml:space="preserve">为便于群众知情、办事、监督，我们积极通过网站、报刊、电视台、电台等载体主动公开子女入学、招生考试、教师招聘等社会热点信息。</w:t>
      </w:r>
      <w:r>
        <w:rPr>
          <w:rFonts w:hint="eastAsia" w:ascii="仿宋_GB2312" w:hAnsi="微软雅黑" w:eastAsia="仿宋_GB2312"/>
          <w:color w:val="0f0f0f"/>
          <w:sz w:val="32"/>
          <w:szCs w:val="32"/>
        </w:rPr>
        <w:t xml:space="preserve">区教委充分利用“西城区政府</w:t>
      </w:r>
      <w:r>
        <w:rPr>
          <w:rFonts w:hint="eastAsia" w:ascii="仿宋_GB2312" w:hAnsi="微软雅黑" w:eastAsia="仿宋_GB2312"/>
          <w:color w:val="0f0f0f"/>
          <w:sz w:val="32"/>
          <w:szCs w:val="32"/>
        </w:rPr>
        <w:t xml:space="preserve">门户</w:t>
      </w:r>
      <w:r>
        <w:rPr>
          <w:rFonts w:hint="eastAsia" w:ascii="仿宋_GB2312" w:hAnsi="微软雅黑" w:eastAsia="仿宋_GB2312"/>
          <w:color w:val="0f0f0f"/>
          <w:sz w:val="32"/>
          <w:szCs w:val="32"/>
        </w:rPr>
        <w:t xml:space="preserve">网站”的作用，宣传教育事业，发布教育政策，解读教育措施。积极开展向公众报告工作，在互动交流栏目中能够在1个工作日内答复且内容准确。例如：在公开政策性文件的同时，本着为群众释疑的人性化服务理念，发布</w:t>
      </w:r>
      <w:r>
        <w:rPr>
          <w:rFonts w:hint="eastAsia" w:ascii="仿宋_GB2312" w:hAnsi="微软雅黑" w:eastAsia="仿宋_GB2312"/>
          <w:color w:val="0f0f0f"/>
          <w:sz w:val="32"/>
          <w:szCs w:val="32"/>
        </w:rPr>
        <w:t xml:space="preserve">【图片解读】西城区2021年义务教育入学流程</w:t>
      </w:r>
      <w:r>
        <w:rPr>
          <w:rFonts w:hint="eastAsia" w:ascii="仿宋_GB2312" w:hAnsi="微软雅黑" w:eastAsia="仿宋_GB2312"/>
          <w:color w:val="0f0f0f"/>
          <w:sz w:val="32"/>
          <w:szCs w:val="32"/>
        </w:rPr>
        <w:t xml:space="preserve">图</w:t>
      </w:r>
      <w:r>
        <w:rPr>
          <w:rFonts w:hint="eastAsia" w:ascii="仿宋_GB2312" w:hAnsi="微软雅黑" w:eastAsia="仿宋_GB2312"/>
          <w:color w:val="0f0f0f"/>
          <w:sz w:val="32"/>
          <w:szCs w:val="32"/>
        </w:rPr>
        <w:t xml:space="preserve">，使群众更加快捷了解政策。</w:t>
      </w:r>
      <w:r>
        <w:rPr>
          <w:rFonts w:ascii="仿宋_GB2312" w:hAnsi="微软雅黑" w:eastAsia="仿宋_GB2312"/>
          <w:color w:val="0f0f0f"/>
          <w:sz w:val="32"/>
          <w:szCs w:val="32"/>
        </w:rPr>
      </w:r>
      <w:r>
        <w:rPr>
          <w:rFonts w:ascii="仿宋_GB2312" w:hAnsi="微软雅黑" w:eastAsia="仿宋_GB2312"/>
          <w:color w:val="0f0f0f"/>
          <w:sz w:val="32"/>
          <w:szCs w:val="32"/>
        </w:rPr>
      </w:r>
    </w:p>
    <w:p>
      <w:pPr>
        <w:pStyle w:val="676"/>
        <w:pBdr/>
        <w:spacing w:line="560" w:lineRule="exact"/>
        <w:ind w:firstLine="640"/>
        <w:rPr>
          <w:rFonts w:ascii="仿宋_GB2312" w:hAnsi="微软雅黑" w:eastAsia="仿宋_GB2312"/>
          <w:color w:val="0f0f0f"/>
          <w:sz w:val="32"/>
          <w:szCs w:val="32"/>
        </w:rPr>
      </w:pPr>
      <w:r>
        <w:rPr>
          <w:rFonts w:hint="eastAsia" w:ascii="仿宋_GB2312" w:hAnsi="微软雅黑" w:eastAsia="仿宋_GB2312"/>
          <w:color w:val="0f0f0f"/>
          <w:sz w:val="32"/>
          <w:szCs w:val="32"/>
        </w:rPr>
        <w:t xml:space="preserve">区教委依托</w:t>
      </w:r>
      <w:r>
        <w:rPr>
          <w:rFonts w:hint="eastAsia" w:ascii="仿宋_GB2312" w:hAnsi="微软雅黑" w:eastAsia="仿宋_GB2312"/>
          <w:color w:val="0f0f0f"/>
          <w:sz w:val="32"/>
          <w:szCs w:val="32"/>
        </w:rPr>
        <w:t xml:space="preserve">西城</w:t>
      </w:r>
      <w:r>
        <w:rPr>
          <w:rFonts w:hint="eastAsia" w:ascii="仿宋_GB2312" w:hAnsi="微软雅黑" w:eastAsia="仿宋_GB2312"/>
          <w:color w:val="0f0f0f"/>
          <w:sz w:val="32"/>
          <w:szCs w:val="32"/>
        </w:rPr>
        <w:t xml:space="preserve">区政府</w:t>
      </w:r>
      <w:r>
        <w:rPr>
          <w:rFonts w:hint="eastAsia" w:ascii="仿宋_GB2312" w:hAnsi="微软雅黑" w:eastAsia="仿宋_GB2312"/>
          <w:color w:val="0f0f0f"/>
          <w:sz w:val="32"/>
          <w:szCs w:val="32"/>
        </w:rPr>
        <w:t xml:space="preserve">网站西城服务</w:t>
      </w:r>
      <w:r>
        <w:rPr>
          <w:rFonts w:hint="eastAsia" w:ascii="仿宋_GB2312" w:hAnsi="微软雅黑" w:eastAsia="仿宋_GB2312"/>
          <w:color w:val="0f0f0f"/>
          <w:sz w:val="32"/>
          <w:szCs w:val="32"/>
        </w:rPr>
        <w:t xml:space="preserve">的教育</w:t>
      </w:r>
      <w:r>
        <w:rPr>
          <w:rFonts w:hint="eastAsia" w:ascii="仿宋_GB2312" w:hAnsi="微软雅黑" w:eastAsia="仿宋_GB2312"/>
          <w:color w:val="0f0f0f"/>
          <w:sz w:val="32"/>
          <w:szCs w:val="32"/>
        </w:rPr>
        <w:t xml:space="preserve">服务</w:t>
      </w:r>
      <w:r>
        <w:rPr>
          <w:rFonts w:hint="eastAsia" w:ascii="仿宋_GB2312" w:hAnsi="微软雅黑" w:eastAsia="仿宋_GB2312"/>
          <w:color w:val="0f0f0f"/>
          <w:sz w:val="32"/>
          <w:szCs w:val="32"/>
        </w:rPr>
        <w:t xml:space="preserve">（链接到北京市西城区教育考试中心网站）、</w:t>
      </w:r>
      <w:r>
        <w:rPr>
          <w:rFonts w:hint="eastAsia" w:ascii="仿宋_GB2312" w:hAnsi="微软雅黑" w:eastAsia="仿宋_GB2312"/>
          <w:color w:val="0f0f0f"/>
          <w:sz w:val="32"/>
          <w:szCs w:val="32"/>
        </w:rPr>
        <w:t xml:space="preserve">政务公开重点领域</w:t>
      </w:r>
      <w:r>
        <w:rPr>
          <w:rFonts w:hint="eastAsia" w:ascii="仿宋_GB2312" w:hAnsi="微软雅黑" w:eastAsia="仿宋_GB2312"/>
          <w:color w:val="0f0f0f"/>
          <w:sz w:val="32"/>
          <w:szCs w:val="32"/>
        </w:rPr>
        <w:t xml:space="preserve">栏目对义务教育均衡发展、中小学教科书选用、教育</w:t>
      </w:r>
      <w:r>
        <w:rPr>
          <w:rFonts w:hint="eastAsia" w:ascii="仿宋_GB2312" w:hAnsi="微软雅黑" w:eastAsia="仿宋_GB2312"/>
          <w:color w:val="0f0f0f"/>
          <w:sz w:val="32"/>
          <w:szCs w:val="32"/>
        </w:rPr>
        <w:t xml:space="preserve">服务</w:t>
      </w:r>
      <w:r>
        <w:rPr>
          <w:rFonts w:hint="eastAsia" w:ascii="仿宋_GB2312" w:hAnsi="微软雅黑" w:eastAsia="仿宋_GB2312"/>
          <w:color w:val="0f0f0f"/>
          <w:sz w:val="32"/>
          <w:szCs w:val="32"/>
        </w:rPr>
        <w:t xml:space="preserve">、扩充学位情况等项目上进行公开，同时通过西城区民办教育网（http://mjb.xchjw.cn）管理指导本区的民办教育工作，统筹规划本区民办教育的数量、结构、布局、专业设置的宏观调控和审查审批民办非学历教育机构及幼儿园的设立、变更、终止；管理监督检查民办教育机构。</w:t>
      </w:r>
      <w:r>
        <w:rPr>
          <w:rFonts w:hint="eastAsia" w:ascii="仿宋_GB2312" w:hAnsi="微软雅黑" w:eastAsia="仿宋_GB2312"/>
          <w:color w:val="0f0f0f"/>
          <w:sz w:val="32"/>
          <w:szCs w:val="32"/>
        </w:rPr>
        <w:t xml:space="preserve">另外，通过西城区教育考试中心（https://www.xckszx.cn）发布相关信息</w:t>
      </w:r>
      <w:r>
        <w:rPr>
          <w:rFonts w:ascii="仿宋_GB2312" w:hAnsi="微软雅黑" w:eastAsia="仿宋_GB2312"/>
          <w:color w:val="0f0f0f"/>
          <w:sz w:val="32"/>
          <w:szCs w:val="32"/>
        </w:rPr>
        <w:t xml:space="preserve">41</w:t>
      </w:r>
      <w:r>
        <w:rPr>
          <w:rFonts w:hint="eastAsia" w:ascii="仿宋_GB2312" w:hAnsi="微软雅黑" w:eastAsia="仿宋_GB2312"/>
          <w:color w:val="0f0f0f"/>
          <w:sz w:val="32"/>
          <w:szCs w:val="32"/>
        </w:rPr>
        <w:t xml:space="preserve">条</w:t>
      </w:r>
      <w:r>
        <w:rPr>
          <w:rFonts w:hint="eastAsia" w:ascii="仿宋_GB2312" w:hAnsi="微软雅黑" w:eastAsia="仿宋_GB2312"/>
          <w:color w:val="0f0f0f"/>
          <w:sz w:val="32"/>
          <w:szCs w:val="32"/>
        </w:rPr>
        <w:t xml:space="preserve">，</w:t>
      </w:r>
      <w:r>
        <w:rPr>
          <w:rFonts w:hint="eastAsia" w:ascii="仿宋_GB2312" w:hAnsi="微软雅黑" w:eastAsia="仿宋_GB2312"/>
          <w:color w:val="0f0f0f"/>
          <w:sz w:val="32"/>
          <w:szCs w:val="32"/>
        </w:rPr>
        <w:t xml:space="preserve">其中有关小学入学1</w:t>
      </w:r>
      <w:r>
        <w:rPr>
          <w:rFonts w:ascii="仿宋_GB2312" w:hAnsi="微软雅黑" w:eastAsia="仿宋_GB2312"/>
          <w:color w:val="0f0f0f"/>
          <w:sz w:val="32"/>
          <w:szCs w:val="32"/>
        </w:rPr>
        <w:t xml:space="preserve">3</w:t>
      </w:r>
      <w:r>
        <w:rPr>
          <w:rFonts w:hint="eastAsia" w:ascii="仿宋_GB2312" w:hAnsi="微软雅黑" w:eastAsia="仿宋_GB2312"/>
          <w:color w:val="0f0f0f"/>
          <w:sz w:val="32"/>
          <w:szCs w:val="32"/>
        </w:rPr>
        <w:t xml:space="preserve">条</w:t>
      </w:r>
      <w:r>
        <w:rPr>
          <w:rFonts w:hint="eastAsia" w:ascii="仿宋_GB2312" w:hAnsi="微软雅黑" w:eastAsia="仿宋_GB2312"/>
          <w:color w:val="0f0f0f"/>
          <w:sz w:val="32"/>
          <w:szCs w:val="32"/>
        </w:rPr>
        <w:t xml:space="preserve">，</w:t>
      </w:r>
      <w:r>
        <w:rPr>
          <w:rFonts w:hint="eastAsia" w:ascii="仿宋_GB2312" w:hAnsi="微软雅黑" w:eastAsia="仿宋_GB2312"/>
          <w:color w:val="0f0f0f"/>
          <w:sz w:val="32"/>
          <w:szCs w:val="32"/>
        </w:rPr>
        <w:t xml:space="preserve">公告通知1</w:t>
      </w:r>
      <w:r>
        <w:rPr>
          <w:rFonts w:ascii="仿宋_GB2312" w:hAnsi="微软雅黑" w:eastAsia="仿宋_GB2312"/>
          <w:color w:val="0f0f0f"/>
          <w:sz w:val="32"/>
          <w:szCs w:val="32"/>
        </w:rPr>
        <w:t xml:space="preserve">0</w:t>
      </w:r>
      <w:r>
        <w:rPr>
          <w:rFonts w:hint="eastAsia" w:ascii="仿宋_GB2312" w:hAnsi="微软雅黑" w:eastAsia="仿宋_GB2312"/>
          <w:color w:val="0f0f0f"/>
          <w:sz w:val="32"/>
          <w:szCs w:val="32"/>
        </w:rPr>
        <w:t xml:space="preserve">条</w:t>
      </w:r>
      <w:r>
        <w:rPr>
          <w:rFonts w:hint="eastAsia" w:ascii="仿宋_GB2312" w:hAnsi="微软雅黑" w:eastAsia="仿宋_GB2312"/>
          <w:color w:val="0f0f0f"/>
          <w:sz w:val="32"/>
          <w:szCs w:val="32"/>
        </w:rPr>
        <w:t xml:space="preserve">。</w:t>
      </w:r>
      <w:r>
        <w:rPr>
          <w:rFonts w:hint="eastAsia" w:ascii="仿宋_GB2312" w:hAnsi="微软雅黑" w:eastAsia="仿宋_GB2312"/>
          <w:color w:val="0f0f0f"/>
          <w:sz w:val="32"/>
          <w:szCs w:val="32"/>
        </w:rPr>
        <w:t xml:space="preserve">借助新媒体建立的西城区教育考试中心微信公众号上完成微信推送</w:t>
      </w:r>
      <w:r>
        <w:rPr>
          <w:rFonts w:ascii="仿宋_GB2312" w:hAnsi="微软雅黑" w:eastAsia="仿宋_GB2312"/>
          <w:color w:val="0f0f0f"/>
          <w:sz w:val="32"/>
          <w:szCs w:val="32"/>
        </w:rPr>
        <w:t xml:space="preserve">43</w:t>
      </w:r>
      <w:r>
        <w:rPr>
          <w:rFonts w:hint="eastAsia" w:ascii="仿宋_GB2312" w:hAnsi="微软雅黑" w:eastAsia="仿宋_GB2312"/>
          <w:color w:val="0f0f0f"/>
          <w:sz w:val="32"/>
          <w:szCs w:val="32"/>
        </w:rPr>
        <w:t xml:space="preserve">条信息</w:t>
      </w:r>
      <w:r>
        <w:rPr>
          <w:rFonts w:hint="eastAsia" w:ascii="仿宋_GB2312" w:hAnsi="微软雅黑" w:eastAsia="仿宋_GB2312"/>
          <w:color w:val="0f0f0f"/>
          <w:sz w:val="32"/>
          <w:szCs w:val="32"/>
        </w:rPr>
        <w:t xml:space="preserve">，微信公众号</w:t>
      </w:r>
      <w:r>
        <w:rPr>
          <w:rFonts w:hint="eastAsia" w:ascii="仿宋_GB2312" w:hAnsi="微软雅黑" w:eastAsia="仿宋_GB2312"/>
          <w:color w:val="0f0f0f"/>
          <w:sz w:val="32"/>
          <w:szCs w:val="32"/>
        </w:rPr>
        <w:t xml:space="preserve">及时发布入学、转学、考试</w:t>
      </w:r>
      <w:r>
        <w:rPr>
          <w:rFonts w:hint="eastAsia" w:ascii="仿宋_GB2312" w:hAnsi="微软雅黑" w:eastAsia="仿宋_GB2312"/>
          <w:color w:val="0f0f0f"/>
          <w:sz w:val="32"/>
          <w:szCs w:val="32"/>
        </w:rPr>
        <w:t xml:space="preserve">等</w:t>
      </w:r>
      <w:r>
        <w:rPr>
          <w:rFonts w:hint="eastAsia" w:ascii="仿宋_GB2312" w:hAnsi="微软雅黑" w:eastAsia="仿宋_GB2312"/>
          <w:color w:val="0f0f0f"/>
          <w:sz w:val="32"/>
          <w:szCs w:val="32"/>
        </w:rPr>
        <w:t xml:space="preserve">通知公告</w:t>
      </w:r>
      <w:r>
        <w:rPr>
          <w:rFonts w:hint="eastAsia" w:ascii="仿宋_GB2312" w:hAnsi="微软雅黑" w:eastAsia="仿宋_GB2312"/>
          <w:color w:val="0f0f0f"/>
          <w:sz w:val="32"/>
          <w:szCs w:val="32"/>
        </w:rPr>
        <w:t xml:space="preserve">。</w:t>
      </w:r>
      <w:r>
        <w:rPr>
          <w:rFonts w:ascii="仿宋_GB2312" w:hAnsi="微软雅黑" w:eastAsia="仿宋_GB2312"/>
          <w:color w:val="0f0f0f"/>
          <w:sz w:val="32"/>
          <w:szCs w:val="32"/>
        </w:rPr>
      </w:r>
      <w:r>
        <w:rPr>
          <w:rFonts w:ascii="仿宋_GB2312" w:hAnsi="微软雅黑" w:eastAsia="仿宋_GB2312"/>
          <w:color w:val="0f0f0f"/>
          <w:sz w:val="32"/>
          <w:szCs w:val="32"/>
        </w:rPr>
      </w:r>
    </w:p>
    <w:p>
      <w:pPr>
        <w:pStyle w:val="676"/>
        <w:pBdr/>
        <w:spacing w:line="560" w:lineRule="exact"/>
        <w:ind w:firstLine="640"/>
        <w:rPr>
          <w:rFonts w:hint="eastAsia" w:ascii="仿宋_GB2312" w:hAnsi="微软雅黑" w:eastAsia="仿宋_GB2312"/>
          <w:color w:val="0f0f0f"/>
          <w:sz w:val="32"/>
          <w:szCs w:val="32"/>
        </w:rPr>
      </w:pPr>
      <w:r>
        <w:rPr>
          <w:rFonts w:hint="eastAsia" w:ascii="仿宋_GB2312" w:hAnsi="微软雅黑" w:eastAsia="仿宋_GB2312"/>
          <w:color w:val="0f0f0f"/>
          <w:sz w:val="32"/>
          <w:szCs w:val="32"/>
        </w:rPr>
        <w:t xml:space="preserve">（</w:t>
      </w:r>
      <w:r>
        <w:rPr>
          <w:rFonts w:hint="eastAsia" w:ascii="仿宋_GB2312" w:hAnsi="微软雅黑" w:eastAsia="仿宋_GB2312"/>
          <w:color w:val="0f0f0f"/>
          <w:sz w:val="32"/>
          <w:szCs w:val="32"/>
        </w:rPr>
        <w:t xml:space="preserve">三</w:t>
      </w:r>
      <w:r>
        <w:rPr>
          <w:rFonts w:hint="eastAsia" w:ascii="仿宋_GB2312" w:hAnsi="微软雅黑" w:eastAsia="仿宋_GB2312"/>
          <w:color w:val="0f0f0f"/>
          <w:sz w:val="32"/>
          <w:szCs w:val="32"/>
        </w:rPr>
        <w:t xml:space="preserve">）建立工作</w:t>
      </w:r>
      <w:r>
        <w:rPr>
          <w:rFonts w:hint="eastAsia" w:ascii="仿宋_GB2312" w:hAnsi="微软雅黑" w:eastAsia="仿宋_GB2312"/>
          <w:color w:val="0f0f0f"/>
          <w:sz w:val="32"/>
          <w:szCs w:val="32"/>
        </w:rPr>
        <w:t xml:space="preserve">制度</w:t>
      </w:r>
      <w:r>
        <w:rPr>
          <w:rFonts w:hint="eastAsia" w:ascii="仿宋_GB2312" w:hAnsi="微软雅黑" w:eastAsia="仿宋_GB2312"/>
          <w:color w:val="0f0f0f"/>
          <w:sz w:val="32"/>
          <w:szCs w:val="32"/>
        </w:rPr>
        <w:t xml:space="preserve">，严格规范管理。严格遵循政府信息公开要求，健全文件公开制度，</w:t>
      </w:r>
      <w:r>
        <w:rPr>
          <w:rFonts w:hint="eastAsia" w:ascii="仿宋_GB2312" w:hAnsi="微软雅黑" w:eastAsia="仿宋_GB2312"/>
          <w:color w:val="0f0f0f"/>
          <w:sz w:val="32"/>
          <w:szCs w:val="32"/>
        </w:rPr>
        <w:t xml:space="preserve">科</w:t>
      </w:r>
      <w:r>
        <w:rPr>
          <w:rFonts w:hint="eastAsia" w:ascii="仿宋_GB2312" w:hAnsi="微软雅黑" w:eastAsia="仿宋_GB2312"/>
          <w:color w:val="0f0f0f"/>
          <w:sz w:val="32"/>
          <w:szCs w:val="32"/>
        </w:rPr>
        <w:t xml:space="preserve">室在拟文时按要求选择公开属性的类别（主动公开、依申请公开或不公开），</w:t>
      </w:r>
      <w:r>
        <w:rPr>
          <w:rFonts w:hint="eastAsia" w:ascii="仿宋_GB2312" w:hAnsi="微软雅黑" w:eastAsia="仿宋_GB2312"/>
          <w:color w:val="0f0f0f"/>
          <w:sz w:val="32"/>
          <w:szCs w:val="32"/>
        </w:rPr>
        <w:t xml:space="preserve">科</w:t>
      </w:r>
      <w:r>
        <w:rPr>
          <w:rFonts w:hint="eastAsia" w:ascii="仿宋_GB2312" w:hAnsi="微软雅黑" w:eastAsia="仿宋_GB2312"/>
          <w:color w:val="0f0f0f"/>
          <w:sz w:val="32"/>
          <w:szCs w:val="32"/>
        </w:rPr>
        <w:t xml:space="preserve">室负责人和</w:t>
      </w:r>
      <w:r>
        <w:rPr>
          <w:rFonts w:hint="eastAsia" w:ascii="仿宋_GB2312" w:hAnsi="微软雅黑" w:eastAsia="仿宋_GB2312"/>
          <w:color w:val="0f0f0f"/>
          <w:sz w:val="32"/>
          <w:szCs w:val="32"/>
        </w:rPr>
        <w:t xml:space="preserve">区</w:t>
      </w:r>
      <w:r>
        <w:rPr>
          <w:rFonts w:hint="eastAsia" w:ascii="仿宋_GB2312" w:hAnsi="微软雅黑" w:eastAsia="仿宋_GB2312"/>
          <w:color w:val="0f0f0f"/>
          <w:sz w:val="32"/>
          <w:szCs w:val="32"/>
        </w:rPr>
        <w:t xml:space="preserve">教委</w:t>
      </w:r>
      <w:r>
        <w:rPr>
          <w:rFonts w:hint="eastAsia" w:ascii="仿宋_GB2312" w:hAnsi="微软雅黑" w:eastAsia="仿宋_GB2312"/>
          <w:color w:val="0f0f0f"/>
          <w:sz w:val="32"/>
          <w:szCs w:val="32"/>
        </w:rPr>
        <w:t xml:space="preserve">分管领导严格把关。确定需要公开的，通过</w:t>
      </w:r>
      <w:r>
        <w:rPr>
          <w:rFonts w:hint="eastAsia" w:ascii="仿宋_GB2312" w:hAnsi="微软雅黑" w:eastAsia="仿宋_GB2312"/>
          <w:color w:val="0f0f0f"/>
          <w:sz w:val="32"/>
          <w:szCs w:val="32"/>
        </w:rPr>
        <w:t xml:space="preserve"> </w:t>
      </w:r>
      <w:r>
        <w:rPr>
          <w:rFonts w:hint="eastAsia" w:ascii="仿宋_GB2312" w:hAnsi="微软雅黑" w:eastAsia="仿宋_GB2312"/>
          <w:color w:val="0f0f0f"/>
          <w:sz w:val="32"/>
          <w:szCs w:val="32"/>
        </w:rPr>
        <w:t xml:space="preserve">“</w:t>
      </w:r>
      <w:r>
        <w:rPr>
          <w:rFonts w:hint="eastAsia" w:ascii="仿宋_GB2312" w:hAnsi="微软雅黑" w:eastAsia="仿宋_GB2312"/>
          <w:color w:val="0f0f0f"/>
          <w:sz w:val="32"/>
          <w:szCs w:val="32"/>
        </w:rPr>
        <w:t xml:space="preserve">西城区政府</w:t>
      </w:r>
      <w:r>
        <w:rPr>
          <w:rFonts w:hint="eastAsia" w:ascii="仿宋_GB2312" w:hAnsi="微软雅黑" w:eastAsia="仿宋_GB2312"/>
          <w:color w:val="0f0f0f"/>
          <w:sz w:val="32"/>
          <w:szCs w:val="32"/>
        </w:rPr>
        <w:t xml:space="preserve">”官方网站等平台，第一时间内向社会公开，第一时间接受社会监督，进而提高政府信息公开的时效。</w:t>
      </w:r>
      <w:r>
        <w:rPr>
          <w:rFonts w:hint="eastAsia" w:ascii="仿宋_GB2312" w:hAnsi="微软雅黑" w:eastAsia="仿宋_GB2312"/>
          <w:color w:val="0f0f0f"/>
          <w:sz w:val="32"/>
          <w:szCs w:val="32"/>
        </w:rPr>
      </w:r>
    </w:p>
    <w:p>
      <w:pPr>
        <w:pStyle w:val="661"/>
        <w:numPr>
          <w:ilvl w:val="0"/>
          <w:numId w:val="1"/>
        </w:numPr>
        <w:pBd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 xml:space="preserve">主动公开政府信息情况</w:t>
      </w:r>
      <w:r>
        <w:rPr>
          <w:rFonts w:hint="eastAsia" w:ascii="黑体" w:hAnsi="黑体" w:eastAsia="黑体" w:cs="黑体"/>
          <w:sz w:val="32"/>
          <w:szCs w:val="32"/>
        </w:rPr>
      </w:r>
    </w:p>
    <w:p>
      <w:pPr>
        <w:pStyle w:val="676"/>
        <w:pBdr/>
        <w:spacing/>
        <w:ind/>
        <w:rPr>
          <w:rFonts w:hint="eastAsia"/>
        </w:rPr>
      </w:pPr>
      <w:r>
        <w:rPr>
          <w:rFonts w:hint="eastAsia"/>
        </w:rPr>
      </w:r>
      <w:r>
        <w:rPr>
          <w:rFonts w:hint="eastAsia"/>
        </w:rPr>
      </w:r>
    </w:p>
    <w:tbl>
      <w:tblPr>
        <w:tblW w:w="9740" w:type="dxa"/>
        <w:jc w:val="center"/>
        <w:tblInd w:w="0" w:type="dxa"/>
        <w:tblBorders/>
        <w:tblLayout w:type="fixed"/>
        <w:tblCellMar>
          <w:left w:w="0" w:type="dxa"/>
          <w:top w:w="0" w:type="dxa"/>
          <w:right w:w="0" w:type="dxa"/>
          <w:bottom w:w="0" w:type="dxa"/>
        </w:tblCellMar>
        <w:tblLook w:val="04A0" w:firstRow="1" w:lastRow="0" w:firstColumn="1" w:lastColumn="0" w:noHBand="0" w:noVBand="1"/>
      </w:tblPr>
      <w:tblGrid>
        <w:gridCol w:w="2435"/>
        <w:gridCol w:w="2435"/>
        <w:gridCol w:w="2435"/>
        <w:gridCol w:w="2435"/>
      </w:tblGrid>
      <w:tr>
        <w:trPr>
          <w:trHeight w:val="340"/>
        </w:trPr>
        <w:tc>
          <w:tcPr>
            <w:gridSpan w:val="4"/>
            <w:shd w:val="clear" w:color="auto" w:fill="9bc2e6"/>
            <w:tcBorders>
              <w:top w:val="single" w:color="000000" w:sz="8" w:space="0"/>
              <w:left w:val="single" w:color="000000" w:sz="8" w:space="0"/>
              <w:bottom w:val="single" w:color="000000" w:sz="8" w:space="0"/>
              <w:right w:val="single" w:color="000000" w:sz="8" w:space="0"/>
            </w:tcBorders>
            <w:tcMar>
              <w:left w:w="57" w:type="dxa"/>
              <w:right w:w="57" w:type="dxa"/>
            </w:tcMar>
            <w:tcW w:w="9740" w:type="dxa"/>
            <w:vAlign w:val="center"/>
            <w:textDirection w:val="lrTb"/>
            <w:noWrap w:val="false"/>
          </w:tcPr>
          <w:p>
            <w:pPr>
              <w:pStyle w:val="661"/>
              <w:widowControl w:val="true"/>
              <w:pBdr/>
              <w:spacing/>
              <w:ind/>
              <w:jc w:val="center"/>
              <w:rPr>
                <w:rFonts w:hint="eastAsia" w:ascii="宋体" w:hAnsi="宋体" w:cs="宋体"/>
                <w:color w:val="000000"/>
                <w:sz w:val="20"/>
                <w:szCs w:val="20"/>
              </w:rPr>
            </w:pPr>
            <w:r>
              <w:rPr>
                <w:rFonts w:hint="eastAsia" w:ascii="宋体" w:hAnsi="宋体" w:cs="宋体"/>
                <w:color w:val="000000"/>
                <w:sz w:val="20"/>
                <w:szCs w:val="20"/>
              </w:rPr>
              <w:t xml:space="preserve">第二十条第（一）项</w:t>
            </w:r>
            <w:r>
              <w:rPr>
                <w:rFonts w:hint="eastAsia" w:ascii="宋体" w:hAnsi="宋体" w:cs="宋体"/>
                <w:color w:val="000000"/>
                <w:sz w:val="20"/>
                <w:szCs w:val="20"/>
              </w:rPr>
            </w:r>
          </w:p>
        </w:tc>
      </w:tr>
      <w:tr>
        <w:trPr>
          <w:trHeight w:val="340"/>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2435" w:type="dxa"/>
            <w:vAlign w:val="center"/>
            <w:textDirection w:val="lrTb"/>
            <w:noWrap w:val="false"/>
          </w:tcPr>
          <w:p>
            <w:pPr>
              <w:pStyle w:val="661"/>
              <w:widowControl w:val="true"/>
              <w:pBdr/>
              <w:spacing/>
              <w:ind/>
              <w:jc w:val="center"/>
              <w:rPr/>
            </w:pPr>
            <w:r>
              <w:rPr>
                <w:rFonts w:hint="eastAsia" w:ascii="宋体" w:hAnsi="宋体" w:cs="宋体"/>
                <w:color w:val="000000"/>
                <w:sz w:val="20"/>
                <w:szCs w:val="20"/>
              </w:rPr>
              <w:t xml:space="preserve">信息内容</w:t>
            </w:r>
            <w:r/>
          </w:p>
        </w:tc>
        <w:tc>
          <w:tcPr>
            <w:shd w:val="clear" w:color="auto" w:fill="ddebf7"/>
            <w:tcBorders>
              <w:top w:val="single" w:color="000000" w:sz="8" w:space="0"/>
              <w:left w:val="none" w:color="000000" w:sz="4" w:space="0"/>
              <w:bottom w:val="single" w:color="000000" w:sz="8" w:space="0"/>
              <w:right w:val="single" w:color="000000" w:sz="8" w:space="0"/>
            </w:tcBorders>
            <w:tcMar>
              <w:left w:w="57" w:type="dxa"/>
              <w:right w:w="57" w:type="dxa"/>
            </w:tcMar>
            <w:tcW w:w="2435" w:type="dxa"/>
            <w:vAlign w:val="center"/>
            <w:textDirection w:val="lrTb"/>
            <w:noWrap w:val="false"/>
          </w:tcPr>
          <w:p>
            <w:pPr>
              <w:pStyle w:val="661"/>
              <w:widowControl w:val="true"/>
              <w:pBdr/>
              <w:spacing/>
              <w:ind/>
              <w:jc w:val="center"/>
              <w:rPr>
                <w:rFonts w:hint="eastAsia" w:ascii="宋体" w:hAnsi="宋体" w:cs="宋体"/>
                <w:color w:val="000000"/>
                <w:sz w:val="20"/>
                <w:szCs w:val="20"/>
              </w:rPr>
            </w:pPr>
            <w:r>
              <w:rPr>
                <w:rFonts w:hint="eastAsia" w:ascii="宋体" w:hAnsi="宋体" w:cs="宋体"/>
                <w:color w:val="000000"/>
                <w:sz w:val="20"/>
                <w:szCs w:val="20"/>
              </w:rPr>
              <w:t xml:space="preserve">本年制发件数</w:t>
            </w:r>
            <w:r>
              <w:rPr>
                <w:rFonts w:hint="eastAsia" w:ascii="宋体" w:hAnsi="宋体" w:cs="宋体"/>
                <w:color w:val="000000"/>
                <w:sz w:val="20"/>
                <w:szCs w:val="20"/>
              </w:rPr>
            </w:r>
          </w:p>
        </w:tc>
        <w:tc>
          <w:tcPr>
            <w:shd w:val="clear" w:color="auto" w:fill="ddebf7"/>
            <w:tcBorders>
              <w:top w:val="single" w:color="000000" w:sz="8" w:space="0"/>
              <w:left w:val="none" w:color="000000" w:sz="4" w:space="0"/>
              <w:bottom w:val="single" w:color="000000" w:sz="8" w:space="0"/>
              <w:right w:val="single" w:color="000000" w:sz="8" w:space="0"/>
            </w:tcBorders>
            <w:tcMar>
              <w:left w:w="57" w:type="dxa"/>
              <w:right w:w="57" w:type="dxa"/>
            </w:tcMar>
            <w:tcW w:w="2435" w:type="dxa"/>
            <w:vAlign w:val="center"/>
            <w:textDirection w:val="lrTb"/>
            <w:noWrap w:val="false"/>
          </w:tcPr>
          <w:p>
            <w:pPr>
              <w:pStyle w:val="661"/>
              <w:widowControl w:val="true"/>
              <w:pBdr/>
              <w:spacing/>
              <w:ind/>
              <w:jc w:val="center"/>
              <w:rPr/>
            </w:pPr>
            <w:r>
              <w:rPr>
                <w:rFonts w:hint="eastAsia" w:ascii="宋体" w:hAnsi="宋体" w:cs="宋体"/>
                <w:color w:val="000000"/>
                <w:sz w:val="20"/>
                <w:szCs w:val="20"/>
              </w:rPr>
              <w:t xml:space="preserve">本年废止件数</w:t>
            </w:r>
            <w:r/>
          </w:p>
        </w:tc>
        <w:tc>
          <w:tcPr>
            <w:shd w:val="clear" w:color="auto" w:fill="ddebf7"/>
            <w:tcBorders>
              <w:top w:val="single" w:color="000000" w:sz="8" w:space="0"/>
              <w:left w:val="none" w:color="000000" w:sz="4" w:space="0"/>
              <w:bottom w:val="single" w:color="000000" w:sz="8" w:space="0"/>
              <w:right w:val="single" w:color="000000" w:sz="8" w:space="0"/>
            </w:tcBorders>
            <w:tcMar>
              <w:left w:w="57" w:type="dxa"/>
              <w:right w:w="57" w:type="dxa"/>
            </w:tcMar>
            <w:tcW w:w="2435" w:type="dxa"/>
            <w:vAlign w:val="center"/>
            <w:textDirection w:val="lrTb"/>
            <w:noWrap w:val="false"/>
          </w:tcPr>
          <w:p>
            <w:pPr>
              <w:pStyle w:val="661"/>
              <w:widowControl w:val="true"/>
              <w:pBdr/>
              <w:spacing/>
              <w:ind/>
              <w:jc w:val="center"/>
              <w:rPr/>
            </w:pPr>
            <w:r>
              <w:rPr>
                <w:rFonts w:hint="eastAsia" w:ascii="宋体" w:hAnsi="宋体" w:cs="宋体"/>
                <w:color w:val="000000"/>
                <w:sz w:val="20"/>
                <w:szCs w:val="20"/>
              </w:rPr>
              <w:t xml:space="preserve">现行有效件</w:t>
            </w:r>
            <w:r>
              <w:rPr>
                <w:rFonts w:hint="eastAsia" w:ascii="宋体" w:hAnsi="宋体" w:cs="宋体"/>
                <w:sz w:val="20"/>
                <w:szCs w:val="20"/>
              </w:rPr>
              <w:t xml:space="preserve">数</w:t>
            </w:r>
            <w:r/>
          </w:p>
        </w:tc>
      </w:tr>
      <w:tr>
        <w:trPr>
          <w:trHeight w:val="340"/>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2435" w:type="dxa"/>
            <w:vAlign w:val="center"/>
            <w:textDirection w:val="lrTb"/>
            <w:noWrap w:val="false"/>
          </w:tcPr>
          <w:p>
            <w:pPr>
              <w:pStyle w:val="661"/>
              <w:widowControl w:val="true"/>
              <w:pBdr/>
              <w:spacing/>
              <w:ind/>
              <w:jc w:val="left"/>
              <w:rPr/>
            </w:pPr>
            <w:r>
              <w:rPr>
                <w:rFonts w:hint="eastAsia" w:ascii="宋体" w:hAnsi="宋体" w:cs="宋体"/>
                <w:color w:val="000000"/>
                <w:sz w:val="20"/>
                <w:szCs w:val="20"/>
              </w:rPr>
              <w:t xml:space="preserve">规章</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2435" w:type="dxa"/>
            <w:vAlign w:val="center"/>
            <w:textDirection w:val="lrTb"/>
            <w:noWrap w:val="false"/>
          </w:tcPr>
          <w:p>
            <w:pPr>
              <w:pStyle w:val="661"/>
              <w:widowControl w:val="true"/>
              <w:pBdr/>
              <w:spacing/>
              <w:ind/>
              <w:jc w:val="left"/>
              <w:rPr>
                <w:rFonts w:hint="eastAsia"/>
              </w:rPr>
            </w:pPr>
            <w:r>
              <w:rPr>
                <w:rFonts w:hint="eastAsia"/>
              </w:rPr>
              <w:t xml:space="preserve">0</w:t>
            </w:r>
            <w:r>
              <w:rPr>
                <w:rFonts w:hint="eastAsia"/>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2435" w:type="dxa"/>
            <w:vAlign w:val="center"/>
            <w:textDirection w:val="lrTb"/>
            <w:noWrap w:val="false"/>
          </w:tcPr>
          <w:p>
            <w:pPr>
              <w:pStyle w:val="661"/>
              <w:widowControl w:val="true"/>
              <w:pBdr/>
              <w:spacing/>
              <w:ind/>
              <w:jc w:val="left"/>
              <w:rPr>
                <w:rFonts w:hint="eastAsia"/>
              </w:rPr>
            </w:pPr>
            <w:r>
              <w:rPr>
                <w:rFonts w:hint="eastAsia"/>
              </w:rPr>
              <w:t xml:space="preserve">0</w:t>
            </w:r>
            <w:r>
              <w:rPr>
                <w:rFonts w:hint="eastAsia"/>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2435" w:type="dxa"/>
            <w:vAlign w:val="center"/>
            <w:textDirection w:val="lrTb"/>
            <w:noWrap w:val="false"/>
          </w:tcPr>
          <w:p>
            <w:pPr>
              <w:pStyle w:val="661"/>
              <w:widowControl w:val="true"/>
              <w:pBdr/>
              <w:spacing/>
              <w:ind/>
              <w:jc w:val="left"/>
              <w:rPr>
                <w:rFonts w:hint="eastAsia"/>
              </w:rPr>
            </w:pPr>
            <w:r>
              <w:rPr>
                <w:rFonts w:hint="eastAsia"/>
              </w:rPr>
              <w:t xml:space="preserve">0</w:t>
            </w:r>
            <w:r>
              <w:rPr>
                <w:rFonts w:hint="eastAsia"/>
              </w:rPr>
            </w:r>
          </w:p>
        </w:tc>
      </w:tr>
      <w:tr>
        <w:trPr>
          <w:trHeight w:val="340"/>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2435" w:type="dxa"/>
            <w:vAlign w:val="center"/>
            <w:textDirection w:val="lrTb"/>
            <w:noWrap w:val="false"/>
          </w:tcPr>
          <w:p>
            <w:pPr>
              <w:pStyle w:val="661"/>
              <w:widowControl w:val="true"/>
              <w:pBdr/>
              <w:spacing/>
              <w:ind/>
              <w:jc w:val="left"/>
              <w:rPr/>
            </w:pPr>
            <w:r>
              <w:rPr>
                <w:rFonts w:hint="eastAsia" w:ascii="宋体" w:hAnsi="宋体" w:cs="宋体"/>
                <w:color w:val="000000"/>
                <w:sz w:val="20"/>
                <w:szCs w:val="20"/>
              </w:rPr>
              <w:t xml:space="preserve">行政规范性文件</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2435" w:type="dxa"/>
            <w:vAlign w:val="center"/>
            <w:textDirection w:val="lrTb"/>
            <w:noWrap w:val="false"/>
          </w:tcPr>
          <w:p>
            <w:pPr>
              <w:pStyle w:val="661"/>
              <w:widowControl w:val="true"/>
              <w:pBdr/>
              <w:spacing/>
              <w:ind/>
              <w:jc w:val="left"/>
              <w:rPr/>
            </w:pPr>
            <w:r>
              <w:rPr>
                <w:rFonts w:hint="eastAsia"/>
                <w:sz w:val="15"/>
              </w:rPr>
              <w:t xml:space="preserve">2</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2435" w:type="dxa"/>
            <w:vAlign w:val="center"/>
            <w:textDirection w:val="lrTb"/>
            <w:noWrap w:val="false"/>
          </w:tcPr>
          <w:p>
            <w:pPr>
              <w:pStyle w:val="661"/>
              <w:widowControl w:val="true"/>
              <w:pBdr/>
              <w:spacing/>
              <w:ind/>
              <w:jc w:val="left"/>
              <w:rPr>
                <w:rFonts w:hint="eastAsia"/>
              </w:rPr>
            </w:pPr>
            <w:r>
              <w:rPr>
                <w:rFonts w:hint="eastAsia"/>
              </w:rPr>
              <w:t xml:space="preserve">0</w:t>
            </w:r>
            <w:r>
              <w:rPr>
                <w:rFonts w:hint="eastAsia"/>
              </w:rPr>
            </w:r>
            <w:r>
              <w:rPr>
                <w:rFonts w:hint="eastAsia"/>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2435" w:type="dxa"/>
            <w:vAlign w:val="center"/>
            <w:textDirection w:val="lrTb"/>
            <w:noWrap w:val="false"/>
          </w:tcPr>
          <w:p>
            <w:pPr>
              <w:pStyle w:val="661"/>
              <w:widowControl w:val="true"/>
              <w:pBdr/>
              <w:spacing/>
              <w:ind/>
              <w:jc w:val="left"/>
              <w:rPr/>
            </w:pPr>
            <w:r>
              <w:rPr>
                <w:rFonts w:hint="eastAsia"/>
                <w:sz w:val="15"/>
              </w:rPr>
              <w:t xml:space="preserve">7</w:t>
            </w:r>
            <w:r/>
          </w:p>
        </w:tc>
      </w:tr>
      <w:tr>
        <w:trPr>
          <w:trHeight w:val="340"/>
        </w:trPr>
        <w:tc>
          <w:tcPr>
            <w:gridSpan w:val="4"/>
            <w:shd w:val="clear" w:color="auto" w:fill="9bc2e6"/>
            <w:tcBorders>
              <w:top w:val="none" w:color="000000" w:sz="4" w:space="0"/>
              <w:left w:val="single" w:color="000000" w:sz="8" w:space="0"/>
              <w:bottom w:val="single" w:color="000000" w:sz="8" w:space="0"/>
              <w:right w:val="single" w:color="000000" w:sz="8" w:space="0"/>
            </w:tcBorders>
            <w:tcMar>
              <w:left w:w="57" w:type="dxa"/>
              <w:right w:w="57" w:type="dxa"/>
            </w:tcMar>
            <w:tcW w:w="9740" w:type="dxa"/>
            <w:vAlign w:val="center"/>
            <w:textDirection w:val="lrTb"/>
            <w:noWrap w:val="false"/>
          </w:tcPr>
          <w:p>
            <w:pPr>
              <w:pStyle w:val="661"/>
              <w:widowControl w:val="true"/>
              <w:pBdr/>
              <w:spacing/>
              <w:ind/>
              <w:jc w:val="center"/>
              <w:rPr/>
            </w:pPr>
            <w:r>
              <w:rPr>
                <w:rFonts w:hint="eastAsia" w:ascii="宋体" w:hAnsi="宋体" w:cs="宋体"/>
                <w:color w:val="000000"/>
                <w:sz w:val="20"/>
                <w:szCs w:val="20"/>
              </w:rPr>
              <w:t xml:space="preserve">第二十条第（五）项</w:t>
            </w:r>
            <w:r/>
          </w:p>
        </w:tc>
      </w:tr>
      <w:tr>
        <w:trPr>
          <w:trHeight w:val="340"/>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2435" w:type="dxa"/>
            <w:vAlign w:val="center"/>
            <w:textDirection w:val="lrTb"/>
            <w:noWrap w:val="false"/>
          </w:tcPr>
          <w:p>
            <w:pPr>
              <w:pStyle w:val="661"/>
              <w:widowControl w:val="true"/>
              <w:pBdr/>
              <w:spacing/>
              <w:ind/>
              <w:jc w:val="center"/>
              <w:rPr/>
            </w:pPr>
            <w:r>
              <w:rPr>
                <w:rFonts w:hint="eastAsia" w:ascii="宋体" w:hAnsi="宋体" w:cs="宋体"/>
                <w:color w:val="000000"/>
                <w:sz w:val="20"/>
                <w:szCs w:val="20"/>
              </w:rPr>
              <w:t xml:space="preserve">信息内容</w:t>
            </w:r>
            <w:r/>
          </w:p>
        </w:tc>
        <w:tc>
          <w:tcPr>
            <w:gridSpan w:val="3"/>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7305" w:type="dxa"/>
            <w:vAlign w:val="center"/>
            <w:textDirection w:val="lrTb"/>
            <w:noWrap w:val="false"/>
          </w:tcPr>
          <w:p>
            <w:pPr>
              <w:pStyle w:val="661"/>
              <w:widowControl w:val="true"/>
              <w:pBdr/>
              <w:spacing/>
              <w:ind/>
              <w:jc w:val="center"/>
              <w:rPr/>
            </w:pPr>
            <w:r>
              <w:rPr>
                <w:rFonts w:hint="eastAsia" w:ascii="宋体" w:hAnsi="宋体" w:cs="宋体"/>
                <w:color w:val="000000"/>
                <w:sz w:val="20"/>
                <w:szCs w:val="20"/>
              </w:rPr>
              <w:t xml:space="preserve">本年处理决定数量</w:t>
            </w:r>
            <w:r/>
          </w:p>
        </w:tc>
      </w:tr>
      <w:tr>
        <w:trPr>
          <w:trHeight w:val="805"/>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2435" w:type="dxa"/>
            <w:vAlign w:val="center"/>
            <w:textDirection w:val="lrTb"/>
            <w:noWrap w:val="false"/>
          </w:tcPr>
          <w:p>
            <w:pPr>
              <w:pStyle w:val="661"/>
              <w:widowControl w:val="true"/>
              <w:pBdr/>
              <w:spacing/>
              <w:ind/>
              <w:jc w:val="left"/>
              <w:rPr/>
            </w:pPr>
            <w:r>
              <w:rPr>
                <w:rFonts w:hint="eastAsia" w:ascii="宋体" w:hAnsi="宋体" w:cs="宋体"/>
                <w:color w:val="000000"/>
                <w:sz w:val="20"/>
                <w:szCs w:val="20"/>
              </w:rPr>
              <w:t xml:space="preserve">行政许可</w:t>
            </w:r>
            <w:r/>
          </w:p>
        </w:tc>
        <w:tc>
          <w:tcPr>
            <w:gridSpan w:val="3"/>
            <w:tcBorders>
              <w:top w:val="none" w:color="000000" w:sz="4" w:space="0"/>
              <w:left w:val="none" w:color="000000" w:sz="4" w:space="0"/>
              <w:bottom w:val="single" w:color="000000" w:sz="8" w:space="0"/>
              <w:right w:val="single" w:color="000000" w:sz="8" w:space="0"/>
            </w:tcBorders>
            <w:tcMar>
              <w:left w:w="57" w:type="dxa"/>
              <w:right w:w="57" w:type="dxa"/>
            </w:tcMar>
            <w:tcW w:w="7305" w:type="dxa"/>
            <w:vAlign w:val="center"/>
            <w:textDirection w:val="lrTb"/>
            <w:noWrap w:val="false"/>
          </w:tcPr>
          <w:p>
            <w:pPr>
              <w:pStyle w:val="661"/>
              <w:widowControl w:val="true"/>
              <w:pBdr/>
              <w:spacing/>
              <w:ind/>
              <w:jc w:val="left"/>
              <w:rPr/>
            </w:pPr>
            <w:r>
              <w:rPr>
                <w:rFonts w:hint="eastAsia" w:ascii="仿宋_GB2312" w:eastAsia="仿宋_GB2312"/>
              </w:rPr>
              <w:t xml:space="preserve">8</w:t>
            </w:r>
            <w:r>
              <w:rPr>
                <w:rFonts w:ascii="仿宋_GB2312" w:eastAsia="仿宋_GB2312"/>
              </w:rPr>
              <w:t xml:space="preserve">36</w:t>
            </w:r>
            <w:r/>
          </w:p>
        </w:tc>
      </w:tr>
      <w:tr>
        <w:trPr>
          <w:trHeight w:val="340"/>
        </w:trPr>
        <w:tc>
          <w:tcPr>
            <w:gridSpan w:val="4"/>
            <w:shd w:val="clear" w:color="auto" w:fill="9bc2e6"/>
            <w:tcBorders>
              <w:top w:val="none" w:color="000000" w:sz="4" w:space="0"/>
              <w:left w:val="single" w:color="000000" w:sz="8" w:space="0"/>
              <w:bottom w:val="single" w:color="000000" w:sz="8" w:space="0"/>
              <w:right w:val="single" w:color="000000" w:sz="8" w:space="0"/>
            </w:tcBorders>
            <w:tcMar>
              <w:left w:w="57" w:type="dxa"/>
              <w:right w:w="57" w:type="dxa"/>
            </w:tcMar>
            <w:tcW w:w="9740" w:type="dxa"/>
            <w:vAlign w:val="center"/>
            <w:textDirection w:val="lrTb"/>
            <w:noWrap w:val="false"/>
          </w:tcPr>
          <w:p>
            <w:pPr>
              <w:pStyle w:val="661"/>
              <w:widowControl w:val="true"/>
              <w:pBdr/>
              <w:spacing/>
              <w:ind/>
              <w:jc w:val="center"/>
              <w:rPr/>
            </w:pPr>
            <w:r>
              <w:rPr>
                <w:rFonts w:hint="eastAsia" w:ascii="宋体" w:hAnsi="宋体" w:cs="宋体"/>
                <w:color w:val="000000"/>
                <w:sz w:val="20"/>
                <w:szCs w:val="20"/>
              </w:rPr>
              <w:t xml:space="preserve">第二十条第（六）项</w:t>
            </w:r>
            <w:r/>
          </w:p>
        </w:tc>
      </w:tr>
      <w:tr>
        <w:trPr>
          <w:trHeight w:val="340"/>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2435" w:type="dxa"/>
            <w:vAlign w:val="center"/>
            <w:textDirection w:val="lrTb"/>
            <w:noWrap w:val="false"/>
          </w:tcPr>
          <w:p>
            <w:pPr>
              <w:pStyle w:val="661"/>
              <w:widowControl w:val="true"/>
              <w:pBdr/>
              <w:spacing/>
              <w:ind/>
              <w:jc w:val="center"/>
              <w:rPr/>
            </w:pPr>
            <w:r>
              <w:rPr>
                <w:rFonts w:hint="eastAsia" w:ascii="宋体" w:hAnsi="宋体" w:cs="宋体"/>
                <w:color w:val="000000"/>
                <w:sz w:val="20"/>
                <w:szCs w:val="20"/>
              </w:rPr>
              <w:t xml:space="preserve">信息内容</w:t>
            </w:r>
            <w:r/>
          </w:p>
        </w:tc>
        <w:tc>
          <w:tcPr>
            <w:gridSpan w:val="3"/>
            <w:shd w:val="clear" w:color="auto" w:fill="ddebf7"/>
            <w:tcBorders>
              <w:top w:val="single" w:color="000000" w:sz="8" w:space="0"/>
              <w:left w:val="none" w:color="000000" w:sz="4" w:space="0"/>
              <w:bottom w:val="single" w:color="000000" w:sz="8" w:space="0"/>
              <w:right w:val="single" w:color="000000" w:sz="8" w:space="0"/>
            </w:tcBorders>
            <w:tcMar>
              <w:left w:w="57" w:type="dxa"/>
              <w:right w:w="57" w:type="dxa"/>
            </w:tcMar>
            <w:tcW w:w="7305" w:type="dxa"/>
            <w:vAlign w:val="center"/>
            <w:textDirection w:val="lrTb"/>
            <w:noWrap w:val="false"/>
          </w:tcPr>
          <w:p>
            <w:pPr>
              <w:pStyle w:val="661"/>
              <w:widowControl w:val="true"/>
              <w:pBdr/>
              <w:spacing/>
              <w:ind/>
              <w:jc w:val="center"/>
              <w:rPr/>
            </w:pPr>
            <w:r>
              <w:rPr>
                <w:rFonts w:hint="eastAsia" w:ascii="宋体" w:hAnsi="宋体" w:cs="宋体"/>
                <w:color w:val="000000"/>
                <w:sz w:val="20"/>
                <w:szCs w:val="20"/>
              </w:rPr>
              <w:t xml:space="preserve">本年处理决定数量</w:t>
            </w:r>
            <w:r/>
          </w:p>
        </w:tc>
      </w:tr>
      <w:tr>
        <w:trPr>
          <w:trHeight w:val="1060"/>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2435" w:type="dxa"/>
            <w:vAlign w:val="center"/>
            <w:textDirection w:val="lrTb"/>
            <w:noWrap w:val="false"/>
          </w:tcPr>
          <w:p>
            <w:pPr>
              <w:pStyle w:val="661"/>
              <w:widowControl w:val="true"/>
              <w:pBdr/>
              <w:spacing/>
              <w:ind/>
              <w:jc w:val="left"/>
              <w:rPr/>
            </w:pPr>
            <w:r>
              <w:rPr>
                <w:rFonts w:hint="eastAsia" w:ascii="宋体" w:hAnsi="宋体" w:cs="宋体"/>
                <w:color w:val="000000"/>
                <w:sz w:val="20"/>
                <w:szCs w:val="20"/>
              </w:rPr>
              <w:t xml:space="preserve">行政处罚</w:t>
            </w:r>
            <w:r/>
          </w:p>
        </w:tc>
        <w:tc>
          <w:tcPr>
            <w:gridSpan w:val="3"/>
            <w:tcBorders>
              <w:top w:val="none" w:color="000000" w:sz="4" w:space="0"/>
              <w:left w:val="none" w:color="000000" w:sz="4" w:space="0"/>
              <w:bottom w:val="single" w:color="000000" w:sz="8" w:space="0"/>
              <w:right w:val="single" w:color="000000" w:sz="8" w:space="0"/>
            </w:tcBorders>
            <w:tcMar>
              <w:left w:w="57" w:type="dxa"/>
              <w:right w:w="57" w:type="dxa"/>
            </w:tcMar>
            <w:tcW w:w="7305" w:type="dxa"/>
            <w:vAlign w:val="center"/>
            <w:textDirection w:val="lrTb"/>
            <w:noWrap w:val="false"/>
          </w:tcPr>
          <w:p>
            <w:pPr>
              <w:pStyle w:val="661"/>
              <w:widowControl w:val="true"/>
              <w:pBdr/>
              <w:spacing/>
              <w:ind/>
              <w:jc w:val="left"/>
              <w:rPr/>
            </w:pPr>
            <w:r>
              <w:rPr>
                <w:rFonts w:hint="eastAsia" w:ascii="仿宋_GB2312" w:eastAsia="仿宋_GB2312"/>
              </w:rPr>
              <w:t xml:space="preserve">0</w:t>
            </w:r>
            <w:r/>
          </w:p>
        </w:tc>
      </w:tr>
      <w:tr>
        <w:trPr>
          <w:trHeight w:val="805"/>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2435" w:type="dxa"/>
            <w:vAlign w:val="center"/>
            <w:textDirection w:val="lrTb"/>
            <w:noWrap w:val="false"/>
          </w:tcPr>
          <w:p>
            <w:pPr>
              <w:pStyle w:val="661"/>
              <w:widowControl w:val="true"/>
              <w:pBdr/>
              <w:spacing/>
              <w:ind/>
              <w:jc w:val="left"/>
              <w:rPr/>
            </w:pPr>
            <w:r>
              <w:rPr>
                <w:rFonts w:hint="eastAsia" w:ascii="宋体" w:hAnsi="宋体" w:cs="宋体"/>
                <w:color w:val="000000"/>
                <w:sz w:val="20"/>
                <w:szCs w:val="20"/>
              </w:rPr>
              <w:t xml:space="preserve">行政强制</w:t>
            </w:r>
            <w:r/>
          </w:p>
        </w:tc>
        <w:tc>
          <w:tcPr>
            <w:gridSpan w:val="3"/>
            <w:tcBorders>
              <w:top w:val="none" w:color="000000" w:sz="4" w:space="0"/>
              <w:left w:val="none" w:color="000000" w:sz="4" w:space="0"/>
              <w:bottom w:val="single" w:color="000000" w:sz="8" w:space="0"/>
              <w:right w:val="single" w:color="000000" w:sz="8" w:space="0"/>
            </w:tcBorders>
            <w:tcMar>
              <w:left w:w="57" w:type="dxa"/>
              <w:right w:w="57" w:type="dxa"/>
            </w:tcMar>
            <w:tcW w:w="7305" w:type="dxa"/>
            <w:vAlign w:val="center"/>
            <w:textDirection w:val="lrTb"/>
            <w:noWrap w:val="false"/>
          </w:tcPr>
          <w:p>
            <w:pPr>
              <w:pStyle w:val="661"/>
              <w:widowControl w:val="true"/>
              <w:pBdr/>
              <w:spacing/>
              <w:ind/>
              <w:jc w:val="left"/>
              <w:rPr/>
            </w:pPr>
            <w:r>
              <w:rPr>
                <w:rFonts w:hint="eastAsia" w:ascii="仿宋_GB2312" w:eastAsia="仿宋_GB2312"/>
              </w:rPr>
              <w:t xml:space="preserve">0</w:t>
            </w:r>
            <w:r/>
          </w:p>
        </w:tc>
      </w:tr>
      <w:tr>
        <w:trPr>
          <w:trHeight w:val="340"/>
        </w:trPr>
        <w:tc>
          <w:tcPr>
            <w:gridSpan w:val="4"/>
            <w:shd w:val="clear" w:color="auto" w:fill="9bc2e6"/>
            <w:tcBorders>
              <w:top w:val="none" w:color="000000" w:sz="4" w:space="0"/>
              <w:left w:val="single" w:color="000000" w:sz="8" w:space="0"/>
              <w:bottom w:val="single" w:color="000000" w:sz="8" w:space="0"/>
              <w:right w:val="single" w:color="000000" w:sz="8" w:space="0"/>
            </w:tcBorders>
            <w:tcMar>
              <w:left w:w="57" w:type="dxa"/>
              <w:right w:w="57" w:type="dxa"/>
            </w:tcMar>
            <w:tcW w:w="9740" w:type="dxa"/>
            <w:vAlign w:val="center"/>
            <w:textDirection w:val="lrTb"/>
            <w:noWrap w:val="false"/>
          </w:tcPr>
          <w:p>
            <w:pPr>
              <w:pStyle w:val="661"/>
              <w:widowControl w:val="true"/>
              <w:pBdr/>
              <w:spacing/>
              <w:ind/>
              <w:jc w:val="center"/>
              <w:rPr/>
            </w:pPr>
            <w:r>
              <w:rPr>
                <w:rFonts w:hint="eastAsia" w:ascii="宋体" w:hAnsi="宋体" w:cs="宋体"/>
                <w:color w:val="000000"/>
                <w:sz w:val="20"/>
                <w:szCs w:val="20"/>
              </w:rPr>
              <w:t xml:space="preserve">第二十条第（八）项</w:t>
            </w:r>
            <w:r/>
          </w:p>
        </w:tc>
      </w:tr>
      <w:tr>
        <w:trPr>
          <w:trHeight w:val="340"/>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2435" w:type="dxa"/>
            <w:vAlign w:val="center"/>
            <w:textDirection w:val="lrTb"/>
            <w:noWrap w:val="false"/>
          </w:tcPr>
          <w:p>
            <w:pPr>
              <w:pStyle w:val="661"/>
              <w:widowControl w:val="true"/>
              <w:pBdr/>
              <w:spacing/>
              <w:ind/>
              <w:jc w:val="center"/>
              <w:rPr/>
            </w:pPr>
            <w:r>
              <w:rPr>
                <w:rFonts w:hint="eastAsia" w:ascii="宋体" w:hAnsi="宋体" w:cs="宋体"/>
                <w:color w:val="000000"/>
                <w:sz w:val="20"/>
                <w:szCs w:val="20"/>
              </w:rPr>
              <w:t xml:space="preserve">信息内容</w:t>
            </w:r>
            <w:r/>
          </w:p>
        </w:tc>
        <w:tc>
          <w:tcPr>
            <w:gridSpan w:val="3"/>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7305" w:type="dxa"/>
            <w:vAlign w:val="center"/>
            <w:textDirection w:val="lrTb"/>
            <w:noWrap w:val="false"/>
          </w:tcPr>
          <w:p>
            <w:pPr>
              <w:pStyle w:val="661"/>
              <w:widowControl w:val="true"/>
              <w:pBdr/>
              <w:spacing/>
              <w:ind/>
              <w:jc w:val="center"/>
              <w:rPr/>
            </w:pPr>
            <w:r>
              <w:rPr>
                <w:rFonts w:hint="eastAsia" w:ascii="宋体" w:hAnsi="宋体" w:cs="宋体"/>
                <w:color w:val="000000"/>
                <w:sz w:val="20"/>
                <w:szCs w:val="20"/>
              </w:rPr>
              <w:t xml:space="preserve">本年收费金额（单位：万元）</w:t>
            </w:r>
            <w:r/>
          </w:p>
        </w:tc>
      </w:tr>
      <w:tr>
        <w:trPr>
          <w:trHeight w:val="750"/>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2435" w:type="dxa"/>
            <w:vAlign w:val="center"/>
            <w:textDirection w:val="lrTb"/>
            <w:noWrap w:val="false"/>
          </w:tcPr>
          <w:p>
            <w:pPr>
              <w:pStyle w:val="661"/>
              <w:widowControl w:val="true"/>
              <w:pBdr/>
              <w:spacing/>
              <w:ind/>
              <w:jc w:val="left"/>
              <w:rPr/>
            </w:pPr>
            <w:r>
              <w:rPr>
                <w:rFonts w:hint="eastAsia" w:ascii="宋体" w:hAnsi="宋体" w:cs="宋体"/>
                <w:color w:val="000000"/>
                <w:sz w:val="20"/>
                <w:szCs w:val="20"/>
              </w:rPr>
              <w:t xml:space="preserve">行政事业性收费</w:t>
            </w:r>
            <w:r/>
          </w:p>
        </w:tc>
        <w:tc>
          <w:tcPr>
            <w:gridSpan w:val="3"/>
            <w:tcBorders>
              <w:top w:val="none" w:color="000000" w:sz="4" w:space="0"/>
              <w:left w:val="none" w:color="000000" w:sz="4" w:space="0"/>
              <w:bottom w:val="single" w:color="000000" w:sz="8" w:space="0"/>
              <w:right w:val="single" w:color="000000" w:sz="8" w:space="0"/>
            </w:tcBorders>
            <w:tcMar>
              <w:left w:w="57" w:type="dxa"/>
              <w:right w:w="57" w:type="dxa"/>
            </w:tcMar>
            <w:tcW w:w="7305" w:type="dxa"/>
            <w:vAlign w:val="center"/>
            <w:textDirection w:val="lrTb"/>
            <w:noWrap w:val="false"/>
          </w:tcPr>
          <w:p>
            <w:pPr>
              <w:pStyle w:val="661"/>
              <w:widowControl w:val="true"/>
              <w:pBdr/>
              <w:spacing/>
              <w:ind/>
              <w:jc w:val="left"/>
              <w:rPr>
                <w:rFonts w:hint="eastAsia" w:ascii="宋体"/>
                <w:sz w:val="24"/>
                <w:szCs w:val="24"/>
              </w:rPr>
            </w:pPr>
            <w:r>
              <w:rPr>
                <w:rFonts w:hint="eastAsia" w:ascii="宋体"/>
                <w:sz w:val="24"/>
                <w:szCs w:val="24"/>
              </w:rPr>
              <w:t xml:space="preserve">1</w:t>
            </w:r>
            <w:r>
              <w:rPr>
                <w:rFonts w:ascii="宋体"/>
                <w:sz w:val="24"/>
                <w:szCs w:val="24"/>
              </w:rPr>
              <w:t xml:space="preserve">0,455.7822</w:t>
            </w:r>
            <w:r>
              <w:rPr>
                <w:rFonts w:hint="eastAsia" w:ascii="宋体"/>
                <w:sz w:val="24"/>
                <w:szCs w:val="24"/>
              </w:rPr>
            </w:r>
            <w:r>
              <w:rPr>
                <w:rFonts w:hint="eastAsia" w:ascii="宋体"/>
                <w:sz w:val="24"/>
                <w:szCs w:val="24"/>
              </w:rPr>
            </w:r>
          </w:p>
        </w:tc>
      </w:tr>
    </w:tbl>
    <w:p>
      <w:pPr>
        <w:pStyle w:val="676"/>
        <w:pBdr/>
        <w:spacing/>
        <w:ind/>
        <w:rPr>
          <w:rFonts w:hint="eastAsia"/>
        </w:rPr>
      </w:pPr>
      <w:r>
        <w:rPr>
          <w:rFonts w:hint="eastAsia"/>
        </w:rPr>
      </w:r>
      <w:r>
        <w:rPr>
          <w:rFonts w:hint="eastAsia"/>
        </w:rPr>
      </w:r>
    </w:p>
    <w:p>
      <w:pPr>
        <w:pStyle w:val="676"/>
        <w:pBdr/>
        <w:spacing/>
        <w:ind/>
        <w:rPr>
          <w:rFonts w:hint="eastAsia"/>
        </w:rPr>
      </w:pPr>
      <w:r>
        <w:rPr>
          <w:rFonts w:hint="eastAsia"/>
        </w:rPr>
        <w:br w:type="page" w:clear="all"/>
      </w:r>
      <w:r>
        <w:rPr>
          <w:rFonts w:hint="eastAsia"/>
        </w:rPr>
      </w:r>
    </w:p>
    <w:p>
      <w:pPr>
        <w:pStyle w:val="661"/>
        <w:numPr>
          <w:ilvl w:val="0"/>
          <w:numId w:val="1"/>
        </w:numPr>
        <w:pBd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 xml:space="preserve">收到和处理政府信息公开申请情况</w:t>
      </w:r>
      <w:r>
        <w:rPr>
          <w:rFonts w:hint="eastAsia" w:ascii="黑体" w:hAnsi="黑体" w:eastAsia="黑体" w:cs="黑体"/>
          <w:sz w:val="32"/>
          <w:szCs w:val="32"/>
        </w:rPr>
      </w:r>
    </w:p>
    <w:p>
      <w:pPr>
        <w:pStyle w:val="671"/>
        <w:widowControl w:val="true"/>
        <w:pBdr/>
        <w:shd w:val="clear" w:color="auto" w:fill="ffffff"/>
        <w:spacing w:after="0" w:afterAutospacing="0" w:before="0" w:beforeAutospacing="0"/>
        <w:ind w:firstLine="420"/>
        <w:jc w:val="both"/>
        <w:rPr>
          <w:rFonts w:hint="eastAsia" w:ascii="宋体" w:hAnsi="宋体" w:cs="宋体"/>
          <w:color w:val="333333"/>
          <w:szCs w:val="24"/>
        </w:rPr>
      </w:pPr>
      <w:r>
        <w:rPr>
          <w:rFonts w:hint="eastAsia" w:ascii="宋体" w:hAnsi="宋体" w:cs="宋体"/>
          <w:color w:val="333333"/>
          <w:szCs w:val="24"/>
        </w:rPr>
      </w:r>
      <w:r>
        <w:rPr>
          <w:rFonts w:hint="eastAsia" w:ascii="宋体" w:hAnsi="宋体" w:cs="宋体"/>
          <w:color w:val="333333"/>
          <w:szCs w:val="24"/>
        </w:rPr>
      </w:r>
    </w:p>
    <w:tbl>
      <w:tblPr>
        <w:tblW w:w="9748" w:type="dxa"/>
        <w:jc w:val="center"/>
        <w:tblInd w:w="0" w:type="dxa"/>
        <w:tblBorders>
          <w:top w:val="none" w:color="000000" w:sz="6" w:space="0"/>
          <w:left w:val="none" w:color="000000" w:sz="6" w:space="0"/>
          <w:bottom w:val="none" w:color="000000" w:sz="6" w:space="0"/>
          <w:right w:val="none" w:color="000000" w:sz="6" w:space="0"/>
          <w:insideH w:val="single" w:color="000000" w:sz="6" w:space="0"/>
          <w:insideV w:val="single" w:color="000000" w:sz="6" w:space="0"/>
        </w:tblBorders>
        <w:tblLayout w:type="fixed"/>
        <w:tblCellMar>
          <w:left w:w="0" w:type="dxa"/>
          <w:top w:w="0" w:type="dxa"/>
          <w:right w:w="0" w:type="dxa"/>
          <w:bottom w:w="0" w:type="dxa"/>
        </w:tblCellMar>
        <w:tblLook w:val="04A0" w:firstRow="1" w:lastRow="0" w:firstColumn="1" w:lastColumn="0" w:noHBand="0" w:noVBand="1"/>
      </w:tblPr>
      <w:tblGrid>
        <w:gridCol w:w="768"/>
        <w:gridCol w:w="943"/>
        <w:gridCol w:w="3220"/>
        <w:gridCol w:w="688"/>
        <w:gridCol w:w="688"/>
        <w:gridCol w:w="688"/>
        <w:gridCol w:w="688"/>
        <w:gridCol w:w="688"/>
        <w:gridCol w:w="688"/>
        <w:gridCol w:w="689"/>
      </w:tblGrid>
      <w:tr>
        <w:trPr/>
        <w:tc>
          <w:tcPr>
            <w:gridSpan w:val="3"/>
            <w:shd w:val="clear" w:color="auto" w:fill="9bc2e6"/>
            <w:tcBorders>
              <w:top w:val="single" w:color="000000" w:sz="8" w:space="0"/>
              <w:left w:val="single" w:color="000000" w:sz="8" w:space="0"/>
              <w:bottom w:val="single" w:color="000000" w:sz="8" w:space="0"/>
              <w:right w:val="single" w:color="000000" w:sz="8" w:space="0"/>
            </w:tcBorders>
            <w:tcMar>
              <w:left w:w="108" w:type="dxa"/>
              <w:right w:w="108" w:type="dxa"/>
            </w:tcMar>
            <w:tcW w:w="4931" w:type="dxa"/>
            <w:vAlign w:val="center"/>
            <w:vMerge w:val="restart"/>
            <w:textDirection w:val="lrTb"/>
            <w:noWrap w:val="false"/>
          </w:tcPr>
          <w:p>
            <w:pPr>
              <w:pStyle w:val="661"/>
              <w:widowControl w:val="true"/>
              <w:pBdr/>
              <w:spacing/>
              <w:ind/>
              <w:jc w:val="left"/>
              <w:rPr/>
            </w:pPr>
            <w:r/>
            <w:r/>
          </w:p>
        </w:tc>
        <w:tc>
          <w:tcPr>
            <w:gridSpan w:val="7"/>
            <w:shd w:val="clear" w:color="auto" w:fill="9bc2e6"/>
            <w:tcBorders>
              <w:top w:val="single" w:color="000000" w:sz="8" w:space="0"/>
              <w:left w:val="none" w:color="000000" w:sz="4" w:space="0"/>
              <w:bottom w:val="single" w:color="000000" w:sz="8" w:space="0"/>
              <w:right w:val="single" w:color="000000" w:sz="8" w:space="0"/>
            </w:tcBorders>
            <w:tcMar>
              <w:left w:w="57" w:type="dxa"/>
              <w:right w:w="57" w:type="dxa"/>
            </w:tcMar>
            <w:tcW w:w="4817" w:type="dxa"/>
            <w:vAlign w:val="center"/>
            <w:textDirection w:val="lrTb"/>
            <w:noWrap w:val="false"/>
          </w:tcPr>
          <w:p>
            <w:pPr>
              <w:pStyle w:val="661"/>
              <w:widowControl w:val="true"/>
              <w:pBdr/>
              <w:spacing/>
              <w:ind/>
              <w:jc w:val="center"/>
              <w:rPr/>
            </w:pPr>
            <w:r>
              <w:rPr>
                <w:rFonts w:hint="eastAsia" w:ascii="宋体" w:hAnsi="宋体" w:cs="宋体"/>
                <w:sz w:val="20"/>
                <w:szCs w:val="20"/>
              </w:rPr>
              <w:t xml:space="preserve">申请人情况</w:t>
            </w:r>
            <w:r/>
          </w:p>
        </w:tc>
      </w:tr>
      <w:tr>
        <w:trPr>
          <w:trHeight w:val="241"/>
        </w:trPr>
        <w:tc>
          <w:tcPr>
            <w:gridSpan w:val="3"/>
            <w:shd w:val="clear" w:color="auto" w:fill="9bc2e6"/>
            <w:tcBorders>
              <w:top w:val="single" w:color="000000" w:sz="8" w:space="0"/>
              <w:left w:val="single" w:color="000000" w:sz="8" w:space="0"/>
              <w:bottom w:val="single" w:color="000000" w:sz="8" w:space="0"/>
              <w:right w:val="single" w:color="000000" w:sz="8" w:space="0"/>
            </w:tcBorders>
            <w:tcMar>
              <w:left w:w="108" w:type="dxa"/>
              <w:right w:w="108" w:type="dxa"/>
            </w:tcMar>
            <w:tcW w:w="4931"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9bc2e6"/>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vMerge w:val="restart"/>
            <w:textDirection w:val="lrTb"/>
            <w:noWrap w:val="false"/>
          </w:tcPr>
          <w:p>
            <w:pPr>
              <w:pStyle w:val="661"/>
              <w:widowControl w:val="true"/>
              <w:pBdr/>
              <w:spacing/>
              <w:ind/>
              <w:jc w:val="center"/>
              <w:rPr/>
            </w:pPr>
            <w:r>
              <w:rPr>
                <w:rFonts w:hint="eastAsia" w:ascii="宋体" w:hAnsi="宋体" w:cs="宋体"/>
                <w:sz w:val="20"/>
                <w:szCs w:val="20"/>
              </w:rPr>
              <w:t xml:space="preserve">自然人</w:t>
            </w:r>
            <w:r/>
          </w:p>
        </w:tc>
        <w:tc>
          <w:tcPr>
            <w:gridSpan w:val="5"/>
            <w:shd w:val="clear" w:color="auto" w:fill="9bc2e6"/>
            <w:tcBorders>
              <w:top w:val="single" w:color="000000" w:sz="8" w:space="0"/>
              <w:left w:val="none" w:color="000000" w:sz="4" w:space="0"/>
              <w:bottom w:val="single" w:color="000000" w:sz="8" w:space="0"/>
              <w:right w:val="single" w:color="000000" w:sz="8" w:space="0"/>
            </w:tcBorders>
            <w:tcMar>
              <w:left w:w="57" w:type="dxa"/>
              <w:right w:w="57" w:type="dxa"/>
            </w:tcMar>
            <w:tcW w:w="3440" w:type="dxa"/>
            <w:vAlign w:val="center"/>
            <w:textDirection w:val="lrTb"/>
            <w:noWrap w:val="false"/>
          </w:tcPr>
          <w:p>
            <w:pPr>
              <w:pStyle w:val="661"/>
              <w:widowControl w:val="true"/>
              <w:pBdr/>
              <w:spacing/>
              <w:ind/>
              <w:jc w:val="center"/>
              <w:rPr/>
            </w:pPr>
            <w:r>
              <w:rPr>
                <w:rFonts w:hint="eastAsia" w:ascii="宋体" w:hAnsi="宋体" w:cs="宋体"/>
                <w:sz w:val="20"/>
                <w:szCs w:val="20"/>
              </w:rPr>
              <w:t xml:space="preserve">法人或其他组织</w:t>
            </w:r>
            <w:r/>
          </w:p>
        </w:tc>
        <w:tc>
          <w:tcPr>
            <w:shd w:val="clear" w:color="auto" w:fill="9bc2e6"/>
            <w:tcBorders>
              <w:top w:val="single" w:color="000000" w:sz="8" w:space="0"/>
              <w:left w:val="none" w:color="000000" w:sz="4" w:space="0"/>
              <w:bottom w:val="single" w:color="000000" w:sz="8" w:space="0"/>
              <w:right w:val="single" w:color="000000" w:sz="8" w:space="0"/>
            </w:tcBorders>
            <w:tcMar>
              <w:left w:w="57" w:type="dxa"/>
              <w:right w:w="57" w:type="dxa"/>
            </w:tcMar>
            <w:tcW w:w="689" w:type="dxa"/>
            <w:vAlign w:val="center"/>
            <w:vMerge w:val="restart"/>
            <w:textDirection w:val="lrTb"/>
            <w:noWrap w:val="false"/>
          </w:tcPr>
          <w:p>
            <w:pPr>
              <w:pStyle w:val="661"/>
              <w:widowControl w:val="true"/>
              <w:pBdr/>
              <w:spacing/>
              <w:ind/>
              <w:jc w:val="center"/>
              <w:rPr/>
            </w:pPr>
            <w:r>
              <w:rPr>
                <w:rFonts w:hint="eastAsia" w:ascii="宋体" w:hAnsi="宋体" w:cs="宋体"/>
                <w:sz w:val="20"/>
                <w:szCs w:val="20"/>
              </w:rPr>
              <w:t xml:space="preserve">总计</w:t>
            </w:r>
            <w:r/>
          </w:p>
        </w:tc>
      </w:tr>
      <w:tr>
        <w:trPr/>
        <w:tc>
          <w:tcPr>
            <w:gridSpan w:val="3"/>
            <w:shd w:val="clear" w:color="auto" w:fill="9bc2e6"/>
            <w:tcBorders>
              <w:top w:val="single" w:color="000000" w:sz="8" w:space="0"/>
              <w:left w:val="single" w:color="000000" w:sz="8" w:space="0"/>
              <w:bottom w:val="single" w:color="000000" w:sz="8" w:space="0"/>
              <w:right w:val="single" w:color="000000" w:sz="8" w:space="0"/>
            </w:tcBorders>
            <w:tcMar>
              <w:left w:w="108" w:type="dxa"/>
              <w:right w:w="108" w:type="dxa"/>
            </w:tcMar>
            <w:tcW w:w="4931"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9bc2e6"/>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9bc2e6"/>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hint="eastAsia" w:ascii="宋体" w:hAnsi="宋体" w:cs="宋体"/>
                <w:sz w:val="20"/>
                <w:szCs w:val="20"/>
              </w:rPr>
              <w:t xml:space="preserve">商业</w:t>
            </w:r>
            <w:r/>
          </w:p>
          <w:p>
            <w:pPr>
              <w:pStyle w:val="661"/>
              <w:widowControl w:val="true"/>
              <w:pBdr/>
              <w:spacing/>
              <w:ind/>
              <w:jc w:val="center"/>
              <w:rPr/>
            </w:pPr>
            <w:r>
              <w:rPr>
                <w:rFonts w:hint="eastAsia" w:ascii="宋体" w:hAnsi="宋体" w:cs="宋体"/>
                <w:sz w:val="20"/>
                <w:szCs w:val="20"/>
              </w:rPr>
              <w:t xml:space="preserve">企业</w:t>
            </w:r>
            <w:r/>
          </w:p>
        </w:tc>
        <w:tc>
          <w:tcPr>
            <w:shd w:val="clear" w:color="auto" w:fill="9bc2e6"/>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hint="eastAsia" w:ascii="宋体" w:hAnsi="宋体" w:cs="宋体"/>
                <w:sz w:val="20"/>
                <w:szCs w:val="20"/>
              </w:rPr>
              <w:t xml:space="preserve">科研</w:t>
            </w:r>
            <w:r/>
          </w:p>
          <w:p>
            <w:pPr>
              <w:pStyle w:val="661"/>
              <w:widowControl w:val="true"/>
              <w:pBdr/>
              <w:spacing/>
              <w:ind/>
              <w:jc w:val="center"/>
              <w:rPr/>
            </w:pPr>
            <w:r>
              <w:rPr>
                <w:rFonts w:hint="eastAsia" w:ascii="宋体" w:hAnsi="宋体" w:cs="宋体"/>
                <w:sz w:val="20"/>
                <w:szCs w:val="20"/>
              </w:rPr>
              <w:t xml:space="preserve">机构</w:t>
            </w:r>
            <w:r/>
          </w:p>
        </w:tc>
        <w:tc>
          <w:tcPr>
            <w:shd w:val="clear" w:color="auto" w:fill="9bc2e6"/>
            <w:tcBorders>
              <w:top w:val="single" w:color="000000" w:sz="8"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hint="eastAsia" w:ascii="宋体" w:hAnsi="宋体" w:cs="宋体"/>
                <w:sz w:val="20"/>
                <w:szCs w:val="20"/>
              </w:rPr>
              <w:t xml:space="preserve">社会公益组织</w:t>
            </w:r>
            <w:r/>
          </w:p>
        </w:tc>
        <w:tc>
          <w:tcPr>
            <w:shd w:val="clear" w:color="auto" w:fill="9bc2e6"/>
            <w:tcBorders>
              <w:top w:val="single" w:color="000000" w:sz="8"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hint="eastAsia" w:ascii="宋体" w:hAnsi="宋体" w:cs="宋体"/>
                <w:sz w:val="20"/>
                <w:szCs w:val="20"/>
              </w:rPr>
              <w:t xml:space="preserve">法律服务机构</w:t>
            </w:r>
            <w:r/>
          </w:p>
        </w:tc>
        <w:tc>
          <w:tcPr>
            <w:shd w:val="clear" w:color="auto" w:fill="9bc2e6"/>
            <w:tcBorders>
              <w:top w:val="single" w:color="000000" w:sz="8"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hint="eastAsia" w:ascii="宋体" w:hAnsi="宋体" w:cs="宋体"/>
                <w:sz w:val="20"/>
                <w:szCs w:val="20"/>
              </w:rPr>
              <w:t xml:space="preserve">其他</w:t>
            </w:r>
            <w:r/>
          </w:p>
        </w:tc>
        <w:tc>
          <w:tcPr>
            <w:shd w:val="clear" w:color="auto" w:fill="9bc2e6"/>
            <w:tcBorders>
              <w:top w:val="single" w:color="000000" w:sz="8" w:space="0"/>
              <w:left w:val="none" w:color="000000" w:sz="4" w:space="0"/>
              <w:bottom w:val="single" w:color="000000" w:sz="8" w:space="0"/>
              <w:right w:val="single" w:color="000000" w:sz="8" w:space="0"/>
            </w:tcBorders>
            <w:tcMar>
              <w:left w:w="57" w:type="dxa"/>
              <w:right w:w="57" w:type="dxa"/>
            </w:tcMar>
            <w:tcW w:w="689"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r>
      <w:tr>
        <w:trPr/>
        <w:tc>
          <w:tcPr>
            <w:gridSpan w:val="3"/>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4931" w:type="dxa"/>
            <w:vAlign w:val="center"/>
            <w:textDirection w:val="lrTb"/>
            <w:noWrap w:val="false"/>
          </w:tcPr>
          <w:p>
            <w:pPr>
              <w:pStyle w:val="661"/>
              <w:widowControl w:val="true"/>
              <w:pBdr/>
              <w:spacing/>
              <w:ind/>
              <w:jc w:val="left"/>
              <w:rPr/>
            </w:pPr>
            <w:r>
              <w:rPr>
                <w:rFonts w:hint="eastAsia" w:ascii="宋体" w:hAnsi="宋体" w:cs="宋体"/>
                <w:sz w:val="20"/>
                <w:szCs w:val="20"/>
              </w:rPr>
              <w:t xml:space="preserve">一、本年新收政府信息公开申请数量</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7</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1</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pPr>
            <w:r>
              <w:rPr>
                <w:rFonts w:ascii="Calibri" w:hAnsi="Calibri" w:cs="Calibri"/>
                <w:sz w:val="20"/>
                <w:szCs w:val="20"/>
              </w:rPr>
              <w:t xml:space="preserve">8</w:t>
            </w:r>
            <w:r/>
          </w:p>
        </w:tc>
      </w:tr>
      <w:tr>
        <w:trPr/>
        <w:tc>
          <w:tcPr>
            <w:gridSpan w:val="3"/>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4931" w:type="dxa"/>
            <w:vAlign w:val="center"/>
            <w:textDirection w:val="lrTb"/>
            <w:noWrap w:val="false"/>
          </w:tcPr>
          <w:p>
            <w:pPr>
              <w:pStyle w:val="661"/>
              <w:widowControl w:val="true"/>
              <w:pBdr/>
              <w:spacing/>
              <w:ind/>
              <w:jc w:val="left"/>
              <w:rPr/>
            </w:pPr>
            <w:r>
              <w:rPr>
                <w:rFonts w:hint="eastAsia" w:ascii="宋体" w:hAnsi="宋体" w:cs="宋体"/>
                <w:sz w:val="20"/>
                <w:szCs w:val="20"/>
              </w:rPr>
              <w:t xml:space="preserve">二、上年结转政府信息公开申请数量</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pPr>
            <w:r>
              <w:rPr>
                <w:rFonts w:ascii="Calibri" w:hAnsi="Calibri" w:cs="Calibri"/>
                <w:sz w:val="20"/>
                <w:szCs w:val="20"/>
              </w:rPr>
              <w:t xml:space="preserve">0</w:t>
            </w:r>
            <w:r/>
          </w:p>
        </w:tc>
      </w:tr>
      <w:tr>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restart"/>
            <w:textDirection w:val="lrTb"/>
            <w:noWrap w:val="false"/>
          </w:tcPr>
          <w:p>
            <w:pPr>
              <w:pStyle w:val="661"/>
              <w:widowControl w:val="true"/>
              <w:pBdr/>
              <w:spacing/>
              <w:ind/>
              <w:jc w:val="left"/>
              <w:rPr/>
            </w:pPr>
            <w:r>
              <w:rPr>
                <w:rFonts w:hint="eastAsia" w:ascii="宋体" w:hAnsi="宋体" w:cs="宋体"/>
                <w:sz w:val="20"/>
                <w:szCs w:val="20"/>
              </w:rPr>
              <w:t xml:space="preserve">三、本年度办理结果</w:t>
            </w:r>
            <w:r/>
          </w:p>
        </w:tc>
        <w:tc>
          <w:tcPr>
            <w:gridSpan w:val="2"/>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4163" w:type="dxa"/>
            <w:vAlign w:val="center"/>
            <w:textDirection w:val="lrTb"/>
            <w:noWrap w:val="false"/>
          </w:tcPr>
          <w:p>
            <w:pPr>
              <w:pStyle w:val="661"/>
              <w:widowControl w:val="true"/>
              <w:pBdr/>
              <w:spacing/>
              <w:ind/>
              <w:jc w:val="left"/>
              <w:rPr/>
            </w:pPr>
            <w:r>
              <w:rPr>
                <w:rFonts w:hint="eastAsia" w:ascii="宋体" w:hAnsi="宋体" w:cs="宋体"/>
                <w:sz w:val="20"/>
                <w:szCs w:val="20"/>
              </w:rPr>
              <w:t xml:space="preserve">（一）予以公开</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4</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1</w:t>
            </w:r>
            <w:r/>
          </w:p>
        </w:tc>
        <w:tc>
          <w:tcPr>
            <w:tcBorders>
              <w:top w:val="single" w:color="000000" w:sz="8"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pPr>
            <w:r>
              <w:rPr>
                <w:rFonts w:ascii="Calibri" w:hAnsi="Calibri" w:cs="Calibri"/>
                <w:sz w:val="20"/>
                <w:szCs w:val="20"/>
              </w:rPr>
              <w:t xml:space="preserve">5</w:t>
            </w:r>
            <w:r/>
          </w:p>
        </w:tc>
      </w:tr>
      <w:tr>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gridSpan w:val="2"/>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4163" w:type="dxa"/>
            <w:vAlign w:val="center"/>
            <w:textDirection w:val="lrTb"/>
            <w:noWrap w:val="false"/>
          </w:tcPr>
          <w:p>
            <w:pPr>
              <w:pStyle w:val="661"/>
              <w:widowControl w:val="true"/>
              <w:pBdr/>
              <w:spacing/>
              <w:ind/>
              <w:jc w:val="left"/>
              <w:rPr/>
            </w:pPr>
            <w:r>
              <w:rPr>
                <w:rFonts w:hint="eastAsia" w:ascii="宋体" w:hAnsi="宋体" w:cs="宋体"/>
                <w:sz w:val="20"/>
                <w:szCs w:val="20"/>
              </w:rPr>
              <w:t xml:space="preserve">（二）部分公开</w:t>
            </w:r>
            <w:r>
              <w:rPr>
                <w:rFonts w:ascii="楷体" w:hAnsi="楷体" w:eastAsia="楷体" w:cs="楷体"/>
                <w:sz w:val="20"/>
                <w:szCs w:val="20"/>
              </w:rPr>
              <w:t xml:space="preserve">（区分处理的，只计这一情形，不计其他情形）</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r>
      <w:tr>
        <w:trPr>
          <w:trHeight w:val="241"/>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943" w:type="dxa"/>
            <w:vAlign w:val="center"/>
            <w:vMerge w:val="restart"/>
            <w:textDirection w:val="lrTb"/>
            <w:noWrap w:val="false"/>
          </w:tcPr>
          <w:p>
            <w:pPr>
              <w:pStyle w:val="661"/>
              <w:widowControl w:val="true"/>
              <w:pBdr/>
              <w:spacing/>
              <w:ind/>
              <w:jc w:val="left"/>
              <w:rPr/>
            </w:pPr>
            <w:r>
              <w:rPr>
                <w:rFonts w:hint="eastAsia" w:ascii="宋体" w:hAnsi="宋体" w:cs="宋体"/>
                <w:sz w:val="20"/>
                <w:szCs w:val="20"/>
              </w:rPr>
              <w:t xml:space="preserve">（三）不予公开</w:t>
            </w: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3220" w:type="dxa"/>
            <w:vAlign w:val="top"/>
            <w:textDirection w:val="lrTb"/>
            <w:noWrap w:val="false"/>
          </w:tcPr>
          <w:p>
            <w:pPr>
              <w:pStyle w:val="661"/>
              <w:widowControl w:val="true"/>
              <w:pBdr/>
              <w:spacing/>
              <w:ind/>
              <w:jc w:val="left"/>
              <w:rPr/>
            </w:pPr>
            <w:r>
              <w:rPr>
                <w:rFonts w:hint="eastAsia" w:ascii="宋体" w:hAnsi="宋体" w:cs="宋体"/>
                <w:sz w:val="20"/>
                <w:szCs w:val="20"/>
              </w:rPr>
              <w:t xml:space="preserve">1.属于国家秘密</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r>
      <w:tr>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943"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3220" w:type="dxa"/>
            <w:vAlign w:val="top"/>
            <w:textDirection w:val="lrTb"/>
            <w:noWrap w:val="false"/>
          </w:tcPr>
          <w:p>
            <w:pPr>
              <w:pStyle w:val="661"/>
              <w:widowControl w:val="true"/>
              <w:pBdr/>
              <w:spacing/>
              <w:ind/>
              <w:jc w:val="left"/>
              <w:rPr/>
            </w:pPr>
            <w:r>
              <w:rPr>
                <w:rFonts w:hint="eastAsia" w:ascii="宋体" w:hAnsi="宋体" w:cs="宋体"/>
                <w:sz w:val="20"/>
                <w:szCs w:val="20"/>
              </w:rPr>
              <w:t xml:space="preserve">2.其他法律行政法规禁止公开</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r>
      <w:tr>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943"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3220" w:type="dxa"/>
            <w:vAlign w:val="top"/>
            <w:textDirection w:val="lrTb"/>
            <w:noWrap w:val="false"/>
          </w:tcPr>
          <w:p>
            <w:pPr>
              <w:pStyle w:val="661"/>
              <w:widowControl w:val="true"/>
              <w:pBdr/>
              <w:spacing/>
              <w:ind/>
              <w:jc w:val="left"/>
              <w:rPr/>
            </w:pPr>
            <w:r>
              <w:rPr>
                <w:rFonts w:hint="eastAsia" w:ascii="宋体" w:hAnsi="宋体" w:cs="宋体"/>
                <w:sz w:val="20"/>
                <w:szCs w:val="20"/>
              </w:rPr>
              <w:t xml:space="preserve">3.危及“三安全一稳定”</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r>
      <w:tr>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943"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3220" w:type="dxa"/>
            <w:vAlign w:val="top"/>
            <w:textDirection w:val="lrTb"/>
            <w:noWrap w:val="false"/>
          </w:tcPr>
          <w:p>
            <w:pPr>
              <w:pStyle w:val="661"/>
              <w:widowControl w:val="true"/>
              <w:pBdr/>
              <w:spacing/>
              <w:ind/>
              <w:jc w:val="left"/>
              <w:rPr/>
            </w:pPr>
            <w:r>
              <w:rPr>
                <w:rFonts w:hint="eastAsia" w:ascii="宋体" w:hAnsi="宋体" w:cs="宋体"/>
                <w:sz w:val="20"/>
                <w:szCs w:val="20"/>
              </w:rPr>
              <w:t xml:space="preserve">4.保护第三方合法权益</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r>
      <w:tr>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943"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3220" w:type="dxa"/>
            <w:vAlign w:val="top"/>
            <w:textDirection w:val="lrTb"/>
            <w:noWrap w:val="false"/>
          </w:tcPr>
          <w:p>
            <w:pPr>
              <w:pStyle w:val="661"/>
              <w:widowControl w:val="true"/>
              <w:pBdr/>
              <w:spacing/>
              <w:ind/>
              <w:jc w:val="left"/>
              <w:rPr/>
            </w:pPr>
            <w:r>
              <w:rPr>
                <w:rFonts w:hint="eastAsia" w:ascii="宋体" w:hAnsi="宋体" w:cs="宋体"/>
                <w:sz w:val="20"/>
                <w:szCs w:val="20"/>
              </w:rPr>
              <w:t xml:space="preserve">5.属于三类内部事务信息</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r>
      <w:tr>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943"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3220" w:type="dxa"/>
            <w:vAlign w:val="top"/>
            <w:textDirection w:val="lrTb"/>
            <w:noWrap w:val="false"/>
          </w:tcPr>
          <w:p>
            <w:pPr>
              <w:pStyle w:val="661"/>
              <w:widowControl w:val="true"/>
              <w:pBdr/>
              <w:spacing/>
              <w:ind/>
              <w:jc w:val="left"/>
              <w:rPr/>
            </w:pPr>
            <w:r>
              <w:rPr>
                <w:rFonts w:hint="eastAsia" w:ascii="宋体" w:hAnsi="宋体" w:cs="宋体"/>
                <w:sz w:val="20"/>
                <w:szCs w:val="20"/>
              </w:rPr>
              <w:t xml:space="preserve">6.属于四类过程性信息</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r>
      <w:tr>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943"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3220" w:type="dxa"/>
            <w:vAlign w:val="top"/>
            <w:textDirection w:val="lrTb"/>
            <w:noWrap w:val="false"/>
          </w:tcPr>
          <w:p>
            <w:pPr>
              <w:pStyle w:val="661"/>
              <w:widowControl w:val="true"/>
              <w:pBdr/>
              <w:spacing/>
              <w:ind/>
              <w:jc w:val="left"/>
              <w:rPr/>
            </w:pPr>
            <w:r>
              <w:rPr>
                <w:rFonts w:hint="eastAsia" w:ascii="宋体" w:hAnsi="宋体" w:cs="宋体"/>
                <w:sz w:val="20"/>
                <w:szCs w:val="20"/>
              </w:rPr>
              <w:t xml:space="preserve">7.属于行政执法案卷</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r>
      <w:tr>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943"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3220" w:type="dxa"/>
            <w:vAlign w:val="top"/>
            <w:textDirection w:val="lrTb"/>
            <w:noWrap w:val="false"/>
          </w:tcPr>
          <w:p>
            <w:pPr>
              <w:pStyle w:val="661"/>
              <w:widowControl w:val="true"/>
              <w:pBdr/>
              <w:spacing/>
              <w:ind/>
              <w:jc w:val="left"/>
              <w:rPr/>
            </w:pPr>
            <w:r>
              <w:rPr>
                <w:rFonts w:hint="eastAsia" w:ascii="宋体" w:hAnsi="宋体" w:cs="宋体"/>
                <w:sz w:val="20"/>
                <w:szCs w:val="20"/>
              </w:rPr>
              <w:t xml:space="preserve">8.属于行政查询事项</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r>
      <w:tr>
        <w:trPr>
          <w:trHeight w:val="241"/>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943" w:type="dxa"/>
            <w:vAlign w:val="center"/>
            <w:vMerge w:val="restart"/>
            <w:textDirection w:val="lrTb"/>
            <w:noWrap w:val="false"/>
          </w:tcPr>
          <w:p>
            <w:pPr>
              <w:pStyle w:val="661"/>
              <w:widowControl w:val="true"/>
              <w:pBdr/>
              <w:spacing/>
              <w:ind/>
              <w:jc w:val="left"/>
              <w:rPr/>
            </w:pPr>
            <w:r>
              <w:rPr>
                <w:rFonts w:hint="eastAsia" w:ascii="宋体" w:hAnsi="宋体" w:cs="宋体"/>
                <w:sz w:val="20"/>
                <w:szCs w:val="20"/>
              </w:rPr>
              <w:t xml:space="preserve">（四）无法提供</w:t>
            </w: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3220" w:type="dxa"/>
            <w:vAlign w:val="top"/>
            <w:textDirection w:val="lrTb"/>
            <w:noWrap w:val="false"/>
          </w:tcPr>
          <w:p>
            <w:pPr>
              <w:pStyle w:val="661"/>
              <w:widowControl w:val="true"/>
              <w:pBdr/>
              <w:spacing/>
              <w:ind/>
              <w:jc w:val="left"/>
              <w:rPr/>
            </w:pPr>
            <w:r>
              <w:rPr>
                <w:rFonts w:hint="eastAsia" w:ascii="宋体" w:hAnsi="宋体" w:cs="宋体"/>
                <w:sz w:val="20"/>
                <w:szCs w:val="20"/>
              </w:rPr>
              <w:t xml:space="preserve">1.本机关不掌握相关政府信息</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pPr>
            <w:r>
              <w:rPr>
                <w:rFonts w:ascii="Calibri" w:hAnsi="Calibri" w:cs="Calibri"/>
                <w:sz w:val="20"/>
                <w:szCs w:val="20"/>
              </w:rPr>
              <w:t xml:space="preserve">2</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pPr>
            <w:r>
              <w:rPr>
                <w:rFonts w:ascii="Calibri" w:hAnsi="Calibri" w:cs="Calibri"/>
                <w:sz w:val="20"/>
                <w:szCs w:val="20"/>
              </w:rPr>
              <w:t xml:space="preserve">2</w:t>
            </w:r>
            <w:r/>
          </w:p>
        </w:tc>
      </w:tr>
      <w:tr>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943"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3220" w:type="dxa"/>
            <w:vAlign w:val="top"/>
            <w:textDirection w:val="lrTb"/>
            <w:noWrap w:val="false"/>
          </w:tcPr>
          <w:p>
            <w:pPr>
              <w:pStyle w:val="661"/>
              <w:widowControl w:val="true"/>
              <w:pBdr/>
              <w:spacing/>
              <w:ind/>
              <w:jc w:val="left"/>
              <w:rPr/>
            </w:pPr>
            <w:r>
              <w:rPr>
                <w:rFonts w:hint="eastAsia" w:ascii="宋体" w:hAnsi="宋体" w:cs="宋体"/>
                <w:sz w:val="20"/>
                <w:szCs w:val="20"/>
              </w:rPr>
              <w:t xml:space="preserve">2.没有现成信息需要另行制作</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r>
      <w:tr>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943"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3220" w:type="dxa"/>
            <w:vAlign w:val="top"/>
            <w:textDirection w:val="lrTb"/>
            <w:noWrap w:val="false"/>
          </w:tcPr>
          <w:p>
            <w:pPr>
              <w:pStyle w:val="661"/>
              <w:widowControl w:val="true"/>
              <w:pBdr/>
              <w:spacing/>
              <w:ind/>
              <w:jc w:val="left"/>
              <w:rPr/>
            </w:pPr>
            <w:r>
              <w:rPr>
                <w:rFonts w:hint="eastAsia" w:ascii="宋体" w:hAnsi="宋体" w:cs="宋体"/>
                <w:sz w:val="20"/>
                <w:szCs w:val="20"/>
              </w:rPr>
              <w:t xml:space="preserve">3.补正后申请内容仍不明确</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r>
      <w:tr>
        <w:trPr>
          <w:trHeight w:val="241"/>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943" w:type="dxa"/>
            <w:vAlign w:val="center"/>
            <w:vMerge w:val="restart"/>
            <w:textDirection w:val="lrTb"/>
            <w:noWrap w:val="false"/>
          </w:tcPr>
          <w:p>
            <w:pPr>
              <w:pStyle w:val="661"/>
              <w:widowControl w:val="true"/>
              <w:pBdr/>
              <w:spacing/>
              <w:ind/>
              <w:jc w:val="left"/>
              <w:rPr/>
            </w:pPr>
            <w:r>
              <w:rPr>
                <w:rFonts w:hint="eastAsia" w:ascii="宋体" w:hAnsi="宋体" w:cs="宋体"/>
                <w:sz w:val="20"/>
                <w:szCs w:val="20"/>
              </w:rPr>
              <w:t xml:space="preserve">（五）不予处理</w:t>
            </w: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3220" w:type="dxa"/>
            <w:vAlign w:val="top"/>
            <w:textDirection w:val="lrTb"/>
            <w:noWrap w:val="false"/>
          </w:tcPr>
          <w:p>
            <w:pPr>
              <w:pStyle w:val="661"/>
              <w:widowControl w:val="true"/>
              <w:pBdr/>
              <w:spacing/>
              <w:ind/>
              <w:jc w:val="left"/>
              <w:rPr/>
            </w:pPr>
            <w:r>
              <w:rPr>
                <w:rFonts w:hint="eastAsia" w:ascii="宋体" w:hAnsi="宋体" w:cs="宋体"/>
                <w:sz w:val="20"/>
                <w:szCs w:val="20"/>
              </w:rPr>
              <w:t xml:space="preserve">1.信访举报投诉类申请</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r>
      <w:tr>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943"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3220" w:type="dxa"/>
            <w:vAlign w:val="top"/>
            <w:textDirection w:val="lrTb"/>
            <w:noWrap w:val="false"/>
          </w:tcPr>
          <w:p>
            <w:pPr>
              <w:pStyle w:val="661"/>
              <w:widowControl w:val="true"/>
              <w:pBdr/>
              <w:spacing/>
              <w:ind/>
              <w:jc w:val="left"/>
              <w:rPr/>
            </w:pPr>
            <w:r>
              <w:rPr>
                <w:rFonts w:hint="eastAsia" w:ascii="宋体" w:hAnsi="宋体" w:cs="宋体"/>
                <w:sz w:val="20"/>
                <w:szCs w:val="20"/>
              </w:rPr>
              <w:t xml:space="preserve">2.重复申请</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r>
      <w:tr>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943"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3220" w:type="dxa"/>
            <w:vAlign w:val="top"/>
            <w:textDirection w:val="lrTb"/>
            <w:noWrap w:val="false"/>
          </w:tcPr>
          <w:p>
            <w:pPr>
              <w:pStyle w:val="661"/>
              <w:widowControl w:val="true"/>
              <w:pBdr/>
              <w:spacing/>
              <w:ind/>
              <w:jc w:val="left"/>
              <w:rPr/>
            </w:pPr>
            <w:r>
              <w:rPr>
                <w:rFonts w:hint="eastAsia" w:ascii="宋体" w:hAnsi="宋体" w:cs="宋体"/>
                <w:sz w:val="20"/>
                <w:szCs w:val="20"/>
              </w:rPr>
              <w:t xml:space="preserve">3.要求提供公开出版物</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r>
      <w:tr>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943"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3220" w:type="dxa"/>
            <w:vAlign w:val="top"/>
            <w:textDirection w:val="lrTb"/>
            <w:noWrap w:val="false"/>
          </w:tcPr>
          <w:p>
            <w:pPr>
              <w:pStyle w:val="661"/>
              <w:widowControl w:val="true"/>
              <w:pBdr/>
              <w:spacing/>
              <w:ind/>
              <w:jc w:val="left"/>
              <w:rPr/>
            </w:pPr>
            <w:r>
              <w:rPr>
                <w:rFonts w:hint="eastAsia" w:ascii="宋体" w:hAnsi="宋体" w:cs="宋体"/>
                <w:sz w:val="20"/>
                <w:szCs w:val="20"/>
              </w:rPr>
              <w:t xml:space="preserve">4.无正当理由大量反复申请</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r>
      <w:tr>
        <w:trPr>
          <w:trHeight w:val="779"/>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943"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3220" w:type="dxa"/>
            <w:vAlign w:val="center"/>
            <w:textDirection w:val="lrTb"/>
            <w:noWrap w:val="false"/>
          </w:tcPr>
          <w:p>
            <w:pPr>
              <w:pStyle w:val="661"/>
              <w:widowControl w:val="true"/>
              <w:pBdr/>
              <w:spacing/>
              <w:ind/>
              <w:rPr/>
            </w:pPr>
            <w:r>
              <w:rPr>
                <w:rFonts w:hint="eastAsia" w:ascii="宋体" w:hAnsi="宋体" w:cs="宋体"/>
                <w:sz w:val="20"/>
                <w:szCs w:val="20"/>
              </w:rPr>
              <w:t xml:space="preserve">5.要求行政机关确认或重新出具已获取信息</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r>
      <w:tr>
        <w:trPr>
          <w:trHeight w:val="241"/>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single" w:color="000000" w:sz="8" w:space="0"/>
              <w:left w:val="none" w:color="000000" w:sz="4" w:space="0"/>
              <w:bottom w:val="single" w:color="000000" w:sz="8" w:space="0"/>
              <w:right w:val="single" w:color="000000" w:sz="8" w:space="0"/>
            </w:tcBorders>
            <w:tcMar>
              <w:left w:w="57" w:type="dxa"/>
              <w:right w:w="57" w:type="dxa"/>
            </w:tcMar>
            <w:tcW w:w="943" w:type="dxa"/>
            <w:vAlign w:val="center"/>
            <w:vMerge w:val="restart"/>
            <w:textDirection w:val="lrTb"/>
            <w:noWrap w:val="false"/>
          </w:tcPr>
          <w:p>
            <w:pPr>
              <w:pStyle w:val="661"/>
              <w:widowControl w:val="true"/>
              <w:pBdr/>
              <w:spacing/>
              <w:ind/>
              <w:jc w:val="left"/>
              <w:rPr/>
            </w:pPr>
            <w:r>
              <w:rPr>
                <w:rFonts w:hint="eastAsia" w:ascii="宋体" w:hAnsi="宋体" w:cs="宋体"/>
                <w:sz w:val="20"/>
                <w:szCs w:val="20"/>
              </w:rPr>
              <w:t xml:space="preserve">（六）其他处理</w:t>
            </w: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3220" w:type="dxa"/>
            <w:vAlign w:val="center"/>
            <w:textDirection w:val="lrTb"/>
            <w:noWrap w:val="false"/>
          </w:tcPr>
          <w:p>
            <w:pPr>
              <w:pStyle w:val="661"/>
              <w:widowControl w:val="true"/>
              <w:pBdr/>
              <w:spacing/>
              <w:ind/>
              <w:rPr/>
            </w:pPr>
            <w:r>
              <w:rPr>
                <w:rFonts w:hint="eastAsia" w:ascii="宋体" w:hAnsi="宋体" w:cs="宋体"/>
                <w:sz w:val="20"/>
                <w:szCs w:val="20"/>
              </w:rPr>
              <w:t xml:space="preserve">1.申请人无正当理由逾期不补正、行政机关不再处理其政府信息公开申请</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r>
      <w:tr>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single" w:color="000000" w:sz="8" w:space="0"/>
              <w:left w:val="none" w:color="000000" w:sz="4" w:space="0"/>
              <w:bottom w:val="single" w:color="000000" w:sz="8" w:space="0"/>
              <w:right w:val="single" w:color="000000" w:sz="8" w:space="0"/>
            </w:tcBorders>
            <w:tcMar>
              <w:left w:w="57" w:type="dxa"/>
              <w:right w:w="57" w:type="dxa"/>
            </w:tcMar>
            <w:tcW w:w="943"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3220" w:type="dxa"/>
            <w:vAlign w:val="center"/>
            <w:textDirection w:val="lrTb"/>
            <w:noWrap w:val="false"/>
          </w:tcPr>
          <w:p>
            <w:pPr>
              <w:pStyle w:val="661"/>
              <w:widowControl w:val="true"/>
              <w:pBdr/>
              <w:spacing/>
              <w:ind/>
              <w:rPr/>
            </w:pPr>
            <w:r>
              <w:rPr>
                <w:rFonts w:hint="eastAsia" w:ascii="宋体" w:hAnsi="宋体" w:cs="宋体"/>
                <w:sz w:val="20"/>
                <w:szCs w:val="20"/>
              </w:rPr>
              <w:t xml:space="preserve">2.申请人逾期未按收费通知要求缴纳费用、行政机关不再处理其政府信息公开申请</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r>
      <w:tr>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single" w:color="000000" w:sz="8" w:space="0"/>
              <w:left w:val="none" w:color="000000" w:sz="4" w:space="0"/>
              <w:bottom w:val="single" w:color="000000" w:sz="8" w:space="0"/>
              <w:right w:val="single" w:color="000000" w:sz="8" w:space="0"/>
            </w:tcBorders>
            <w:tcMar>
              <w:left w:w="57" w:type="dxa"/>
              <w:right w:w="57" w:type="dxa"/>
            </w:tcMar>
            <w:tcW w:w="943"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3220" w:type="dxa"/>
            <w:vAlign w:val="center"/>
            <w:textDirection w:val="lrTb"/>
            <w:noWrap w:val="false"/>
          </w:tcPr>
          <w:p>
            <w:pPr>
              <w:pStyle w:val="661"/>
              <w:widowControl w:val="true"/>
              <w:pBdr/>
              <w:spacing/>
              <w:ind/>
              <w:jc w:val="left"/>
              <w:rPr/>
            </w:pPr>
            <w:r>
              <w:rPr>
                <w:rFonts w:hint="eastAsia" w:ascii="宋体" w:hAnsi="宋体" w:cs="宋体"/>
                <w:sz w:val="20"/>
                <w:szCs w:val="20"/>
              </w:rPr>
              <w:t xml:space="preserve">3.其他</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rFonts w:ascii="Calibri" w:hAnsi="Calibri" w:cs="Calibri"/>
                <w:sz w:val="20"/>
                <w:szCs w:val="20"/>
              </w:rPr>
            </w:pPr>
            <w:r>
              <w:rPr>
                <w:rFonts w:ascii="Calibri" w:hAnsi="Calibri" w:cs="Calibri"/>
                <w:sz w:val="20"/>
                <w:szCs w:val="20"/>
              </w:rPr>
              <w:t xml:space="preserve">0</w:t>
            </w:r>
            <w:r>
              <w:rPr>
                <w:rFonts w:ascii="Calibri" w:hAnsi="Calibri" w:cs="Calibri"/>
                <w:sz w:val="20"/>
                <w:szCs w:val="20"/>
              </w:rPr>
            </w:r>
            <w:r>
              <w:rPr>
                <w:rFonts w:ascii="Calibri" w:hAnsi="Calibri" w:cs="Calibri"/>
                <w:sz w:val="20"/>
                <w:szCs w:val="20"/>
              </w:rPr>
            </w:r>
          </w:p>
        </w:tc>
      </w:tr>
      <w:tr>
        <w:trPr/>
        <w:tc>
          <w:tcPr>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768"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gridSpan w:val="2"/>
            <w:shd w:val="clear" w:color="auto" w:fill="ddebf7"/>
            <w:tcBorders>
              <w:top w:val="none" w:color="000000" w:sz="4" w:space="0"/>
              <w:left w:val="none" w:color="000000" w:sz="4" w:space="0"/>
              <w:bottom w:val="single" w:color="000000" w:sz="8" w:space="0"/>
              <w:right w:val="single" w:color="000000" w:sz="8" w:space="0"/>
            </w:tcBorders>
            <w:tcMar>
              <w:left w:w="57" w:type="dxa"/>
              <w:right w:w="57" w:type="dxa"/>
            </w:tcMar>
            <w:tcW w:w="4163" w:type="dxa"/>
            <w:vAlign w:val="center"/>
            <w:textDirection w:val="lrTb"/>
            <w:noWrap w:val="false"/>
          </w:tcPr>
          <w:p>
            <w:pPr>
              <w:pStyle w:val="661"/>
              <w:widowControl w:val="true"/>
              <w:pBdr/>
              <w:spacing/>
              <w:ind/>
              <w:jc w:val="left"/>
              <w:rPr/>
            </w:pPr>
            <w:r>
              <w:rPr>
                <w:rFonts w:hint="eastAsia" w:ascii="宋体" w:hAnsi="宋体" w:cs="宋体"/>
                <w:sz w:val="20"/>
                <w:szCs w:val="20"/>
              </w:rPr>
              <w:t xml:space="preserve">（七）总计</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6</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0</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8" w:type="dxa"/>
            <w:vAlign w:val="center"/>
            <w:textDirection w:val="lrTb"/>
            <w:noWrap w:val="false"/>
          </w:tcPr>
          <w:p>
            <w:pPr>
              <w:pStyle w:val="661"/>
              <w:widowControl w:val="true"/>
              <w:pBdr/>
              <w:spacing/>
              <w:ind/>
              <w:jc w:val="center"/>
              <w:rPr/>
            </w:pPr>
            <w:r>
              <w:rPr>
                <w:rFonts w:ascii="Calibri" w:hAnsi="Calibri" w:cs="Calibri"/>
                <w:sz w:val="20"/>
                <w:szCs w:val="20"/>
              </w:rPr>
              <w:t xml:space="preserve">1</w:t>
            </w:r>
            <w:r/>
          </w:p>
        </w:tc>
        <w:tc>
          <w:tcPr>
            <w:tcBorders>
              <w:top w:val="none" w:color="000000" w:sz="4" w:space="0"/>
              <w:left w:val="none" w:color="000000" w:sz="4" w:space="0"/>
              <w:bottom w:val="single" w:color="000000" w:sz="8" w:space="0"/>
              <w:right w:val="single" w:color="000000" w:sz="8" w:space="0"/>
            </w:tcBorders>
            <w:tcMar>
              <w:left w:w="57" w:type="dxa"/>
              <w:right w:w="57" w:type="dxa"/>
            </w:tcMar>
            <w:tcW w:w="689" w:type="dxa"/>
            <w:vAlign w:val="top"/>
            <w:textDirection w:val="lrTb"/>
            <w:noWrap w:val="false"/>
          </w:tcPr>
          <w:p>
            <w:pPr>
              <w:pStyle w:val="661"/>
              <w:widowControl w:val="true"/>
              <w:pBdr/>
              <w:spacing/>
              <w:ind/>
              <w:jc w:val="center"/>
              <w:rPr/>
            </w:pPr>
            <w:r>
              <w:rPr>
                <w:rFonts w:ascii="Calibri" w:hAnsi="Calibri" w:cs="Calibri"/>
                <w:sz w:val="20"/>
                <w:szCs w:val="20"/>
              </w:rPr>
              <w:t xml:space="preserve">7</w:t>
            </w:r>
            <w:r/>
          </w:p>
        </w:tc>
      </w:tr>
      <w:tr>
        <w:trPr/>
        <w:tc>
          <w:tcPr>
            <w:gridSpan w:val="3"/>
            <w:shd w:val="clear" w:color="auto" w:fill="bdd7ee"/>
            <w:tcBorders>
              <w:top w:val="none" w:color="000000" w:sz="4" w:space="0"/>
              <w:left w:val="single" w:color="000000" w:sz="8" w:space="0"/>
              <w:bottom w:val="single" w:color="000000" w:sz="8" w:space="0"/>
              <w:right w:val="single" w:color="000000" w:sz="8" w:space="0"/>
            </w:tcBorders>
            <w:tcMar>
              <w:left w:w="57" w:type="dxa"/>
              <w:right w:w="57" w:type="dxa"/>
            </w:tcMar>
            <w:tcW w:w="4931" w:type="dxa"/>
            <w:vAlign w:val="center"/>
            <w:textDirection w:val="lrTb"/>
            <w:noWrap w:val="false"/>
          </w:tcPr>
          <w:p>
            <w:pPr>
              <w:pStyle w:val="661"/>
              <w:widowControl w:val="true"/>
              <w:pBdr/>
              <w:spacing/>
              <w:ind/>
              <w:jc w:val="left"/>
              <w:rPr/>
            </w:pPr>
            <w:r>
              <w:rPr>
                <w:rFonts w:hint="eastAsia" w:ascii="宋体" w:hAnsi="宋体" w:cs="宋体"/>
                <w:sz w:val="20"/>
                <w:szCs w:val="20"/>
              </w:rPr>
              <w:t xml:space="preserve">四、结转下年度继续办理</w:t>
            </w:r>
            <w:r/>
          </w:p>
        </w:tc>
        <w:tc>
          <w:tcPr>
            <w:tcBorders>
              <w:top w:val="single" w:color="000000" w:sz="6" w:space="0"/>
              <w:left w:val="none" w:color="000000" w:sz="4" w:space="0"/>
              <w:bottom w:val="single" w:color="000000" w:sz="6" w:space="0"/>
              <w:right w:val="single" w:color="000000" w:sz="6" w:space="0"/>
            </w:tcBorders>
            <w:tcW w:w="688" w:type="dxa"/>
            <w:vAlign w:val="center"/>
            <w:textDirection w:val="lrTb"/>
            <w:noWrap w:val="false"/>
          </w:tcPr>
          <w:p>
            <w:pPr>
              <w:pStyle w:val="661"/>
              <w:widowControl w:val="true"/>
              <w:pBdr/>
              <w:spacing/>
              <w:ind/>
              <w:jc w:val="center"/>
              <w:rPr>
                <w:rFonts w:hint="eastAsia" w:ascii="Calibri" w:hAnsi="Calibri" w:cs="Calibri"/>
                <w:sz w:val="20"/>
                <w:szCs w:val="20"/>
              </w:rPr>
            </w:pPr>
            <w:r>
              <w:rPr>
                <w:rFonts w:hint="eastAsia" w:ascii="Calibri" w:hAnsi="Calibri" w:cs="Calibri"/>
                <w:sz w:val="20"/>
                <w:szCs w:val="20"/>
              </w:rPr>
              <w:t xml:space="preserve">1</w:t>
            </w:r>
            <w:r>
              <w:rPr>
                <w:rFonts w:hint="eastAsia" w:ascii="Calibri" w:hAnsi="Calibri" w:cs="Calibri"/>
                <w:sz w:val="20"/>
                <w:szCs w:val="20"/>
              </w:rPr>
            </w:r>
            <w:r>
              <w:rPr>
                <w:rFonts w:hint="eastAsia" w:ascii="Calibri" w:hAnsi="Calibri" w:cs="Calibri"/>
                <w:sz w:val="20"/>
                <w:szCs w:val="20"/>
              </w:rPr>
            </w:r>
          </w:p>
        </w:tc>
        <w:tc>
          <w:tcPr>
            <w:tcBorders>
              <w:top w:val="single" w:color="000000" w:sz="6" w:space="0"/>
              <w:left w:val="none" w:color="000000" w:sz="4" w:space="0"/>
              <w:bottom w:val="single" w:color="000000" w:sz="6" w:space="0"/>
              <w:right w:val="single" w:color="000000" w:sz="6" w:space="0"/>
            </w:tcBorders>
            <w:tcW w:w="688" w:type="dxa"/>
            <w:vAlign w:val="center"/>
            <w:textDirection w:val="lrTb"/>
            <w:noWrap w:val="false"/>
          </w:tcPr>
          <w:p>
            <w:pPr>
              <w:pStyle w:val="661"/>
              <w:widowControl w:val="true"/>
              <w:pBdr/>
              <w:spacing/>
              <w:ind/>
              <w:jc w:val="center"/>
              <w:rPr>
                <w:rFonts w:hint="eastAsia" w:ascii="Calibri" w:hAnsi="Calibri" w:cs="Calibri"/>
                <w:sz w:val="20"/>
                <w:szCs w:val="20"/>
              </w:rPr>
            </w:pPr>
            <w:r>
              <w:rPr>
                <w:rFonts w:hint="eastAsia" w:ascii="Calibri" w:hAnsi="Calibri" w:cs="Calibri"/>
                <w:sz w:val="20"/>
                <w:szCs w:val="20"/>
              </w:rPr>
              <w:t xml:space="preserve">0</w:t>
            </w:r>
            <w:r>
              <w:rPr>
                <w:rFonts w:hint="eastAsia" w:ascii="Calibri" w:hAnsi="Calibri" w:cs="Calibri"/>
                <w:sz w:val="20"/>
                <w:szCs w:val="20"/>
              </w:rPr>
            </w:r>
            <w:r>
              <w:rPr>
                <w:rFonts w:hint="eastAsia" w:ascii="Calibri" w:hAnsi="Calibri" w:cs="Calibri"/>
                <w:sz w:val="20"/>
                <w:szCs w:val="20"/>
              </w:rPr>
            </w:r>
          </w:p>
        </w:tc>
        <w:tc>
          <w:tcPr>
            <w:tcBorders>
              <w:top w:val="single" w:color="000000" w:sz="6" w:space="0"/>
              <w:left w:val="none" w:color="000000" w:sz="4" w:space="0"/>
              <w:bottom w:val="single" w:color="000000" w:sz="6" w:space="0"/>
              <w:right w:val="single" w:color="000000" w:sz="6" w:space="0"/>
            </w:tcBorders>
            <w:tcW w:w="688" w:type="dxa"/>
            <w:vAlign w:val="center"/>
            <w:textDirection w:val="lrTb"/>
            <w:noWrap w:val="false"/>
          </w:tcPr>
          <w:p>
            <w:pPr>
              <w:pStyle w:val="661"/>
              <w:widowControl w:val="true"/>
              <w:pBdr/>
              <w:spacing/>
              <w:ind/>
              <w:jc w:val="center"/>
              <w:rPr>
                <w:rFonts w:hint="eastAsia" w:ascii="Calibri" w:hAnsi="Calibri" w:cs="Calibri"/>
                <w:sz w:val="20"/>
                <w:szCs w:val="20"/>
              </w:rPr>
            </w:pPr>
            <w:r>
              <w:rPr>
                <w:rFonts w:hint="eastAsia" w:ascii="Calibri" w:hAnsi="Calibri" w:cs="Calibri"/>
                <w:sz w:val="20"/>
                <w:szCs w:val="20"/>
              </w:rPr>
              <w:t xml:space="preserve">0</w:t>
            </w:r>
            <w:r>
              <w:rPr>
                <w:rFonts w:hint="eastAsia" w:ascii="Calibri" w:hAnsi="Calibri" w:cs="Calibri"/>
                <w:sz w:val="20"/>
                <w:szCs w:val="20"/>
              </w:rPr>
            </w:r>
            <w:r>
              <w:rPr>
                <w:rFonts w:hint="eastAsia" w:ascii="Calibri" w:hAnsi="Calibri" w:cs="Calibri"/>
                <w:sz w:val="20"/>
                <w:szCs w:val="20"/>
              </w:rPr>
            </w:r>
          </w:p>
        </w:tc>
        <w:tc>
          <w:tcPr>
            <w:tcBorders>
              <w:top w:val="single" w:color="000000" w:sz="6" w:space="0"/>
              <w:left w:val="none" w:color="000000" w:sz="4" w:space="0"/>
              <w:bottom w:val="single" w:color="000000" w:sz="6" w:space="0"/>
              <w:right w:val="single" w:color="000000" w:sz="6" w:space="0"/>
            </w:tcBorders>
            <w:tcW w:w="688" w:type="dxa"/>
            <w:vAlign w:val="center"/>
            <w:textDirection w:val="lrTb"/>
            <w:noWrap w:val="false"/>
          </w:tcPr>
          <w:p>
            <w:pPr>
              <w:pStyle w:val="661"/>
              <w:widowControl w:val="true"/>
              <w:pBdr/>
              <w:spacing/>
              <w:ind/>
              <w:jc w:val="center"/>
              <w:rPr>
                <w:rFonts w:hint="eastAsia" w:ascii="Calibri" w:hAnsi="Calibri" w:cs="Calibri"/>
                <w:sz w:val="20"/>
                <w:szCs w:val="20"/>
              </w:rPr>
            </w:pPr>
            <w:r>
              <w:rPr>
                <w:rFonts w:hint="eastAsia" w:ascii="Calibri" w:hAnsi="Calibri" w:cs="Calibri"/>
                <w:sz w:val="20"/>
                <w:szCs w:val="20"/>
              </w:rPr>
              <w:t xml:space="preserve">0</w:t>
            </w:r>
            <w:r>
              <w:rPr>
                <w:rFonts w:hint="eastAsia" w:ascii="Calibri" w:hAnsi="Calibri" w:cs="Calibri"/>
                <w:sz w:val="20"/>
                <w:szCs w:val="20"/>
              </w:rPr>
            </w:r>
            <w:r>
              <w:rPr>
                <w:rFonts w:hint="eastAsia" w:ascii="Calibri" w:hAnsi="Calibri" w:cs="Calibri"/>
                <w:sz w:val="20"/>
                <w:szCs w:val="20"/>
              </w:rPr>
            </w:r>
          </w:p>
        </w:tc>
        <w:tc>
          <w:tcPr>
            <w:tcBorders>
              <w:top w:val="single" w:color="000000" w:sz="6" w:space="0"/>
              <w:left w:val="none" w:color="000000" w:sz="4" w:space="0"/>
              <w:bottom w:val="single" w:color="000000" w:sz="6" w:space="0"/>
              <w:right w:val="single" w:color="000000" w:sz="6" w:space="0"/>
            </w:tcBorders>
            <w:tcW w:w="688" w:type="dxa"/>
            <w:vAlign w:val="center"/>
            <w:textDirection w:val="lrTb"/>
            <w:noWrap w:val="false"/>
          </w:tcPr>
          <w:p>
            <w:pPr>
              <w:pStyle w:val="661"/>
              <w:widowControl w:val="true"/>
              <w:pBdr/>
              <w:spacing/>
              <w:ind/>
              <w:jc w:val="center"/>
              <w:rPr>
                <w:rFonts w:hint="eastAsia" w:ascii="Calibri" w:hAnsi="Calibri" w:cs="Calibri"/>
                <w:sz w:val="20"/>
                <w:szCs w:val="20"/>
              </w:rPr>
            </w:pPr>
            <w:r>
              <w:rPr>
                <w:rFonts w:hint="eastAsia" w:ascii="Calibri" w:hAnsi="Calibri" w:cs="Calibri"/>
                <w:sz w:val="20"/>
                <w:szCs w:val="20"/>
              </w:rPr>
              <w:t xml:space="preserve">0</w:t>
            </w:r>
            <w:r>
              <w:rPr>
                <w:rFonts w:hint="eastAsia" w:ascii="Calibri" w:hAnsi="Calibri" w:cs="Calibri"/>
                <w:sz w:val="20"/>
                <w:szCs w:val="20"/>
              </w:rPr>
            </w:r>
            <w:r>
              <w:rPr>
                <w:rFonts w:hint="eastAsia" w:ascii="Calibri" w:hAnsi="Calibri" w:cs="Calibri"/>
                <w:sz w:val="20"/>
                <w:szCs w:val="20"/>
              </w:rPr>
            </w:r>
          </w:p>
        </w:tc>
        <w:tc>
          <w:tcPr>
            <w:tcBorders>
              <w:top w:val="single" w:color="000000" w:sz="6" w:space="0"/>
              <w:left w:val="none" w:color="000000" w:sz="4" w:space="0"/>
              <w:bottom w:val="single" w:color="000000" w:sz="6" w:space="0"/>
              <w:right w:val="single" w:color="000000" w:sz="6" w:space="0"/>
            </w:tcBorders>
            <w:tcW w:w="688" w:type="dxa"/>
            <w:vAlign w:val="center"/>
            <w:textDirection w:val="lrTb"/>
            <w:noWrap w:val="false"/>
          </w:tcPr>
          <w:p>
            <w:pPr>
              <w:pStyle w:val="661"/>
              <w:widowControl w:val="true"/>
              <w:pBdr/>
              <w:spacing/>
              <w:ind/>
              <w:jc w:val="center"/>
              <w:rPr>
                <w:rFonts w:hint="eastAsia" w:ascii="Calibri" w:hAnsi="Calibri" w:cs="Calibri"/>
                <w:sz w:val="20"/>
                <w:szCs w:val="20"/>
              </w:rPr>
            </w:pPr>
            <w:r>
              <w:rPr>
                <w:rFonts w:hint="eastAsia" w:ascii="Calibri" w:hAnsi="Calibri" w:cs="Calibri"/>
                <w:sz w:val="20"/>
                <w:szCs w:val="20"/>
              </w:rPr>
              <w:t xml:space="preserve">0</w:t>
            </w:r>
            <w:r>
              <w:rPr>
                <w:rFonts w:hint="eastAsia" w:ascii="Calibri" w:hAnsi="Calibri" w:cs="Calibri"/>
                <w:sz w:val="20"/>
                <w:szCs w:val="20"/>
              </w:rPr>
            </w:r>
            <w:r>
              <w:rPr>
                <w:rFonts w:hint="eastAsia" w:ascii="Calibri" w:hAnsi="Calibri" w:cs="Calibri"/>
                <w:sz w:val="20"/>
                <w:szCs w:val="20"/>
              </w:rPr>
            </w:r>
          </w:p>
        </w:tc>
        <w:tc>
          <w:tcPr>
            <w:tcBorders>
              <w:top w:val="single" w:color="000000" w:sz="6" w:space="0"/>
              <w:left w:val="none" w:color="000000" w:sz="4" w:space="0"/>
              <w:bottom w:val="single" w:color="000000" w:sz="6" w:space="0"/>
              <w:right w:val="single" w:color="000000" w:sz="6" w:space="0"/>
            </w:tcBorders>
            <w:tcW w:w="689" w:type="dxa"/>
            <w:vAlign w:val="center"/>
            <w:textDirection w:val="lrTb"/>
            <w:noWrap w:val="false"/>
          </w:tcPr>
          <w:p>
            <w:pPr>
              <w:pStyle w:val="661"/>
              <w:widowControl w:val="true"/>
              <w:pBdr/>
              <w:spacing/>
              <w:ind/>
              <w:jc w:val="center"/>
              <w:rPr>
                <w:rFonts w:hint="eastAsia" w:ascii="Calibri" w:hAnsi="Calibri" w:cs="Calibri"/>
                <w:sz w:val="20"/>
                <w:szCs w:val="20"/>
              </w:rPr>
            </w:pPr>
            <w:r>
              <w:rPr>
                <w:rFonts w:hint="eastAsia" w:ascii="Calibri" w:hAnsi="Calibri" w:cs="Calibri"/>
                <w:sz w:val="20"/>
                <w:szCs w:val="20"/>
              </w:rPr>
              <w:t xml:space="preserve">1</w:t>
            </w:r>
            <w:r>
              <w:rPr>
                <w:rFonts w:hint="eastAsia" w:ascii="Calibri" w:hAnsi="Calibri" w:cs="Calibri"/>
                <w:sz w:val="20"/>
                <w:szCs w:val="20"/>
              </w:rPr>
            </w:r>
            <w:r>
              <w:rPr>
                <w:rFonts w:hint="eastAsia" w:ascii="Calibri" w:hAnsi="Calibri" w:cs="Calibri"/>
                <w:sz w:val="20"/>
                <w:szCs w:val="20"/>
              </w:rPr>
            </w:r>
          </w:p>
        </w:tc>
      </w:tr>
    </w:tbl>
    <w:p>
      <w:pPr>
        <w:pStyle w:val="676"/>
        <w:pBdr/>
        <w:spacing/>
        <w:ind w:left="420"/>
        <w:rPr>
          <w:rFonts w:hint="eastAsia"/>
        </w:rPr>
      </w:pPr>
      <w:r>
        <w:rPr>
          <w:rFonts w:hint="eastAsia"/>
        </w:rPr>
      </w:r>
      <w:r>
        <w:rPr>
          <w:rFonts w:hint="eastAsia"/>
        </w:rPr>
      </w:r>
    </w:p>
    <w:p>
      <w:pPr>
        <w:pStyle w:val="676"/>
        <w:pBdr/>
        <w:spacing/>
        <w:ind w:left="420"/>
        <w:rPr>
          <w:rFonts w:hint="eastAsia" w:ascii="黑体" w:hAnsi="黑体" w:eastAsia="黑体" w:cs="黑体"/>
          <w:sz w:val="32"/>
          <w:szCs w:val="32"/>
        </w:rPr>
      </w:pPr>
      <w:r>
        <w:rPr>
          <w:rFonts w:hint="eastAsia"/>
        </w:rPr>
        <w:br w:type="textWrapping" w:clear="all"/>
      </w:r>
      <w:r>
        <w:rPr>
          <w:rFonts w:hint="eastAsia" w:ascii="黑体" w:hAnsi="黑体" w:eastAsia="黑体" w:cs="黑体"/>
          <w:sz w:val="32"/>
          <w:szCs w:val="32"/>
        </w:rPr>
        <w:t xml:space="preserve">四、政府信息公开行政复议、行政诉讼情况</w:t>
      </w:r>
      <w:r>
        <w:rPr>
          <w:rFonts w:hint="eastAsia" w:ascii="黑体" w:hAnsi="黑体" w:eastAsia="黑体" w:cs="黑体"/>
          <w:sz w:val="32"/>
          <w:szCs w:val="32"/>
        </w:rPr>
      </w:r>
    </w:p>
    <w:p>
      <w:pPr>
        <w:pStyle w:val="661"/>
        <w:widowControl w:val="true"/>
        <w:pBdr/>
        <w:spacing/>
        <w:ind/>
        <w:jc w:val="center"/>
        <w:rPr/>
      </w:pPr>
      <w:r/>
      <w:r/>
    </w:p>
    <w:tbl>
      <w:tblPr>
        <w:tblW w:w="9748" w:type="dxa"/>
        <w:jc w:val="center"/>
        <w:tblInd w:w="0" w:type="dxa"/>
        <w:tblBorders>
          <w:top w:val="none" w:color="000000" w:sz="6" w:space="0"/>
          <w:left w:val="none" w:color="000000" w:sz="6" w:space="0"/>
          <w:bottom w:val="none" w:color="000000" w:sz="6" w:space="0"/>
          <w:right w:val="none" w:color="000000" w:sz="6" w:space="0"/>
          <w:insideH w:val="single" w:color="000000" w:sz="6" w:space="0"/>
          <w:insideV w:val="single" w:color="000000" w:sz="6" w:space="0"/>
        </w:tblBorders>
        <w:tblLayout w:type="fixed"/>
        <w:tblCellMar>
          <w:left w:w="0" w:type="dxa"/>
          <w:top w:w="0" w:type="dxa"/>
          <w:right w:w="0" w:type="dxa"/>
          <w:bottom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1"/>
        <w:gridCol w:w="651"/>
        <w:gridCol w:w="651"/>
        <w:gridCol w:w="651"/>
        <w:gridCol w:w="651"/>
      </w:tblGrid>
      <w:tr>
        <w:trPr>
          <w:trHeight w:val="547"/>
        </w:trPr>
        <w:tc>
          <w:tcPr>
            <w:gridSpan w:val="5"/>
            <w:shd w:val="clear" w:color="auto" w:fill="bdd7ee"/>
            <w:tcBorders>
              <w:top w:val="single" w:color="000000" w:sz="8" w:space="0"/>
              <w:left w:val="single" w:color="000000" w:sz="8" w:space="0"/>
              <w:bottom w:val="single" w:color="000000" w:sz="8" w:space="0"/>
              <w:right w:val="single" w:color="000000" w:sz="8" w:space="0"/>
            </w:tcBorders>
            <w:tcMar>
              <w:left w:w="108" w:type="dxa"/>
              <w:right w:w="108" w:type="dxa"/>
            </w:tcMar>
            <w:tcW w:w="3245" w:type="dxa"/>
            <w:vAlign w:val="center"/>
            <w:textDirection w:val="lrTb"/>
            <w:noWrap w:val="false"/>
          </w:tcPr>
          <w:p>
            <w:pPr>
              <w:pStyle w:val="661"/>
              <w:widowControl w:val="true"/>
              <w:pBdr/>
              <w:spacing/>
              <w:ind/>
              <w:jc w:val="center"/>
              <w:rPr/>
            </w:pPr>
            <w:r>
              <w:rPr>
                <w:rFonts w:hint="eastAsia" w:ascii="宋体" w:hAnsi="宋体" w:cs="宋体"/>
                <w:sz w:val="20"/>
                <w:szCs w:val="20"/>
              </w:rPr>
              <w:t xml:space="preserve">行政复议</w:t>
            </w:r>
            <w:r/>
          </w:p>
        </w:tc>
        <w:tc>
          <w:tcPr>
            <w:gridSpan w:val="10"/>
            <w:shd w:val="clear" w:color="auto" w:fill="bdd7ee"/>
            <w:tcBorders>
              <w:top w:val="single" w:color="000000" w:sz="8" w:space="0"/>
              <w:left w:val="single" w:color="000000" w:sz="8" w:space="0"/>
              <w:bottom w:val="single" w:color="000000" w:sz="8" w:space="0"/>
              <w:right w:val="single" w:color="000000" w:sz="8" w:space="0"/>
            </w:tcBorders>
            <w:tcMar>
              <w:left w:w="108" w:type="dxa"/>
              <w:right w:w="108" w:type="dxa"/>
            </w:tcMar>
            <w:tcW w:w="6503" w:type="dxa"/>
            <w:vAlign w:val="center"/>
            <w:textDirection w:val="lrTb"/>
            <w:noWrap w:val="false"/>
          </w:tcPr>
          <w:p>
            <w:pPr>
              <w:pStyle w:val="661"/>
              <w:widowControl w:val="true"/>
              <w:pBdr/>
              <w:spacing/>
              <w:ind/>
              <w:jc w:val="center"/>
              <w:rPr/>
            </w:pPr>
            <w:r>
              <w:rPr>
                <w:rFonts w:hint="eastAsia" w:ascii="宋体" w:hAnsi="宋体" w:cs="宋体"/>
                <w:sz w:val="20"/>
                <w:szCs w:val="20"/>
              </w:rPr>
              <w:t xml:space="preserve">行政诉讼</w:t>
            </w:r>
            <w:r/>
          </w:p>
        </w:tc>
      </w:tr>
      <w:tr>
        <w:trPr>
          <w:trHeight w:val="582"/>
        </w:trPr>
        <w:tc>
          <w:tcPr>
            <w:tcBorders>
              <w:top w:val="none" w:color="000000" w:sz="4" w:space="0"/>
              <w:left w:val="single" w:color="000000" w:sz="8" w:space="0"/>
              <w:bottom w:val="single" w:color="000000" w:sz="8" w:space="0"/>
              <w:right w:val="single" w:color="000000" w:sz="8" w:space="0"/>
            </w:tcBorders>
            <w:tcMar>
              <w:left w:w="108" w:type="dxa"/>
              <w:right w:w="108" w:type="dxa"/>
            </w:tcMar>
            <w:tcW w:w="649" w:type="dxa"/>
            <w:vAlign w:val="center"/>
            <w:vMerge w:val="restart"/>
            <w:textDirection w:val="lrTb"/>
            <w:noWrap w:val="false"/>
          </w:tcPr>
          <w:p>
            <w:pPr>
              <w:pStyle w:val="661"/>
              <w:widowControl w:val="true"/>
              <w:pBdr/>
              <w:spacing/>
              <w:ind/>
              <w:jc w:val="center"/>
              <w:rPr/>
            </w:pPr>
            <w:r>
              <w:rPr>
                <w:rFonts w:hint="eastAsia" w:ascii="宋体" w:hAnsi="宋体" w:cs="宋体"/>
                <w:sz w:val="20"/>
                <w:szCs w:val="20"/>
              </w:rPr>
              <w:t xml:space="preserve">结果维持</w:t>
            </w:r>
            <w:r/>
          </w:p>
        </w:tc>
        <w:tc>
          <w:tcPr>
            <w:tcBorders>
              <w:top w:val="none" w:color="000000" w:sz="4" w:space="0"/>
              <w:left w:val="single" w:color="000000" w:sz="8" w:space="0"/>
              <w:bottom w:val="single" w:color="000000" w:sz="8" w:space="0"/>
              <w:right w:val="single" w:color="000000" w:sz="8" w:space="0"/>
            </w:tcBorders>
            <w:tcMar>
              <w:left w:w="108" w:type="dxa"/>
              <w:right w:w="108" w:type="dxa"/>
            </w:tcMar>
            <w:tcW w:w="649" w:type="dxa"/>
            <w:vAlign w:val="center"/>
            <w:vMerge w:val="restart"/>
            <w:textDirection w:val="lrTb"/>
            <w:noWrap w:val="false"/>
          </w:tcPr>
          <w:p>
            <w:pPr>
              <w:pStyle w:val="661"/>
              <w:widowControl w:val="true"/>
              <w:pBdr/>
              <w:spacing/>
              <w:ind/>
              <w:jc w:val="center"/>
              <w:rPr/>
            </w:pPr>
            <w:r>
              <w:rPr>
                <w:rFonts w:hint="eastAsia" w:ascii="宋体" w:hAnsi="宋体" w:cs="宋体"/>
                <w:sz w:val="20"/>
                <w:szCs w:val="20"/>
              </w:rPr>
              <w:t xml:space="preserve">结果</w:t>
              <w:br w:type="textWrapping" w:clear="all"/>
              <w:t xml:space="preserve">纠正</w:t>
            </w:r>
            <w:r/>
          </w:p>
        </w:tc>
        <w:tc>
          <w:tcPr>
            <w:tcBorders>
              <w:top w:val="single" w:color="000000" w:sz="8" w:space="0"/>
              <w:left w:val="single" w:color="000000" w:sz="8" w:space="0"/>
              <w:bottom w:val="single" w:color="000000" w:sz="8" w:space="0"/>
              <w:right w:val="single" w:color="000000" w:sz="8" w:space="0"/>
            </w:tcBorders>
            <w:tcMar>
              <w:left w:w="108" w:type="dxa"/>
              <w:right w:w="108" w:type="dxa"/>
            </w:tcMar>
            <w:tcW w:w="649" w:type="dxa"/>
            <w:vAlign w:val="center"/>
            <w:vMerge w:val="restart"/>
            <w:textDirection w:val="lrTb"/>
            <w:noWrap w:val="false"/>
          </w:tcPr>
          <w:p>
            <w:pPr>
              <w:pStyle w:val="661"/>
              <w:widowControl w:val="true"/>
              <w:pBdr/>
              <w:spacing/>
              <w:ind/>
              <w:jc w:val="center"/>
              <w:rPr/>
            </w:pPr>
            <w:r>
              <w:rPr>
                <w:rFonts w:hint="eastAsia" w:ascii="宋体" w:hAnsi="宋体" w:cs="宋体"/>
                <w:sz w:val="20"/>
                <w:szCs w:val="20"/>
              </w:rPr>
              <w:t xml:space="preserve">其他</w:t>
              <w:br w:type="textWrapping" w:clear="all"/>
              <w:t xml:space="preserve">结果</w:t>
            </w:r>
            <w:r/>
          </w:p>
        </w:tc>
        <w:tc>
          <w:tcPr>
            <w:tcBorders>
              <w:top w:val="single" w:color="000000" w:sz="8" w:space="0"/>
              <w:left w:val="single" w:color="000000" w:sz="8" w:space="0"/>
              <w:bottom w:val="single" w:color="000000" w:sz="8" w:space="0"/>
              <w:right w:val="single" w:color="000000" w:sz="8" w:space="0"/>
            </w:tcBorders>
            <w:tcMar>
              <w:left w:w="108" w:type="dxa"/>
              <w:right w:w="108" w:type="dxa"/>
            </w:tcMar>
            <w:tcW w:w="649" w:type="dxa"/>
            <w:vAlign w:val="center"/>
            <w:vMerge w:val="restart"/>
            <w:textDirection w:val="lrTb"/>
            <w:noWrap w:val="false"/>
          </w:tcPr>
          <w:p>
            <w:pPr>
              <w:pStyle w:val="661"/>
              <w:widowControl w:val="true"/>
              <w:pBdr/>
              <w:spacing/>
              <w:ind/>
              <w:jc w:val="center"/>
              <w:rPr/>
            </w:pPr>
            <w:r>
              <w:rPr>
                <w:rFonts w:hint="eastAsia" w:ascii="宋体" w:hAnsi="宋体" w:cs="宋体"/>
                <w:sz w:val="20"/>
                <w:szCs w:val="20"/>
              </w:rPr>
              <w:t xml:space="preserve">尚未</w:t>
              <w:br w:type="textWrapping" w:clear="all"/>
              <w:t xml:space="preserve">审结</w:t>
            </w:r>
            <w:r/>
          </w:p>
        </w:tc>
        <w:tc>
          <w:tcPr>
            <w:tcBorders>
              <w:top w:val="single" w:color="000000" w:sz="8" w:space="0"/>
              <w:left w:val="single" w:color="000000" w:sz="8" w:space="0"/>
              <w:bottom w:val="single" w:color="000000" w:sz="8" w:space="0"/>
              <w:right w:val="single" w:color="000000" w:sz="8" w:space="0"/>
            </w:tcBorders>
            <w:tcMar>
              <w:left w:w="108" w:type="dxa"/>
              <w:right w:w="108" w:type="dxa"/>
            </w:tcMar>
            <w:tcW w:w="649" w:type="dxa"/>
            <w:vAlign w:val="center"/>
            <w:vMerge w:val="restart"/>
            <w:textDirection w:val="lrTb"/>
            <w:noWrap w:val="false"/>
          </w:tcPr>
          <w:p>
            <w:pPr>
              <w:pStyle w:val="661"/>
              <w:widowControl w:val="true"/>
              <w:pBdr/>
              <w:spacing/>
              <w:ind/>
              <w:jc w:val="center"/>
              <w:rPr/>
            </w:pPr>
            <w:r>
              <w:rPr>
                <w:rFonts w:hint="eastAsia" w:ascii="宋体" w:hAnsi="宋体" w:cs="宋体"/>
                <w:sz w:val="20"/>
                <w:szCs w:val="20"/>
              </w:rPr>
              <w:t xml:space="preserve">总计</w:t>
            </w:r>
            <w:r/>
          </w:p>
        </w:tc>
        <w:tc>
          <w:tcPr>
            <w:gridSpan w:val="5"/>
            <w:shd w:val="clear" w:color="auto" w:fill="ddebf7"/>
            <w:tcBorders>
              <w:top w:val="single" w:color="000000" w:sz="8" w:space="0"/>
              <w:left w:val="single" w:color="000000" w:sz="8" w:space="0"/>
              <w:bottom w:val="single" w:color="000000" w:sz="8" w:space="0"/>
              <w:right w:val="single" w:color="000000" w:sz="8" w:space="0"/>
            </w:tcBorders>
            <w:tcMar>
              <w:left w:w="108" w:type="dxa"/>
              <w:right w:w="108" w:type="dxa"/>
            </w:tcMar>
            <w:tcW w:w="3248" w:type="dxa"/>
            <w:vAlign w:val="center"/>
            <w:textDirection w:val="lrTb"/>
            <w:noWrap w:val="false"/>
          </w:tcPr>
          <w:p>
            <w:pPr>
              <w:pStyle w:val="661"/>
              <w:widowControl w:val="true"/>
              <w:pBdr/>
              <w:spacing/>
              <w:ind/>
              <w:jc w:val="center"/>
              <w:rPr/>
            </w:pPr>
            <w:r>
              <w:rPr>
                <w:rFonts w:hint="eastAsia" w:ascii="宋体" w:hAnsi="宋体" w:cs="宋体"/>
                <w:sz w:val="20"/>
                <w:szCs w:val="20"/>
              </w:rPr>
              <w:t xml:space="preserve">未经复议直接起诉</w:t>
            </w:r>
            <w:r/>
          </w:p>
        </w:tc>
        <w:tc>
          <w:tcPr>
            <w:gridSpan w:val="5"/>
            <w:shd w:val="clear" w:color="auto" w:fill="ddebf7"/>
            <w:tcBorders>
              <w:top w:val="single" w:color="000000" w:sz="8" w:space="0"/>
              <w:left w:val="single" w:color="000000" w:sz="8" w:space="0"/>
              <w:bottom w:val="single" w:color="000000" w:sz="8" w:space="0"/>
              <w:right w:val="single" w:color="000000" w:sz="8" w:space="0"/>
            </w:tcBorders>
            <w:tcMar>
              <w:left w:w="108" w:type="dxa"/>
              <w:right w:w="108" w:type="dxa"/>
            </w:tcMar>
            <w:tcW w:w="3255" w:type="dxa"/>
            <w:vAlign w:val="center"/>
            <w:textDirection w:val="lrTb"/>
            <w:noWrap w:val="false"/>
          </w:tcPr>
          <w:p>
            <w:pPr>
              <w:pStyle w:val="661"/>
              <w:widowControl w:val="true"/>
              <w:pBdr/>
              <w:spacing/>
              <w:ind/>
              <w:jc w:val="center"/>
              <w:rPr/>
            </w:pPr>
            <w:r>
              <w:rPr>
                <w:rFonts w:hint="eastAsia" w:ascii="宋体" w:hAnsi="宋体" w:cs="宋体"/>
                <w:sz w:val="20"/>
                <w:szCs w:val="20"/>
              </w:rPr>
              <w:t xml:space="preserve">复议后起诉</w:t>
            </w:r>
            <w:r/>
          </w:p>
        </w:tc>
      </w:tr>
      <w:tr>
        <w:trPr>
          <w:trHeight w:val="714"/>
        </w:trPr>
        <w:tc>
          <w:tcPr>
            <w:tcBorders>
              <w:top w:val="none" w:color="000000" w:sz="4" w:space="0"/>
              <w:left w:val="single" w:color="000000" w:sz="8" w:space="0"/>
              <w:bottom w:val="single" w:color="000000" w:sz="8" w:space="0"/>
              <w:right w:val="single" w:color="000000" w:sz="8" w:space="0"/>
            </w:tcBorders>
            <w:tcMar>
              <w:left w:w="108" w:type="dxa"/>
              <w:right w:w="108" w:type="dxa"/>
            </w:tcMar>
            <w:tcW w:w="649"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tcBorders>
              <w:top w:val="none" w:color="000000" w:sz="4" w:space="0"/>
              <w:left w:val="single" w:color="000000" w:sz="8" w:space="0"/>
              <w:bottom w:val="single" w:color="000000" w:sz="8" w:space="0"/>
              <w:right w:val="single" w:color="000000" w:sz="8" w:space="0"/>
            </w:tcBorders>
            <w:tcMar>
              <w:left w:w="108" w:type="dxa"/>
              <w:right w:w="108" w:type="dxa"/>
            </w:tcMar>
            <w:tcW w:w="649"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tcBorders>
              <w:top w:val="single" w:color="000000" w:sz="8" w:space="0"/>
              <w:left w:val="single" w:color="000000" w:sz="8" w:space="0"/>
              <w:bottom w:val="single" w:color="000000" w:sz="8" w:space="0"/>
              <w:right w:val="single" w:color="000000" w:sz="8" w:space="0"/>
            </w:tcBorders>
            <w:tcMar>
              <w:left w:w="108" w:type="dxa"/>
              <w:right w:w="108" w:type="dxa"/>
            </w:tcMar>
            <w:tcW w:w="649"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tcBorders>
              <w:top w:val="single" w:color="000000" w:sz="8" w:space="0"/>
              <w:left w:val="single" w:color="000000" w:sz="8" w:space="0"/>
              <w:bottom w:val="single" w:color="000000" w:sz="8" w:space="0"/>
              <w:right w:val="single" w:color="000000" w:sz="8" w:space="0"/>
            </w:tcBorders>
            <w:tcMar>
              <w:left w:w="108" w:type="dxa"/>
              <w:right w:w="108" w:type="dxa"/>
            </w:tcMar>
            <w:tcW w:w="649"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tcBorders>
              <w:top w:val="single" w:color="000000" w:sz="8" w:space="0"/>
              <w:left w:val="single" w:color="000000" w:sz="8" w:space="0"/>
              <w:bottom w:val="single" w:color="000000" w:sz="8" w:space="0"/>
              <w:right w:val="single" w:color="000000" w:sz="8" w:space="0"/>
            </w:tcBorders>
            <w:tcMar>
              <w:left w:w="108" w:type="dxa"/>
              <w:right w:w="108" w:type="dxa"/>
            </w:tcMar>
            <w:tcW w:w="649" w:type="dxa"/>
            <w:vAlign w:val="center"/>
            <w:vMerge w:val="continue"/>
            <w:textDirection w:val="lrTb"/>
            <w:noWrap w:val="false"/>
          </w:tcPr>
          <w:p>
            <w:pPr>
              <w:pStyle w:val="661"/>
              <w:pBdr/>
              <w:spacing/>
              <w:ind/>
              <w:rPr>
                <w:rFonts w:hint="eastAsia" w:ascii="宋体"/>
                <w:sz w:val="24"/>
                <w:szCs w:val="24"/>
              </w:rPr>
            </w:pPr>
            <w:r>
              <w:rPr>
                <w:rFonts w:hint="eastAsia" w:ascii="宋体"/>
                <w:sz w:val="24"/>
                <w:szCs w:val="24"/>
              </w:rPr>
            </w:r>
            <w:r>
              <w:rPr>
                <w:rFonts w:hint="eastAsia" w:ascii="宋体"/>
                <w:sz w:val="24"/>
                <w:szCs w:val="24"/>
              </w:rPr>
            </w:r>
          </w:p>
        </w:tc>
        <w:tc>
          <w:tcPr>
            <w:tcBorders>
              <w:top w:val="none" w:color="000000" w:sz="4" w:space="0"/>
              <w:left w:val="single" w:color="000000" w:sz="8" w:space="0"/>
              <w:bottom w:val="single" w:color="000000" w:sz="8" w:space="0"/>
              <w:right w:val="single" w:color="000000" w:sz="8" w:space="0"/>
            </w:tcBorders>
            <w:tcMar>
              <w:left w:w="108" w:type="dxa"/>
              <w:right w:w="108" w:type="dxa"/>
            </w:tcMar>
            <w:tcW w:w="649" w:type="dxa"/>
            <w:vAlign w:val="center"/>
            <w:textDirection w:val="lrTb"/>
            <w:noWrap w:val="false"/>
          </w:tcPr>
          <w:p>
            <w:pPr>
              <w:pStyle w:val="661"/>
              <w:widowControl w:val="true"/>
              <w:pBdr/>
              <w:spacing/>
              <w:ind/>
              <w:jc w:val="center"/>
              <w:rPr/>
            </w:pPr>
            <w:r>
              <w:rPr>
                <w:rFonts w:hint="eastAsia" w:ascii="宋体" w:hAnsi="宋体" w:cs="宋体"/>
                <w:sz w:val="20"/>
                <w:szCs w:val="20"/>
              </w:rPr>
              <w:t xml:space="preserve">结果</w:t>
              <w:br w:type="textWrapping" w:clear="all"/>
              <w:t xml:space="preserve">维持</w:t>
            </w:r>
            <w:r/>
          </w:p>
        </w:tc>
        <w:tc>
          <w:tcPr>
            <w:tcBorders>
              <w:top w:val="none" w:color="000000" w:sz="4" w:space="0"/>
              <w:left w:val="single" w:color="000000" w:sz="8" w:space="0"/>
              <w:bottom w:val="single" w:color="000000" w:sz="8" w:space="0"/>
              <w:right w:val="single" w:color="000000" w:sz="8" w:space="0"/>
            </w:tcBorders>
            <w:tcMar>
              <w:left w:w="108" w:type="dxa"/>
              <w:right w:w="108" w:type="dxa"/>
            </w:tcMar>
            <w:tcW w:w="649" w:type="dxa"/>
            <w:vAlign w:val="center"/>
            <w:textDirection w:val="lrTb"/>
            <w:noWrap w:val="false"/>
          </w:tcPr>
          <w:p>
            <w:pPr>
              <w:pStyle w:val="661"/>
              <w:widowControl w:val="true"/>
              <w:pBdr/>
              <w:spacing/>
              <w:ind/>
              <w:jc w:val="center"/>
              <w:rPr/>
            </w:pPr>
            <w:r>
              <w:rPr>
                <w:rFonts w:hint="eastAsia" w:ascii="宋体" w:hAnsi="宋体" w:cs="宋体"/>
                <w:sz w:val="20"/>
                <w:szCs w:val="20"/>
              </w:rPr>
              <w:t xml:space="preserve">结果</w:t>
              <w:br w:type="textWrapping" w:clear="all"/>
              <w:t xml:space="preserve">纠正</w:t>
            </w:r>
            <w:r/>
          </w:p>
        </w:tc>
        <w:tc>
          <w:tcPr>
            <w:tcBorders>
              <w:top w:val="single" w:color="000000" w:sz="8" w:space="0"/>
              <w:left w:val="single" w:color="000000" w:sz="8" w:space="0"/>
              <w:bottom w:val="single" w:color="000000" w:sz="8" w:space="0"/>
              <w:right w:val="single" w:color="000000" w:sz="8" w:space="0"/>
            </w:tcBorders>
            <w:tcMar>
              <w:left w:w="108" w:type="dxa"/>
              <w:right w:w="108" w:type="dxa"/>
            </w:tcMar>
            <w:tcW w:w="650" w:type="dxa"/>
            <w:vAlign w:val="center"/>
            <w:textDirection w:val="lrTb"/>
            <w:noWrap w:val="false"/>
          </w:tcPr>
          <w:p>
            <w:pPr>
              <w:pStyle w:val="661"/>
              <w:widowControl w:val="true"/>
              <w:pBdr/>
              <w:spacing/>
              <w:ind/>
              <w:jc w:val="center"/>
              <w:rPr/>
            </w:pPr>
            <w:r>
              <w:rPr>
                <w:rFonts w:hint="eastAsia" w:ascii="宋体" w:hAnsi="宋体" w:cs="宋体"/>
                <w:sz w:val="20"/>
                <w:szCs w:val="20"/>
              </w:rPr>
              <w:t xml:space="preserve">其他</w:t>
              <w:br w:type="textWrapping" w:clear="all"/>
              <w:t xml:space="preserve">结果</w:t>
            </w:r>
            <w:r/>
          </w:p>
        </w:tc>
        <w:tc>
          <w:tcPr>
            <w:tcBorders>
              <w:top w:val="single" w:color="000000" w:sz="8" w:space="0"/>
              <w:left w:val="single" w:color="000000" w:sz="8" w:space="0"/>
              <w:bottom w:val="single" w:color="000000" w:sz="8" w:space="0"/>
              <w:right w:val="single" w:color="000000" w:sz="8" w:space="0"/>
            </w:tcBorders>
            <w:tcMar>
              <w:left w:w="108" w:type="dxa"/>
              <w:right w:w="108" w:type="dxa"/>
            </w:tcMar>
            <w:tcW w:w="650" w:type="dxa"/>
            <w:vAlign w:val="center"/>
            <w:textDirection w:val="lrTb"/>
            <w:noWrap w:val="false"/>
          </w:tcPr>
          <w:p>
            <w:pPr>
              <w:pStyle w:val="661"/>
              <w:widowControl w:val="true"/>
              <w:pBdr/>
              <w:spacing/>
              <w:ind/>
              <w:jc w:val="center"/>
              <w:rPr/>
            </w:pPr>
            <w:r>
              <w:rPr>
                <w:rFonts w:hint="eastAsia" w:ascii="宋体" w:hAnsi="宋体" w:cs="宋体"/>
                <w:sz w:val="20"/>
                <w:szCs w:val="20"/>
              </w:rPr>
              <w:t xml:space="preserve">尚未</w:t>
              <w:br w:type="textWrapping" w:clear="all"/>
              <w:t xml:space="preserve">审结</w:t>
            </w:r>
            <w:r/>
          </w:p>
        </w:tc>
        <w:tc>
          <w:tcPr>
            <w:tcBorders>
              <w:top w:val="single" w:color="000000" w:sz="8" w:space="0"/>
              <w:left w:val="single" w:color="000000" w:sz="8" w:space="0"/>
              <w:bottom w:val="single" w:color="000000" w:sz="8" w:space="0"/>
              <w:right w:val="single" w:color="000000" w:sz="8" w:space="0"/>
            </w:tcBorders>
            <w:tcMar>
              <w:left w:w="108" w:type="dxa"/>
              <w:right w:w="108" w:type="dxa"/>
            </w:tcMar>
            <w:tcW w:w="650" w:type="dxa"/>
            <w:vAlign w:val="center"/>
            <w:textDirection w:val="lrTb"/>
            <w:noWrap w:val="false"/>
          </w:tcPr>
          <w:p>
            <w:pPr>
              <w:pStyle w:val="661"/>
              <w:widowControl w:val="true"/>
              <w:pBdr/>
              <w:spacing/>
              <w:ind/>
              <w:jc w:val="center"/>
              <w:rPr/>
            </w:pPr>
            <w:r>
              <w:rPr>
                <w:rFonts w:hint="eastAsia" w:ascii="宋体" w:hAnsi="宋体" w:cs="宋体"/>
                <w:color w:val="000000"/>
                <w:sz w:val="20"/>
                <w:szCs w:val="20"/>
              </w:rPr>
              <w:t xml:space="preserve">总计</w:t>
            </w:r>
            <w:r/>
          </w:p>
        </w:tc>
        <w:tc>
          <w:tcPr>
            <w:tcBorders>
              <w:top w:val="single" w:color="000000" w:sz="8" w:space="0"/>
              <w:left w:val="single" w:color="000000" w:sz="8" w:space="0"/>
              <w:bottom w:val="single" w:color="000000" w:sz="8" w:space="0"/>
              <w:right w:val="single" w:color="000000" w:sz="8" w:space="0"/>
            </w:tcBorders>
            <w:tcMar>
              <w:left w:w="108" w:type="dxa"/>
              <w:right w:w="108" w:type="dxa"/>
            </w:tcMar>
            <w:tcW w:w="651" w:type="dxa"/>
            <w:vAlign w:val="center"/>
            <w:textDirection w:val="lrTb"/>
            <w:noWrap w:val="false"/>
          </w:tcPr>
          <w:p>
            <w:pPr>
              <w:pStyle w:val="661"/>
              <w:widowControl w:val="true"/>
              <w:pBdr/>
              <w:spacing/>
              <w:ind/>
              <w:jc w:val="center"/>
              <w:rPr/>
            </w:pPr>
            <w:r>
              <w:rPr>
                <w:rFonts w:hint="eastAsia" w:ascii="宋体" w:hAnsi="宋体" w:cs="宋体"/>
                <w:sz w:val="20"/>
                <w:szCs w:val="20"/>
              </w:rPr>
              <w:t xml:space="preserve">结果</w:t>
              <w:br w:type="textWrapping" w:clear="all"/>
              <w:t xml:space="preserve">维持</w:t>
            </w:r>
            <w:r/>
          </w:p>
        </w:tc>
        <w:tc>
          <w:tcPr>
            <w:tcBorders>
              <w:top w:val="single" w:color="000000" w:sz="8" w:space="0"/>
              <w:left w:val="single" w:color="000000" w:sz="8" w:space="0"/>
              <w:bottom w:val="single" w:color="000000" w:sz="8" w:space="0"/>
              <w:right w:val="single" w:color="000000" w:sz="8" w:space="0"/>
            </w:tcBorders>
            <w:tcMar>
              <w:left w:w="108" w:type="dxa"/>
              <w:right w:w="108" w:type="dxa"/>
            </w:tcMar>
            <w:tcW w:w="651" w:type="dxa"/>
            <w:vAlign w:val="center"/>
            <w:textDirection w:val="lrTb"/>
            <w:noWrap w:val="false"/>
          </w:tcPr>
          <w:p>
            <w:pPr>
              <w:pStyle w:val="661"/>
              <w:widowControl w:val="true"/>
              <w:pBdr/>
              <w:spacing/>
              <w:ind/>
              <w:jc w:val="center"/>
              <w:rPr/>
            </w:pPr>
            <w:r>
              <w:rPr>
                <w:rFonts w:hint="eastAsia" w:ascii="宋体" w:hAnsi="宋体" w:cs="宋体"/>
                <w:sz w:val="20"/>
                <w:szCs w:val="20"/>
              </w:rPr>
              <w:t xml:space="preserve">结果</w:t>
              <w:br w:type="textWrapping" w:clear="all"/>
              <w:t xml:space="preserve">纠正</w:t>
            </w:r>
            <w:r/>
          </w:p>
        </w:tc>
        <w:tc>
          <w:tcPr>
            <w:tcBorders>
              <w:top w:val="single" w:color="000000" w:sz="8" w:space="0"/>
              <w:left w:val="single" w:color="000000" w:sz="8" w:space="0"/>
              <w:bottom w:val="single" w:color="000000" w:sz="8" w:space="0"/>
              <w:right w:val="single" w:color="000000" w:sz="8" w:space="0"/>
            </w:tcBorders>
            <w:tcMar>
              <w:left w:w="108" w:type="dxa"/>
              <w:right w:w="108" w:type="dxa"/>
            </w:tcMar>
            <w:tcW w:w="651" w:type="dxa"/>
            <w:vAlign w:val="center"/>
            <w:textDirection w:val="lrTb"/>
            <w:noWrap w:val="false"/>
          </w:tcPr>
          <w:p>
            <w:pPr>
              <w:pStyle w:val="661"/>
              <w:widowControl w:val="true"/>
              <w:pBdr/>
              <w:spacing/>
              <w:ind/>
              <w:jc w:val="center"/>
              <w:rPr/>
            </w:pPr>
            <w:r>
              <w:rPr>
                <w:rFonts w:hint="eastAsia" w:ascii="宋体" w:hAnsi="宋体" w:cs="宋体"/>
                <w:color w:val="000000"/>
                <w:sz w:val="20"/>
                <w:szCs w:val="20"/>
              </w:rPr>
              <w:t xml:space="preserve">其他</w:t>
              <w:br w:type="textWrapping" w:clear="all"/>
              <w:t xml:space="preserve">结果</w:t>
            </w:r>
            <w:r/>
          </w:p>
        </w:tc>
        <w:tc>
          <w:tcPr>
            <w:tcBorders>
              <w:top w:val="single" w:color="000000" w:sz="8" w:space="0"/>
              <w:left w:val="single" w:color="000000" w:sz="8" w:space="0"/>
              <w:bottom w:val="single" w:color="000000" w:sz="8" w:space="0"/>
              <w:right w:val="single" w:color="000000" w:sz="8" w:space="0"/>
            </w:tcBorders>
            <w:tcMar>
              <w:left w:w="108" w:type="dxa"/>
              <w:right w:w="108" w:type="dxa"/>
            </w:tcMar>
            <w:tcW w:w="651" w:type="dxa"/>
            <w:vAlign w:val="center"/>
            <w:textDirection w:val="lrTb"/>
            <w:noWrap w:val="false"/>
          </w:tcPr>
          <w:p>
            <w:pPr>
              <w:pStyle w:val="661"/>
              <w:widowControl w:val="true"/>
              <w:pBdr/>
              <w:spacing/>
              <w:ind/>
              <w:jc w:val="center"/>
              <w:rPr/>
            </w:pPr>
            <w:r>
              <w:rPr>
                <w:rFonts w:hint="eastAsia" w:ascii="宋体" w:hAnsi="宋体" w:cs="宋体"/>
                <w:sz w:val="20"/>
                <w:szCs w:val="20"/>
              </w:rPr>
              <w:t xml:space="preserve">尚未</w:t>
              <w:br w:type="textWrapping" w:clear="all"/>
              <w:t xml:space="preserve">审结</w:t>
            </w:r>
            <w:r/>
          </w:p>
        </w:tc>
        <w:tc>
          <w:tcPr>
            <w:tcBorders>
              <w:top w:val="single" w:color="000000" w:sz="8" w:space="0"/>
              <w:left w:val="single" w:color="000000" w:sz="8" w:space="0"/>
              <w:bottom w:val="single" w:color="000000" w:sz="8" w:space="0"/>
              <w:right w:val="single" w:color="000000" w:sz="8" w:space="0"/>
            </w:tcBorders>
            <w:tcMar>
              <w:left w:w="108" w:type="dxa"/>
              <w:right w:w="108" w:type="dxa"/>
            </w:tcMar>
            <w:tcW w:w="651" w:type="dxa"/>
            <w:vAlign w:val="center"/>
            <w:textDirection w:val="lrTb"/>
            <w:noWrap w:val="false"/>
          </w:tcPr>
          <w:p>
            <w:pPr>
              <w:pStyle w:val="661"/>
              <w:widowControl w:val="true"/>
              <w:pBdr/>
              <w:spacing/>
              <w:ind/>
              <w:jc w:val="center"/>
              <w:rPr/>
            </w:pPr>
            <w:r>
              <w:rPr>
                <w:rFonts w:hint="eastAsia" w:ascii="宋体" w:hAnsi="宋体" w:cs="宋体"/>
                <w:color w:val="000000"/>
                <w:sz w:val="20"/>
                <w:szCs w:val="20"/>
              </w:rPr>
              <w:t xml:space="preserve">总计</w:t>
            </w:r>
            <w:r/>
          </w:p>
        </w:tc>
      </w:tr>
      <w:tr>
        <w:trPr>
          <w:trHeight w:val="672"/>
        </w:trPr>
        <w:tc>
          <w:tcPr>
            <w:tcBorders>
              <w:top w:val="none" w:color="000000" w:sz="4" w:space="0"/>
              <w:left w:val="single" w:color="000000" w:sz="8" w:space="0"/>
              <w:bottom w:val="single" w:color="000000" w:sz="8" w:space="0"/>
              <w:right w:val="single" w:color="000000" w:sz="8" w:space="0"/>
            </w:tcBorders>
            <w:tcMar>
              <w:left w:w="108" w:type="dxa"/>
              <w:right w:w="108" w:type="dxa"/>
            </w:tcMar>
            <w:tcW w:w="649" w:type="dxa"/>
            <w:vAlign w:val="center"/>
            <w:textDirection w:val="lrTb"/>
            <w:noWrap w:val="false"/>
          </w:tcPr>
          <w:p>
            <w:pPr>
              <w:pStyle w:val="661"/>
              <w:widowControl w:val="true"/>
              <w:pBdr/>
              <w:spacing/>
              <w:ind/>
              <w:jc w:val="center"/>
              <w:rPr/>
            </w:pPr>
            <w:r>
              <w:rPr>
                <w:rFonts w:ascii="黑体" w:hAnsi="宋体" w:eastAsia="黑体" w:cs="黑体"/>
                <w:sz w:val="20"/>
                <w:szCs w:val="20"/>
              </w:rPr>
              <w:t xml:space="preserve">0</w:t>
            </w:r>
            <w:r/>
          </w:p>
        </w:tc>
        <w:tc>
          <w:tcPr>
            <w:tcBorders>
              <w:top w:val="none" w:color="000000" w:sz="4" w:space="0"/>
              <w:left w:val="single" w:color="000000" w:sz="8" w:space="0"/>
              <w:bottom w:val="single" w:color="000000" w:sz="8" w:space="0"/>
              <w:right w:val="single" w:color="000000" w:sz="8" w:space="0"/>
            </w:tcBorders>
            <w:tcMar>
              <w:left w:w="108" w:type="dxa"/>
              <w:right w:w="108" w:type="dxa"/>
            </w:tcMar>
            <w:tcW w:w="649" w:type="dxa"/>
            <w:vAlign w:val="center"/>
            <w:textDirection w:val="lrTb"/>
            <w:noWrap w:val="false"/>
          </w:tcPr>
          <w:p>
            <w:pPr>
              <w:pStyle w:val="661"/>
              <w:widowControl w:val="true"/>
              <w:pBdr/>
              <w:spacing/>
              <w:ind/>
              <w:jc w:val="center"/>
              <w:rPr/>
            </w:pPr>
            <w:r>
              <w:rPr>
                <w:rFonts w:ascii="黑体" w:hAnsi="宋体" w:eastAsia="黑体" w:cs="黑体"/>
                <w:sz w:val="20"/>
                <w:szCs w:val="20"/>
              </w:rPr>
              <w:t xml:space="preserve">0</w:t>
            </w:r>
            <w:r/>
          </w:p>
        </w:tc>
        <w:tc>
          <w:tcPr>
            <w:tcBorders>
              <w:top w:val="none" w:color="000000" w:sz="4" w:space="0"/>
              <w:left w:val="single" w:color="000000" w:sz="8" w:space="0"/>
              <w:bottom w:val="single" w:color="000000" w:sz="8" w:space="0"/>
              <w:right w:val="single" w:color="000000" w:sz="8" w:space="0"/>
            </w:tcBorders>
            <w:tcMar>
              <w:left w:w="108" w:type="dxa"/>
              <w:right w:w="108" w:type="dxa"/>
            </w:tcMar>
            <w:tcW w:w="649" w:type="dxa"/>
            <w:vAlign w:val="center"/>
            <w:textDirection w:val="lrTb"/>
            <w:noWrap w:val="false"/>
          </w:tcPr>
          <w:p>
            <w:pPr>
              <w:pStyle w:val="661"/>
              <w:widowControl w:val="true"/>
              <w:pBdr/>
              <w:spacing/>
              <w:ind/>
              <w:jc w:val="center"/>
              <w:rPr/>
            </w:pPr>
            <w:r>
              <w:rPr>
                <w:rFonts w:ascii="黑体" w:hAnsi="宋体" w:eastAsia="黑体" w:cs="黑体"/>
                <w:sz w:val="20"/>
                <w:szCs w:val="20"/>
              </w:rPr>
              <w:t xml:space="preserve">0</w:t>
            </w:r>
            <w:r/>
          </w:p>
        </w:tc>
        <w:tc>
          <w:tcPr>
            <w:tcBorders>
              <w:top w:val="none" w:color="000000" w:sz="4" w:space="0"/>
              <w:left w:val="single" w:color="000000" w:sz="8" w:space="0"/>
              <w:bottom w:val="single" w:color="000000" w:sz="8" w:space="0"/>
              <w:right w:val="single" w:color="000000" w:sz="8" w:space="0"/>
            </w:tcBorders>
            <w:tcMar>
              <w:left w:w="108" w:type="dxa"/>
              <w:right w:w="108" w:type="dxa"/>
            </w:tcMar>
            <w:tcW w:w="649" w:type="dxa"/>
            <w:vAlign w:val="center"/>
            <w:textDirection w:val="lrTb"/>
            <w:noWrap w:val="false"/>
          </w:tcPr>
          <w:p>
            <w:pPr>
              <w:pStyle w:val="661"/>
              <w:widowControl w:val="true"/>
              <w:pBdr/>
              <w:spacing/>
              <w:ind/>
              <w:jc w:val="center"/>
              <w:rPr/>
            </w:pPr>
            <w:r>
              <w:rPr>
                <w:rFonts w:ascii="黑体" w:hAnsi="宋体" w:eastAsia="黑体" w:cs="黑体"/>
                <w:sz w:val="20"/>
                <w:szCs w:val="20"/>
              </w:rPr>
              <w:t xml:space="preserve">0</w:t>
            </w:r>
            <w:r/>
          </w:p>
        </w:tc>
        <w:tc>
          <w:tcPr>
            <w:tcBorders>
              <w:top w:val="none" w:color="000000" w:sz="4" w:space="0"/>
              <w:left w:val="single" w:color="000000" w:sz="8" w:space="0"/>
              <w:bottom w:val="single" w:color="000000" w:sz="8" w:space="0"/>
              <w:right w:val="single" w:color="000000" w:sz="8" w:space="0"/>
            </w:tcBorders>
            <w:tcMar>
              <w:left w:w="108" w:type="dxa"/>
              <w:right w:w="108" w:type="dxa"/>
            </w:tcMar>
            <w:tcW w:w="649" w:type="dxa"/>
            <w:vAlign w:val="center"/>
            <w:textDirection w:val="lrTb"/>
            <w:noWrap w:val="false"/>
          </w:tcPr>
          <w:p>
            <w:pPr>
              <w:pStyle w:val="661"/>
              <w:widowControl w:val="true"/>
              <w:pBdr/>
              <w:spacing/>
              <w:ind/>
              <w:jc w:val="center"/>
              <w:rPr/>
            </w:pPr>
            <w:r>
              <w:rPr>
                <w:rFonts w:ascii="黑体" w:hAnsi="宋体" w:eastAsia="黑体" w:cs="黑体"/>
                <w:sz w:val="20"/>
                <w:szCs w:val="20"/>
              </w:rPr>
              <w:t xml:space="preserve">0</w:t>
            </w:r>
            <w:r/>
          </w:p>
        </w:tc>
        <w:tc>
          <w:tcPr>
            <w:tcBorders>
              <w:top w:val="none" w:color="000000" w:sz="4" w:space="0"/>
              <w:left w:val="single" w:color="000000" w:sz="8" w:space="0"/>
              <w:bottom w:val="single" w:color="000000" w:sz="8" w:space="0"/>
              <w:right w:val="single" w:color="000000" w:sz="8" w:space="0"/>
            </w:tcBorders>
            <w:tcMar>
              <w:left w:w="108" w:type="dxa"/>
              <w:right w:w="108" w:type="dxa"/>
            </w:tcMar>
            <w:tcW w:w="649" w:type="dxa"/>
            <w:vAlign w:val="center"/>
            <w:textDirection w:val="lrTb"/>
            <w:noWrap w:val="false"/>
          </w:tcPr>
          <w:p>
            <w:pPr>
              <w:pStyle w:val="661"/>
              <w:widowControl w:val="true"/>
              <w:pBdr/>
              <w:spacing/>
              <w:ind/>
              <w:jc w:val="center"/>
              <w:rPr/>
            </w:pPr>
            <w:r>
              <w:rPr>
                <w:rFonts w:ascii="黑体" w:hAnsi="宋体" w:eastAsia="黑体" w:cs="黑体"/>
                <w:sz w:val="20"/>
                <w:szCs w:val="20"/>
              </w:rPr>
              <w:t xml:space="preserve">0</w:t>
            </w:r>
            <w:r/>
          </w:p>
        </w:tc>
        <w:tc>
          <w:tcPr>
            <w:tcBorders>
              <w:top w:val="none" w:color="000000" w:sz="4" w:space="0"/>
              <w:left w:val="single" w:color="000000" w:sz="8" w:space="0"/>
              <w:bottom w:val="single" w:color="000000" w:sz="8" w:space="0"/>
              <w:right w:val="single" w:color="000000" w:sz="8" w:space="0"/>
            </w:tcBorders>
            <w:tcMar>
              <w:left w:w="108" w:type="dxa"/>
              <w:right w:w="108" w:type="dxa"/>
            </w:tcMar>
            <w:tcW w:w="649" w:type="dxa"/>
            <w:vAlign w:val="center"/>
            <w:textDirection w:val="lrTb"/>
            <w:noWrap w:val="false"/>
          </w:tcPr>
          <w:p>
            <w:pPr>
              <w:pStyle w:val="661"/>
              <w:widowControl w:val="true"/>
              <w:pBdr/>
              <w:spacing/>
              <w:ind/>
              <w:jc w:val="center"/>
              <w:rPr/>
            </w:pPr>
            <w:r>
              <w:rPr>
                <w:rFonts w:ascii="黑体" w:hAnsi="宋体" w:eastAsia="黑体" w:cs="黑体"/>
                <w:sz w:val="20"/>
                <w:szCs w:val="20"/>
              </w:rPr>
              <w:t xml:space="preserve">0</w:t>
            </w:r>
            <w:r/>
          </w:p>
        </w:tc>
        <w:tc>
          <w:tcPr>
            <w:tcBorders>
              <w:top w:val="none" w:color="000000" w:sz="4" w:space="0"/>
              <w:left w:val="single" w:color="000000" w:sz="8" w:space="0"/>
              <w:bottom w:val="single" w:color="000000" w:sz="8" w:space="0"/>
              <w:right w:val="single" w:color="000000" w:sz="8" w:space="0"/>
            </w:tcBorders>
            <w:tcMar>
              <w:left w:w="108" w:type="dxa"/>
              <w:right w:w="108" w:type="dxa"/>
            </w:tcMar>
            <w:tcW w:w="650" w:type="dxa"/>
            <w:vAlign w:val="center"/>
            <w:textDirection w:val="lrTb"/>
            <w:noWrap w:val="false"/>
          </w:tcPr>
          <w:p>
            <w:pPr>
              <w:pStyle w:val="661"/>
              <w:widowControl w:val="true"/>
              <w:pBdr/>
              <w:spacing/>
              <w:ind/>
              <w:jc w:val="center"/>
              <w:rPr/>
            </w:pPr>
            <w:r>
              <w:rPr>
                <w:rFonts w:ascii="黑体" w:hAnsi="宋体" w:eastAsia="黑体" w:cs="黑体"/>
                <w:sz w:val="20"/>
                <w:szCs w:val="20"/>
              </w:rPr>
              <w:t xml:space="preserve">0</w:t>
            </w:r>
            <w:r/>
          </w:p>
        </w:tc>
        <w:tc>
          <w:tcPr>
            <w:tcBorders>
              <w:top w:val="none" w:color="000000" w:sz="4" w:space="0"/>
              <w:left w:val="single" w:color="000000" w:sz="8" w:space="0"/>
              <w:bottom w:val="single" w:color="000000" w:sz="8" w:space="0"/>
              <w:right w:val="single" w:color="000000" w:sz="8" w:space="0"/>
            </w:tcBorders>
            <w:tcMar>
              <w:left w:w="108" w:type="dxa"/>
              <w:right w:w="108" w:type="dxa"/>
            </w:tcMar>
            <w:tcW w:w="650" w:type="dxa"/>
            <w:vAlign w:val="center"/>
            <w:textDirection w:val="lrTb"/>
            <w:noWrap w:val="false"/>
          </w:tcPr>
          <w:p>
            <w:pPr>
              <w:pStyle w:val="661"/>
              <w:widowControl w:val="true"/>
              <w:pBdr/>
              <w:spacing/>
              <w:ind/>
              <w:jc w:val="center"/>
              <w:rPr/>
            </w:pPr>
            <w:r>
              <w:rPr>
                <w:rFonts w:ascii="黑体" w:hAnsi="宋体" w:eastAsia="黑体" w:cs="黑体"/>
                <w:sz w:val="20"/>
                <w:szCs w:val="20"/>
              </w:rPr>
              <w:t xml:space="preserve">0</w:t>
            </w:r>
            <w:r/>
          </w:p>
        </w:tc>
        <w:tc>
          <w:tcPr>
            <w:tcBorders>
              <w:top w:val="none" w:color="000000" w:sz="4" w:space="0"/>
              <w:left w:val="single" w:color="000000" w:sz="8" w:space="0"/>
              <w:bottom w:val="single" w:color="000000" w:sz="8" w:space="0"/>
              <w:right w:val="single" w:color="000000" w:sz="8" w:space="0"/>
            </w:tcBorders>
            <w:tcMar>
              <w:left w:w="108" w:type="dxa"/>
              <w:right w:w="108" w:type="dxa"/>
            </w:tcMar>
            <w:tcW w:w="650" w:type="dxa"/>
            <w:vAlign w:val="center"/>
            <w:textDirection w:val="lrTb"/>
            <w:noWrap w:val="false"/>
          </w:tcPr>
          <w:p>
            <w:pPr>
              <w:pStyle w:val="661"/>
              <w:widowControl w:val="true"/>
              <w:pBdr/>
              <w:spacing/>
              <w:ind/>
              <w:jc w:val="center"/>
              <w:rPr/>
            </w:pPr>
            <w:r>
              <w:rPr>
                <w:rFonts w:ascii="黑体" w:hAnsi="宋体" w:eastAsia="黑体" w:cs="黑体"/>
                <w:sz w:val="20"/>
                <w:szCs w:val="20"/>
              </w:rPr>
              <w:t xml:space="preserve">0</w:t>
            </w:r>
            <w:r/>
          </w:p>
        </w:tc>
        <w:tc>
          <w:tcPr>
            <w:tcBorders>
              <w:top w:val="none" w:color="000000" w:sz="4" w:space="0"/>
              <w:left w:val="single" w:color="000000" w:sz="8" w:space="0"/>
              <w:bottom w:val="single" w:color="000000" w:sz="8" w:space="0"/>
              <w:right w:val="single" w:color="000000" w:sz="8" w:space="0"/>
            </w:tcBorders>
            <w:tcMar>
              <w:left w:w="108" w:type="dxa"/>
              <w:right w:w="108" w:type="dxa"/>
            </w:tcMar>
            <w:tcW w:w="651" w:type="dxa"/>
            <w:vAlign w:val="center"/>
            <w:textDirection w:val="lrTb"/>
            <w:noWrap w:val="false"/>
          </w:tcPr>
          <w:p>
            <w:pPr>
              <w:pStyle w:val="661"/>
              <w:widowControl w:val="true"/>
              <w:pBdr/>
              <w:spacing/>
              <w:ind/>
              <w:jc w:val="center"/>
              <w:rPr/>
            </w:pPr>
            <w:r>
              <w:rPr>
                <w:rFonts w:ascii="黑体" w:hAnsi="宋体" w:eastAsia="黑体" w:cs="黑体"/>
                <w:sz w:val="20"/>
                <w:szCs w:val="20"/>
              </w:rPr>
              <w:t xml:space="preserve">0</w:t>
            </w:r>
            <w:r/>
          </w:p>
        </w:tc>
        <w:tc>
          <w:tcPr>
            <w:tcBorders>
              <w:top w:val="none" w:color="000000" w:sz="4" w:space="0"/>
              <w:left w:val="single" w:color="000000" w:sz="8" w:space="0"/>
              <w:bottom w:val="single" w:color="000000" w:sz="8" w:space="0"/>
              <w:right w:val="single" w:color="000000" w:sz="8" w:space="0"/>
            </w:tcBorders>
            <w:tcMar>
              <w:left w:w="108" w:type="dxa"/>
              <w:right w:w="108" w:type="dxa"/>
            </w:tcMar>
            <w:tcW w:w="651" w:type="dxa"/>
            <w:vAlign w:val="center"/>
            <w:textDirection w:val="lrTb"/>
            <w:noWrap w:val="false"/>
          </w:tcPr>
          <w:p>
            <w:pPr>
              <w:pStyle w:val="661"/>
              <w:widowControl w:val="true"/>
              <w:pBdr/>
              <w:spacing/>
              <w:ind/>
              <w:jc w:val="center"/>
              <w:rPr/>
            </w:pPr>
            <w:r>
              <w:rPr>
                <w:rFonts w:ascii="黑体" w:hAnsi="宋体" w:eastAsia="黑体" w:cs="黑体"/>
                <w:sz w:val="20"/>
                <w:szCs w:val="20"/>
              </w:rPr>
              <w:t xml:space="preserve">0</w:t>
            </w:r>
            <w:r/>
          </w:p>
        </w:tc>
        <w:tc>
          <w:tcPr>
            <w:tcBorders>
              <w:top w:val="none" w:color="000000" w:sz="4" w:space="0"/>
              <w:left w:val="single" w:color="000000" w:sz="8" w:space="0"/>
              <w:bottom w:val="single" w:color="000000" w:sz="8" w:space="0"/>
              <w:right w:val="single" w:color="000000" w:sz="8" w:space="0"/>
            </w:tcBorders>
            <w:tcMar>
              <w:left w:w="108" w:type="dxa"/>
              <w:right w:w="108" w:type="dxa"/>
            </w:tcMar>
            <w:tcW w:w="651" w:type="dxa"/>
            <w:vAlign w:val="center"/>
            <w:textDirection w:val="lrTb"/>
            <w:noWrap w:val="false"/>
          </w:tcPr>
          <w:p>
            <w:pPr>
              <w:pStyle w:val="661"/>
              <w:widowControl w:val="true"/>
              <w:pBdr/>
              <w:spacing/>
              <w:ind/>
              <w:jc w:val="center"/>
              <w:rPr/>
            </w:pPr>
            <w:r>
              <w:rPr>
                <w:rFonts w:ascii="黑体" w:hAnsi="宋体" w:eastAsia="黑体" w:cs="黑体"/>
                <w:sz w:val="20"/>
                <w:szCs w:val="20"/>
              </w:rPr>
              <w:t xml:space="preserve">0</w:t>
            </w:r>
            <w:r/>
          </w:p>
        </w:tc>
        <w:tc>
          <w:tcPr>
            <w:tcBorders>
              <w:top w:val="none" w:color="000000" w:sz="4" w:space="0"/>
              <w:left w:val="single" w:color="000000" w:sz="8" w:space="0"/>
              <w:bottom w:val="single" w:color="000000" w:sz="8" w:space="0"/>
              <w:right w:val="single" w:color="000000" w:sz="8" w:space="0"/>
            </w:tcBorders>
            <w:tcMar>
              <w:left w:w="108" w:type="dxa"/>
              <w:right w:w="108" w:type="dxa"/>
            </w:tcMar>
            <w:tcW w:w="651" w:type="dxa"/>
            <w:vAlign w:val="center"/>
            <w:textDirection w:val="lrTb"/>
            <w:noWrap w:val="false"/>
          </w:tcPr>
          <w:p>
            <w:pPr>
              <w:pStyle w:val="661"/>
              <w:widowControl w:val="true"/>
              <w:pBdr/>
              <w:spacing/>
              <w:ind/>
              <w:jc w:val="center"/>
              <w:rPr/>
            </w:pPr>
            <w:r>
              <w:rPr>
                <w:rFonts w:ascii="黑体" w:hAnsi="宋体" w:eastAsia="黑体" w:cs="黑体"/>
                <w:sz w:val="20"/>
                <w:szCs w:val="20"/>
              </w:rPr>
              <w:t xml:space="preserve">0</w:t>
            </w:r>
            <w:r/>
          </w:p>
        </w:tc>
        <w:tc>
          <w:tcPr>
            <w:tcBorders>
              <w:top w:val="none" w:color="000000" w:sz="4" w:space="0"/>
              <w:left w:val="single" w:color="000000" w:sz="8" w:space="0"/>
              <w:bottom w:val="single" w:color="000000" w:sz="8" w:space="0"/>
              <w:right w:val="single" w:color="000000" w:sz="8" w:space="0"/>
            </w:tcBorders>
            <w:tcMar>
              <w:left w:w="108" w:type="dxa"/>
              <w:right w:w="108" w:type="dxa"/>
            </w:tcMar>
            <w:tcW w:w="651" w:type="dxa"/>
            <w:vAlign w:val="center"/>
            <w:textDirection w:val="lrTb"/>
            <w:noWrap w:val="false"/>
          </w:tcPr>
          <w:p>
            <w:pPr>
              <w:pStyle w:val="661"/>
              <w:widowControl w:val="true"/>
              <w:pBdr/>
              <w:spacing/>
              <w:ind/>
              <w:jc w:val="center"/>
              <w:rPr>
                <w:rFonts w:hint="eastAsia" w:ascii="宋体"/>
                <w:sz w:val="24"/>
                <w:szCs w:val="24"/>
              </w:rPr>
            </w:pPr>
            <w:r>
              <w:rPr>
                <w:rFonts w:ascii="黑体" w:hAnsi="宋体" w:eastAsia="黑体" w:cs="黑体"/>
                <w:sz w:val="20"/>
                <w:szCs w:val="20"/>
              </w:rPr>
              <w:t xml:space="preserve">0</w:t>
            </w:r>
            <w:r>
              <w:rPr>
                <w:rFonts w:hint="eastAsia" w:ascii="宋体"/>
                <w:sz w:val="24"/>
                <w:szCs w:val="24"/>
              </w:rPr>
            </w:r>
            <w:r>
              <w:rPr>
                <w:rFonts w:hint="eastAsia" w:ascii="宋体"/>
                <w:sz w:val="24"/>
                <w:szCs w:val="24"/>
              </w:rPr>
            </w:r>
          </w:p>
        </w:tc>
      </w:tr>
    </w:tbl>
    <w:p>
      <w:pPr>
        <w:pStyle w:val="661"/>
        <w:widowControl w:val="true"/>
        <w:pBdr/>
        <w:spacing/>
        <w:ind/>
        <w:jc w:val="left"/>
        <w:rPr/>
      </w:pPr>
      <w:r/>
      <w:r/>
    </w:p>
    <w:p>
      <w:pPr>
        <w:pStyle w:val="661"/>
        <w:widowControl w:val="true"/>
        <w:pBdr/>
        <w:spacing w:line="560" w:lineRule="exact"/>
        <w:ind w:firstLine="672"/>
        <w:jc w:val="left"/>
        <w:rPr>
          <w:rFonts w:ascii="宋体" w:hAnsi="宋体" w:cs="宋体"/>
          <w:spacing w:val="8"/>
          <w:sz w:val="24"/>
        </w:rPr>
      </w:pPr>
      <w:r>
        <w:rPr>
          <w:rFonts w:ascii="黑体" w:hAnsi="黑体" w:eastAsia="黑体" w:cs="宋体"/>
          <w:spacing w:val="8"/>
          <w:sz w:val="32"/>
          <w:szCs w:val="32"/>
        </w:rPr>
        <w:t xml:space="preserve">五、存在的主要问题及改进情况</w:t>
      </w:r>
      <w:r>
        <w:rPr>
          <w:rFonts w:ascii="宋体" w:hAnsi="宋体" w:cs="宋体"/>
          <w:spacing w:val="8"/>
          <w:sz w:val="24"/>
        </w:rPr>
      </w:r>
      <w:r>
        <w:rPr>
          <w:rFonts w:ascii="宋体" w:hAnsi="宋体" w:cs="宋体"/>
          <w:spacing w:val="8"/>
          <w:sz w:val="24"/>
        </w:rPr>
      </w:r>
    </w:p>
    <w:p>
      <w:pPr>
        <w:pStyle w:val="661"/>
        <w:widowControl w:val="true"/>
        <w:pBdr/>
        <w:spacing w:line="560" w:lineRule="exact"/>
        <w:ind w:firstLine="675"/>
        <w:jc w:val="left"/>
        <w:rPr>
          <w:rFonts w:hint="eastAsia" w:ascii="仿宋_GB2312" w:hAnsi="宋体" w:eastAsia="仿宋_GB2312" w:cs="宋体"/>
          <w:spacing w:val="8"/>
          <w:sz w:val="32"/>
          <w:szCs w:val="32"/>
        </w:rPr>
      </w:pPr>
      <w:r>
        <w:rPr>
          <w:rFonts w:hint="eastAsia" w:ascii="仿宋_GB2312" w:hAnsi="宋体" w:eastAsia="仿宋_GB2312" w:cs="宋体"/>
          <w:spacing w:val="8"/>
          <w:sz w:val="32"/>
          <w:szCs w:val="32"/>
        </w:rPr>
        <w:t xml:space="preserve">2</w:t>
      </w:r>
      <w:r>
        <w:rPr>
          <w:rFonts w:ascii="仿宋_GB2312" w:hAnsi="宋体" w:eastAsia="仿宋_GB2312" w:cs="宋体"/>
          <w:spacing w:val="8"/>
          <w:sz w:val="32"/>
          <w:szCs w:val="32"/>
        </w:rPr>
        <w:t xml:space="preserve">021</w:t>
      </w:r>
      <w:r>
        <w:rPr>
          <w:rFonts w:hint="eastAsia" w:ascii="仿宋_GB2312" w:hAnsi="宋体" w:eastAsia="仿宋_GB2312" w:cs="宋体"/>
          <w:spacing w:val="8"/>
          <w:sz w:val="32"/>
          <w:szCs w:val="32"/>
        </w:rPr>
        <w:t xml:space="preserve">年区教委</w:t>
      </w:r>
      <w:r>
        <w:rPr>
          <w:rFonts w:ascii="仿宋_GB2312" w:hAnsi="宋体" w:eastAsia="仿宋_GB2312" w:cs="宋体"/>
          <w:spacing w:val="8"/>
          <w:sz w:val="32"/>
          <w:szCs w:val="32"/>
        </w:rPr>
        <w:t xml:space="preserve">政</w:t>
      </w:r>
      <w:r>
        <w:rPr>
          <w:rFonts w:hint="eastAsia" w:ascii="仿宋_GB2312" w:hAnsi="宋体" w:eastAsia="仿宋_GB2312" w:cs="宋体"/>
          <w:spacing w:val="8"/>
          <w:sz w:val="32"/>
          <w:szCs w:val="32"/>
        </w:rPr>
        <w:t xml:space="preserve">府</w:t>
      </w:r>
      <w:r>
        <w:rPr>
          <w:rFonts w:ascii="仿宋_GB2312" w:hAnsi="宋体" w:eastAsia="仿宋_GB2312" w:cs="宋体"/>
          <w:spacing w:val="8"/>
          <w:sz w:val="32"/>
          <w:szCs w:val="32"/>
        </w:rPr>
        <w:t xml:space="preserve">信息公开工作虽然取得了明显成效，但也还存在一些主要问题：</w:t>
      </w:r>
      <w:r>
        <w:rPr>
          <w:rFonts w:hint="eastAsia" w:ascii="仿宋_GB2312" w:hAnsi="宋体" w:eastAsia="仿宋_GB2312" w:cs="宋体"/>
          <w:spacing w:val="8"/>
          <w:sz w:val="32"/>
          <w:szCs w:val="32"/>
        </w:rPr>
        <w:t xml:space="preserve">一是各</w:t>
      </w:r>
      <w:r>
        <w:rPr>
          <w:rFonts w:hint="eastAsia" w:ascii="仿宋_GB2312" w:hAnsi="宋体" w:eastAsia="仿宋_GB2312" w:cs="宋体"/>
          <w:spacing w:val="8"/>
          <w:sz w:val="32"/>
          <w:szCs w:val="32"/>
        </w:rPr>
        <w:t xml:space="preserve">科</w:t>
      </w:r>
      <w:r>
        <w:rPr>
          <w:rFonts w:hint="eastAsia" w:ascii="仿宋_GB2312" w:hAnsi="宋体" w:eastAsia="仿宋_GB2312" w:cs="宋体"/>
          <w:spacing w:val="8"/>
          <w:sz w:val="32"/>
          <w:szCs w:val="32"/>
        </w:rPr>
        <w:t xml:space="preserve">室工作人员的政府信息主动公开意识有待提高；二是信息公开报送的及时性有待加强；三是信息公开的内容有待进一步完善和加强。</w:t>
      </w:r>
      <w:r>
        <w:rPr>
          <w:rFonts w:hint="eastAsia" w:ascii="仿宋_GB2312" w:hAnsi="宋体" w:eastAsia="仿宋_GB2312" w:cs="宋体"/>
          <w:spacing w:val="8"/>
          <w:sz w:val="32"/>
          <w:szCs w:val="32"/>
        </w:rPr>
      </w:r>
    </w:p>
    <w:p>
      <w:pPr>
        <w:pStyle w:val="661"/>
        <w:widowControl w:val="true"/>
        <w:pBdr/>
        <w:spacing w:line="560" w:lineRule="exact"/>
        <w:ind w:firstLine="675"/>
        <w:jc w:val="left"/>
        <w:rPr>
          <w:rFonts w:hint="eastAsia" w:ascii="仿宋_GB2312" w:hAnsi="宋体" w:eastAsia="仿宋_GB2312" w:cs="宋体"/>
          <w:spacing w:val="8"/>
          <w:sz w:val="32"/>
          <w:szCs w:val="32"/>
        </w:rPr>
      </w:pPr>
      <w:r>
        <w:rPr>
          <w:rFonts w:ascii="仿宋_GB2312" w:hAnsi="宋体" w:eastAsia="仿宋_GB2312" w:cs="宋体"/>
          <w:spacing w:val="8"/>
          <w:sz w:val="32"/>
          <w:szCs w:val="32"/>
        </w:rPr>
        <w:t xml:space="preserve">改进情况：</w:t>
      </w:r>
      <w:r>
        <w:rPr>
          <w:rFonts w:hint="eastAsia" w:ascii="仿宋_GB2312" w:hAnsi="宋体" w:eastAsia="仿宋_GB2312" w:cs="宋体"/>
          <w:spacing w:val="8"/>
          <w:sz w:val="32"/>
          <w:szCs w:val="32"/>
        </w:rPr>
        <w:t xml:space="preserve">一是进一步规范工作流程。梳理整合机关</w:t>
      </w:r>
      <w:r>
        <w:rPr>
          <w:rFonts w:hint="eastAsia" w:ascii="仿宋_GB2312" w:hAnsi="宋体" w:eastAsia="仿宋_GB2312" w:cs="宋体"/>
          <w:spacing w:val="8"/>
          <w:sz w:val="32"/>
          <w:szCs w:val="32"/>
        </w:rPr>
        <w:t xml:space="preserve">所掌握的政府信息，</w:t>
      </w:r>
      <w:r>
        <w:rPr>
          <w:rFonts w:hint="eastAsia" w:ascii="仿宋_GB2312" w:hAnsi="宋体" w:eastAsia="仿宋_GB2312" w:cs="宋体"/>
          <w:spacing w:val="8"/>
          <w:sz w:val="32"/>
          <w:szCs w:val="32"/>
        </w:rPr>
        <w:t xml:space="preserve">做到</w:t>
      </w:r>
      <w:r>
        <w:rPr>
          <w:rFonts w:hint="eastAsia" w:ascii="仿宋_GB2312" w:hAnsi="宋体" w:eastAsia="仿宋_GB2312" w:cs="宋体"/>
          <w:spacing w:val="8"/>
          <w:sz w:val="32"/>
          <w:szCs w:val="32"/>
        </w:rPr>
        <w:t xml:space="preserve">及时提供，定期维护，确保政府信息公开工作能按照既定的工作流程有效运作，公众能够方便查询。</w:t>
      </w:r>
      <w:r>
        <w:rPr>
          <w:rFonts w:hint="eastAsia" w:ascii="仿宋_GB2312" w:hAnsi="宋体" w:eastAsia="仿宋_GB2312" w:cs="宋体"/>
          <w:spacing w:val="8"/>
          <w:sz w:val="32"/>
          <w:szCs w:val="32"/>
        </w:rPr>
      </w:r>
    </w:p>
    <w:p>
      <w:pPr>
        <w:pStyle w:val="661"/>
        <w:widowControl w:val="true"/>
        <w:pBdr/>
        <w:spacing w:line="560" w:lineRule="exact"/>
        <w:ind w:firstLine="675"/>
        <w:jc w:val="left"/>
        <w:rPr>
          <w:rFonts w:hint="eastAsia" w:ascii="仿宋_GB2312" w:hAnsi="宋体" w:eastAsia="仿宋_GB2312" w:cs="宋体"/>
          <w:spacing w:val="8"/>
          <w:sz w:val="32"/>
          <w:szCs w:val="32"/>
        </w:rPr>
      </w:pPr>
      <w:r>
        <w:rPr>
          <w:rFonts w:hint="eastAsia" w:ascii="仿宋_GB2312" w:hAnsi="宋体" w:eastAsia="仿宋_GB2312" w:cs="宋体"/>
          <w:spacing w:val="8"/>
          <w:sz w:val="32"/>
          <w:szCs w:val="32"/>
        </w:rPr>
        <w:t xml:space="preserve">二是进一步扩大公开内容。认真梳理各类信息，对信息公开</w:t>
      </w:r>
      <w:r>
        <w:rPr>
          <w:rFonts w:hint="eastAsia" w:ascii="仿宋_GB2312" w:hAnsi="宋体" w:eastAsia="仿宋_GB2312" w:cs="宋体"/>
          <w:spacing w:val="8"/>
          <w:sz w:val="32"/>
          <w:szCs w:val="32"/>
        </w:rPr>
        <w:t xml:space="preserve">内容</w:t>
      </w:r>
      <w:r>
        <w:rPr>
          <w:rFonts w:hint="eastAsia" w:ascii="仿宋_GB2312" w:hAnsi="宋体" w:eastAsia="仿宋_GB2312" w:cs="宋体"/>
          <w:spacing w:val="8"/>
          <w:sz w:val="32"/>
          <w:szCs w:val="32"/>
        </w:rPr>
        <w:t xml:space="preserve">进行补充完善，保证公开信息的系统性、准确性。进一步做好招生考试、教师招聘、</w:t>
      </w:r>
      <w:r>
        <w:rPr>
          <w:rFonts w:hint="eastAsia" w:ascii="仿宋_GB2312" w:hAnsi="宋体" w:eastAsia="仿宋_GB2312" w:cs="宋体"/>
          <w:spacing w:val="8"/>
          <w:sz w:val="32"/>
          <w:szCs w:val="32"/>
        </w:rPr>
        <w:t xml:space="preserve">学位保障、教育均衡发展</w:t>
      </w:r>
      <w:r>
        <w:rPr>
          <w:rFonts w:hint="eastAsia" w:ascii="仿宋_GB2312" w:hAnsi="宋体" w:eastAsia="仿宋_GB2312" w:cs="宋体"/>
          <w:spacing w:val="8"/>
          <w:sz w:val="32"/>
          <w:szCs w:val="32"/>
        </w:rPr>
        <w:t xml:space="preserve">等事项的公开工作。</w:t>
      </w:r>
      <w:r>
        <w:rPr>
          <w:rFonts w:hint="eastAsia" w:ascii="仿宋_GB2312" w:hAnsi="宋体" w:eastAsia="仿宋_GB2312" w:cs="宋体"/>
          <w:spacing w:val="8"/>
          <w:sz w:val="32"/>
          <w:szCs w:val="32"/>
        </w:rPr>
      </w:r>
    </w:p>
    <w:p>
      <w:pPr>
        <w:pStyle w:val="661"/>
        <w:widowControl w:val="true"/>
        <w:pBdr/>
        <w:spacing w:line="560" w:lineRule="exact"/>
        <w:ind w:firstLine="675"/>
        <w:jc w:val="left"/>
        <w:rPr>
          <w:rFonts w:hint="eastAsia" w:ascii="仿宋_GB2312" w:hAnsi="宋体" w:eastAsia="仿宋_GB2312" w:cs="宋体"/>
          <w:spacing w:val="8"/>
          <w:sz w:val="32"/>
          <w:szCs w:val="32"/>
        </w:rPr>
      </w:pPr>
      <w:r>
        <w:rPr>
          <w:rFonts w:hint="eastAsia" w:ascii="仿宋_GB2312" w:hAnsi="宋体" w:eastAsia="仿宋_GB2312" w:cs="宋体"/>
          <w:spacing w:val="8"/>
          <w:sz w:val="32"/>
          <w:szCs w:val="32"/>
        </w:rPr>
        <w:t xml:space="preserve">三是进一步提高信息公开服务功能。充实信息公开内容，突出重点、热点和难点问题。把群众最关心、反应最强烈的事项作为政府信息公开的主要内容，切实发挥好信息公开平台的主渠道作用。</w:t>
      </w:r>
      <w:r>
        <w:rPr>
          <w:rFonts w:hint="eastAsia" w:ascii="仿宋_GB2312" w:hAnsi="宋体" w:eastAsia="仿宋_GB2312" w:cs="宋体"/>
          <w:spacing w:val="8"/>
          <w:sz w:val="32"/>
          <w:szCs w:val="32"/>
        </w:rPr>
      </w:r>
    </w:p>
    <w:p>
      <w:pPr>
        <w:pStyle w:val="661"/>
        <w:widowControl w:val="true"/>
        <w:pBdr/>
        <w:spacing w:line="560" w:lineRule="exact"/>
        <w:ind w:firstLine="675"/>
        <w:jc w:val="left"/>
        <w:rPr>
          <w:rFonts w:ascii="黑体" w:hAnsi="黑体" w:eastAsia="黑体" w:cs="宋体"/>
          <w:spacing w:val="8"/>
          <w:sz w:val="32"/>
          <w:szCs w:val="32"/>
        </w:rPr>
      </w:pPr>
      <w:r>
        <w:rPr>
          <w:rFonts w:ascii="黑体" w:hAnsi="黑体" w:eastAsia="黑体" w:cs="宋体"/>
          <w:spacing w:val="8"/>
          <w:sz w:val="32"/>
          <w:szCs w:val="32"/>
        </w:rPr>
        <w:t xml:space="preserve">六、其他需要报告的事项</w:t>
      </w:r>
      <w:r>
        <w:rPr>
          <w:rFonts w:ascii="黑体" w:hAnsi="黑体" w:eastAsia="黑体" w:cs="宋体"/>
          <w:spacing w:val="8"/>
          <w:sz w:val="32"/>
          <w:szCs w:val="32"/>
        </w:rPr>
      </w:r>
    </w:p>
    <w:p>
      <w:pPr>
        <w:pStyle w:val="661"/>
        <w:widowControl w:val="true"/>
        <w:pBdr/>
        <w:shd w:val="clear" w:color="auto" w:fill="ffffff"/>
        <w:spacing w:line="560" w:lineRule="exact"/>
        <w:ind w:firstLine="640"/>
        <w:rPr>
          <w:rFonts w:hint="eastAsia" w:ascii="仿宋_GB2312" w:hAnsi="微软雅黑" w:eastAsia="仿宋_GB2312"/>
          <w:color w:val="0f0f0f"/>
          <w:sz w:val="32"/>
          <w:szCs w:val="32"/>
        </w:rPr>
      </w:pPr>
      <w:r>
        <w:rPr>
          <w:rFonts w:hint="eastAsia" w:ascii="仿宋_GB2312" w:hAnsi="微软雅黑" w:eastAsia="仿宋_GB2312"/>
          <w:color w:val="0f0f0f"/>
          <w:sz w:val="32"/>
          <w:szCs w:val="32"/>
        </w:rPr>
        <w:t xml:space="preserve">本报告所列数据的统计期限,自202</w:t>
      </w:r>
      <w:r>
        <w:rPr>
          <w:rFonts w:ascii="仿宋_GB2312" w:hAnsi="微软雅黑" w:eastAsia="仿宋_GB2312"/>
          <w:color w:val="0f0f0f"/>
          <w:sz w:val="32"/>
          <w:szCs w:val="32"/>
        </w:rPr>
        <w:t xml:space="preserve">1</w:t>
      </w:r>
      <w:r>
        <w:rPr>
          <w:rFonts w:hint="eastAsia" w:ascii="仿宋_GB2312" w:hAnsi="微软雅黑" w:eastAsia="仿宋_GB2312"/>
          <w:color w:val="0f0f0f"/>
          <w:sz w:val="32"/>
          <w:szCs w:val="32"/>
        </w:rPr>
        <w:t xml:space="preserve">年1月1日起至12月31日止。</w:t>
      </w:r>
      <w:r>
        <w:rPr>
          <w:rFonts w:hint="eastAsia" w:ascii="仿宋_GB2312" w:hAnsi="微软雅黑" w:eastAsia="仿宋_GB2312"/>
          <w:color w:val="0f0f0f"/>
          <w:sz w:val="32"/>
          <w:szCs w:val="32"/>
        </w:rPr>
        <w:t xml:space="preserve">依据《政府信息公开信息处理费管理办法》</w:t>
      </w:r>
      <w:r>
        <w:rPr>
          <w:rFonts w:hint="eastAsia" w:ascii="仿宋_GB2312" w:hAnsi="微软雅黑" w:eastAsia="仿宋_GB2312"/>
          <w:color w:val="0f0f0f"/>
          <w:sz w:val="32"/>
          <w:szCs w:val="32"/>
        </w:rPr>
        <w:t xml:space="preserve">，</w:t>
      </w:r>
      <w:r>
        <w:rPr>
          <w:rFonts w:hint="eastAsia" w:ascii="仿宋_GB2312" w:hAnsi="微软雅黑" w:eastAsia="仿宋_GB2312"/>
          <w:color w:val="0f0f0f"/>
          <w:sz w:val="32"/>
          <w:szCs w:val="32"/>
        </w:rPr>
        <w:t xml:space="preserve">2</w:t>
      </w:r>
      <w:r>
        <w:rPr>
          <w:rFonts w:ascii="仿宋_GB2312" w:hAnsi="微软雅黑" w:eastAsia="仿宋_GB2312"/>
          <w:color w:val="0f0f0f"/>
          <w:sz w:val="32"/>
          <w:szCs w:val="32"/>
        </w:rPr>
        <w:t xml:space="preserve">021</w:t>
      </w:r>
      <w:r>
        <w:rPr>
          <w:rFonts w:hint="eastAsia" w:ascii="仿宋_GB2312" w:hAnsi="微软雅黑" w:eastAsia="仿宋_GB2312"/>
          <w:color w:val="0f0f0f"/>
          <w:sz w:val="32"/>
          <w:szCs w:val="32"/>
        </w:rPr>
        <w:t xml:space="preserve">年度未</w:t>
      </w:r>
      <w:r>
        <w:rPr>
          <w:rFonts w:hint="eastAsia" w:ascii="仿宋_GB2312" w:hAnsi="微软雅黑" w:eastAsia="仿宋_GB2312"/>
          <w:color w:val="0f0f0f"/>
          <w:sz w:val="32"/>
          <w:szCs w:val="32"/>
        </w:rPr>
        <w:t xml:space="preserve">收取信息处理费</w:t>
      </w:r>
      <w:r>
        <w:rPr>
          <w:rFonts w:hint="eastAsia" w:ascii="仿宋_GB2312" w:hAnsi="微软雅黑" w:eastAsia="仿宋_GB2312"/>
          <w:color w:val="0f0f0f"/>
          <w:sz w:val="32"/>
          <w:szCs w:val="32"/>
        </w:rPr>
        <w:t xml:space="preserve">。</w:t>
      </w:r>
      <w:r>
        <w:rPr>
          <w:rFonts w:hint="eastAsia" w:ascii="仿宋_GB2312" w:hAnsi="微软雅黑" w:eastAsia="仿宋_GB2312"/>
          <w:color w:val="0f0f0f"/>
          <w:sz w:val="32"/>
          <w:szCs w:val="32"/>
        </w:rPr>
        <w:t xml:space="preserve">如需了解更多政府信息，请登录西城区人民政府网站查询，网址为</w:t>
      </w:r>
      <w:r>
        <w:rPr>
          <w:rFonts w:hint="eastAsia" w:ascii="仿宋_GB2312" w:hAnsi="微软雅黑" w:eastAsia="仿宋_GB2312"/>
          <w:color w:val="0f0f0f"/>
          <w:sz w:val="32"/>
          <w:szCs w:val="32"/>
        </w:rPr>
        <w:t xml:space="preserve">http://www.bjxch.gov.cn/</w:t>
      </w:r>
      <w:r>
        <w:rPr>
          <w:rFonts w:hint="eastAsia" w:ascii="仿宋_GB2312" w:hAnsi="微软雅黑" w:eastAsia="仿宋_GB2312"/>
          <w:color w:val="0f0f0f"/>
          <w:sz w:val="32"/>
          <w:szCs w:val="32"/>
        </w:rPr>
        <w:t xml:space="preserve">。</w:t>
      </w:r>
      <w:r>
        <w:rPr>
          <w:rFonts w:hint="eastAsia" w:ascii="仿宋_GB2312" w:hAnsi="微软雅黑" w:eastAsia="仿宋_GB2312"/>
          <w:color w:val="0f0f0f"/>
          <w:sz w:val="32"/>
          <w:szCs w:val="32"/>
        </w:rPr>
      </w:r>
    </w:p>
    <w:sectPr>
      <w:footerReference w:type="default" r:id="rId9"/>
      <w:footnotePr/>
      <w:endnotePr/>
      <w:type w:val="nextPage"/>
      <w:pgSz w:h="16838" w:orient="landscape" w:w="11906"/>
      <w:pgMar w:top="1440" w:right="1800" w:bottom="1440" w:left="1800" w:header="851" w:footer="992"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font>
  <w:font w:name="仿宋_GB2312">
    <w:panose1 w:val="02010609030101010101"/>
  </w:font>
  <w:font w:name="方正小标宋简体">
    <w:panose1 w:val="03000509000000000000"/>
  </w:font>
  <w:font w:name="Symbol">
    <w:panose1 w:val="05050102010706020507"/>
  </w:font>
  <w:font w:name="Wingdings">
    <w:panose1 w:val="05000000000000000000"/>
  </w:font>
  <w:font w:name="仿宋">
    <w:panose1 w:val="02010609060101010101"/>
  </w:font>
  <w:font w:name="楷体_GB2312">
    <w:panose1 w:val="02010609030101010101"/>
  </w:font>
  <w:font w:name="黑体">
    <w:panose1 w:val="02010609060101010101"/>
  </w:font>
  <w:font w:name="Tahoma">
    <w:panose1 w:val="020B0604030504040204"/>
  </w:font>
  <w:font w:name="微软雅黑">
    <w:panose1 w:val="020B0503020204020204"/>
  </w:font>
  <w:font w:name="Arial">
    <w:panose1 w:val="020B0604020202020204"/>
  </w:font>
  <w:font w:name="Calibri">
    <w:panose1 w:val="020F0502020204030204"/>
  </w:font>
  <w:font w:name="等线">
    <w:panose1 w:val="02010600030101010101"/>
  </w:font>
  <w:font w:name="宋体">
    <w:panose1 w:val="02010600030101010101"/>
  </w:font>
  <w:font w:name="Courier New">
    <w:panose1 w:val="020703090202050204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7"/>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Pr id="0" name=""/>
                    <wps:cNvSpPr/>
                    <wps:spPr bwMode="auto">
                      <a:xfrm>
                        <a:off x="0" y="0"/>
                        <a:ext cx="1828800" cy="1828800"/>
                      </a:xfrm>
                      <a:prstGeom prst="rect">
                        <a:avLst/>
                      </a:prstGeom>
                      <a:noFill/>
                      <a:ln>
                        <a:noFill/>
                      </a:ln>
                    </wps:spPr>
                    <wps:txbx>
                      <w:txbxContent>
                        <w:p>
                          <w:pPr>
                            <w:pStyle w:val="661"/>
                            <w:pBdr/>
                            <w:spacing/>
                            <w:ind/>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xml:space="preserve">6</w:t>
                          </w:r>
                          <w:r>
                            <w:rPr>
                              <w:rFonts w:hint="eastAsia"/>
                              <w:sz w:val="18"/>
                            </w:rPr>
                            <w:fldChar w:fldCharType="end"/>
                          </w:r>
                          <w:r>
                            <w:rPr>
                              <w:sz w:val="18"/>
                            </w:rPr>
                          </w:r>
                          <w:r>
                            <w:rPr>
                              <w:sz w:val="18"/>
                            </w:rPr>
                          </w:r>
                        </w:p>
                        <w:p>
                          <w:pPr>
                            <w:pStyle w:val="661"/>
                            <w:pBdr/>
                            <w:spacing/>
                            <w:ind/>
                            <w:rPr/>
                          </w:pPr>
                          <w:r/>
                          <w:r/>
                        </w:p>
                      </w:txbxContent>
                    </wps:txbx>
                    <wps:bodyPr wrap="none" lIns="0" tIns="0" rIns="0" bIns="0" upright="1">
                      <a:spAutoFit/>
                    </wps:bodyPr>
                  </wps:wsp>
                </a:graphicData>
              </a:graphic>
            </wp:anchor>
          </w:drawing>
        </mc:Choice>
        <mc:Fallback>
          <w:pict>
            <v:shape id="shape 0" o:spid="_x0000_s0" o:spt="1" type="#_x0000_t1" style="position:absolute;z-index:524288;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661"/>
                      <w:pBdr/>
                      <w:spacing/>
                      <w:ind/>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xml:space="preserve">6</w:t>
                    </w:r>
                    <w:r>
                      <w:rPr>
                        <w:rFonts w:hint="eastAsia"/>
                        <w:sz w:val="18"/>
                      </w:rPr>
                      <w:fldChar w:fldCharType="end"/>
                    </w:r>
                    <w:r>
                      <w:rPr>
                        <w:sz w:val="18"/>
                      </w:rPr>
                    </w:r>
                    <w:r>
                      <w:rPr>
                        <w:sz w:val="18"/>
                      </w:rPr>
                    </w:r>
                  </w:p>
                  <w:p>
                    <w:pPr>
                      <w:pStyle w:val="661"/>
                      <w:pBdr/>
                      <w:spacing/>
                      <w:ind/>
                      <w:rPr/>
                    </w:pPr>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rFonts w:hint="eastAsia"/>
      </w:rPr>
      <w:start w:val="4"/>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chineseCounting"/>
      <w:pPr>
        <w:pBdr/>
        <w:spacing/>
        <w:ind/>
      </w:pPr>
      <w:rPr>
        <w:rFonts w:hint="eastAsia"/>
      </w:rPr>
      <w:start w:val="2"/>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japaneseCounting"/>
      <w:pPr>
        <w:pBdr/>
        <w:spacing/>
        <w:ind w:hanging="720" w:left="1392"/>
      </w:pPr>
      <w:rPr/>
      <w:start w:val="1"/>
      <w:suff w:val="space"/>
    </w:lvl>
    <w:lvl w:ilvl="1">
      <w:isLgl w:val="false"/>
      <w:lvlJc w:val="left"/>
      <w:lvlText w:val="%2)"/>
      <w:numFmt w:val="lowerLetter"/>
      <w:pPr>
        <w:pBdr/>
        <w:spacing/>
        <w:ind w:hanging="420" w:left="1512"/>
      </w:pPr>
      <w:rPr/>
      <w:start w:val="1"/>
      <w:suff w:val="space"/>
    </w:lvl>
    <w:lvl w:ilvl="2">
      <w:isLgl w:val="false"/>
      <w:lvlJc w:val="right"/>
      <w:lvlText w:val="%3."/>
      <w:numFmt w:val="lowerRoman"/>
      <w:pPr>
        <w:pBdr/>
        <w:spacing/>
        <w:ind w:hanging="420" w:left="1932"/>
      </w:pPr>
      <w:rPr/>
      <w:start w:val="1"/>
      <w:suff w:val="space"/>
    </w:lvl>
    <w:lvl w:ilvl="3">
      <w:isLgl w:val="false"/>
      <w:lvlJc w:val="left"/>
      <w:lvlText w:val="%4."/>
      <w:numFmt w:val="decimal"/>
      <w:pPr>
        <w:pBdr/>
        <w:spacing/>
        <w:ind w:hanging="420" w:left="2352"/>
      </w:pPr>
      <w:rPr/>
      <w:start w:val="1"/>
      <w:suff w:val="space"/>
    </w:lvl>
    <w:lvl w:ilvl="4">
      <w:isLgl w:val="false"/>
      <w:lvlJc w:val="left"/>
      <w:lvlText w:val="%5)"/>
      <w:numFmt w:val="lowerLetter"/>
      <w:pPr>
        <w:pBdr/>
        <w:spacing/>
        <w:ind w:hanging="420" w:left="2772"/>
      </w:pPr>
      <w:rPr/>
      <w:start w:val="1"/>
      <w:suff w:val="space"/>
    </w:lvl>
    <w:lvl w:ilvl="5">
      <w:isLgl w:val="false"/>
      <w:lvlJc w:val="right"/>
      <w:lvlText w:val="%6."/>
      <w:numFmt w:val="lowerRoman"/>
      <w:pPr>
        <w:pBdr/>
        <w:spacing/>
        <w:ind w:hanging="420" w:left="3192"/>
      </w:pPr>
      <w:rPr/>
      <w:start w:val="1"/>
      <w:suff w:val="space"/>
    </w:lvl>
    <w:lvl w:ilvl="6">
      <w:isLgl w:val="false"/>
      <w:lvlJc w:val="left"/>
      <w:lvlText w:val="%7."/>
      <w:numFmt w:val="decimal"/>
      <w:pPr>
        <w:pBdr/>
        <w:spacing/>
        <w:ind w:hanging="420" w:left="3612"/>
      </w:pPr>
      <w:rPr/>
      <w:start w:val="1"/>
      <w:suff w:val="space"/>
    </w:lvl>
    <w:lvl w:ilvl="7">
      <w:isLgl w:val="false"/>
      <w:lvlJc w:val="left"/>
      <w:lvlText w:val="%8)"/>
      <w:numFmt w:val="lowerLetter"/>
      <w:pPr>
        <w:pBdr/>
        <w:spacing/>
        <w:ind w:hanging="420" w:left="4032"/>
      </w:pPr>
      <w:rPr/>
      <w:start w:val="1"/>
      <w:suff w:val="space"/>
    </w:lvl>
    <w:lvl w:ilvl="8">
      <w:isLgl w:val="false"/>
      <w:lvlJc w:val="right"/>
      <w:lvlText w:val="%9."/>
      <w:numFmt w:val="lowerRoman"/>
      <w:pPr>
        <w:pBdr/>
        <w:spacing/>
        <w:ind w:hanging="420" w:left="4452"/>
      </w:pPr>
      <w:rPr/>
      <w:start w:val="1"/>
      <w:suff w:val="space"/>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1"/>
    <w:next w:val="661"/>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61"/>
    <w:next w:val="661"/>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61"/>
    <w:next w:val="661"/>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61"/>
    <w:next w:val="661"/>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61"/>
    <w:next w:val="661"/>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61"/>
    <w:next w:val="661"/>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61"/>
    <w:next w:val="661"/>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61"/>
    <w:next w:val="661"/>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61"/>
    <w:next w:val="661"/>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61"/>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61"/>
    <w:next w:val="661"/>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61"/>
    <w:next w:val="661"/>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61"/>
    <w:next w:val="661"/>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61"/>
    <w:next w:val="661"/>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61"/>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61"/>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61"/>
    <w:next w:val="661"/>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6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6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61"/>
    <w:next w:val="661"/>
    <w:uiPriority w:val="39"/>
    <w:unhideWhenUsed/>
    <w:pPr>
      <w:pBdr/>
      <w:spacing w:after="57"/>
      <w:ind w:right="0" w:firstLine="0" w:left="0"/>
    </w:pPr>
  </w:style>
  <w:style w:type="paragraph" w:styleId="182">
    <w:name w:val="toc 2"/>
    <w:basedOn w:val="661"/>
    <w:next w:val="661"/>
    <w:uiPriority w:val="39"/>
    <w:unhideWhenUsed/>
    <w:pPr>
      <w:pBdr/>
      <w:spacing w:after="57"/>
      <w:ind w:right="0" w:firstLine="0" w:left="283"/>
    </w:pPr>
  </w:style>
  <w:style w:type="paragraph" w:styleId="183">
    <w:name w:val="toc 3"/>
    <w:basedOn w:val="661"/>
    <w:next w:val="661"/>
    <w:uiPriority w:val="39"/>
    <w:unhideWhenUsed/>
    <w:pPr>
      <w:pBdr/>
      <w:spacing w:after="57"/>
      <w:ind w:right="0" w:firstLine="0" w:left="567"/>
    </w:pPr>
  </w:style>
  <w:style w:type="paragraph" w:styleId="184">
    <w:name w:val="toc 4"/>
    <w:basedOn w:val="661"/>
    <w:next w:val="661"/>
    <w:uiPriority w:val="39"/>
    <w:unhideWhenUsed/>
    <w:pPr>
      <w:pBdr/>
      <w:spacing w:after="57"/>
      <w:ind w:right="0" w:firstLine="0" w:left="850"/>
    </w:pPr>
  </w:style>
  <w:style w:type="paragraph" w:styleId="185">
    <w:name w:val="toc 5"/>
    <w:basedOn w:val="661"/>
    <w:next w:val="661"/>
    <w:uiPriority w:val="39"/>
    <w:unhideWhenUsed/>
    <w:pPr>
      <w:pBdr/>
      <w:spacing w:after="57"/>
      <w:ind w:right="0" w:firstLine="0" w:left="1134"/>
    </w:pPr>
  </w:style>
  <w:style w:type="paragraph" w:styleId="186">
    <w:name w:val="toc 6"/>
    <w:basedOn w:val="661"/>
    <w:next w:val="661"/>
    <w:uiPriority w:val="39"/>
    <w:unhideWhenUsed/>
    <w:pPr>
      <w:pBdr/>
      <w:spacing w:after="57"/>
      <w:ind w:right="0" w:firstLine="0" w:left="1417"/>
    </w:pPr>
  </w:style>
  <w:style w:type="paragraph" w:styleId="187">
    <w:name w:val="toc 7"/>
    <w:basedOn w:val="661"/>
    <w:next w:val="661"/>
    <w:uiPriority w:val="39"/>
    <w:unhideWhenUsed/>
    <w:pPr>
      <w:pBdr/>
      <w:spacing w:after="57"/>
      <w:ind w:right="0" w:firstLine="0" w:left="1701"/>
    </w:pPr>
  </w:style>
  <w:style w:type="paragraph" w:styleId="188">
    <w:name w:val="toc 8"/>
    <w:basedOn w:val="661"/>
    <w:next w:val="661"/>
    <w:uiPriority w:val="39"/>
    <w:unhideWhenUsed/>
    <w:pPr>
      <w:pBdr/>
      <w:spacing w:after="57"/>
      <w:ind w:right="0" w:firstLine="0" w:left="1984"/>
    </w:pPr>
  </w:style>
  <w:style w:type="paragraph" w:styleId="189">
    <w:name w:val="toc 9"/>
    <w:basedOn w:val="661"/>
    <w:next w:val="661"/>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61"/>
    <w:next w:val="661"/>
    <w:uiPriority w:val="99"/>
    <w:unhideWhenUsed/>
    <w:pPr>
      <w:pBdr/>
      <w:spacing w:after="0" w:afterAutospacing="0"/>
      <w:ind/>
    </w:pPr>
  </w:style>
  <w:style w:type="paragraph" w:styleId="661" w:default="1">
    <w:name w:val="Normal"/>
    <w:next w:val="674"/>
    <w:link w:val="661"/>
    <w:qFormat/>
    <w:pPr>
      <w:widowControl w:val="false"/>
      <w:pBdr/>
      <w:spacing/>
      <w:ind/>
      <w:jc w:val="both"/>
    </w:pPr>
    <w:rPr>
      <w:sz w:val="21"/>
      <w:szCs w:val="21"/>
      <w:lang w:val="en-US" w:eastAsia="zh-CN" w:bidi="ar-SA"/>
    </w:rPr>
  </w:style>
  <w:style w:type="character" w:styleId="662">
    <w:name w:val="默认段落字体"/>
    <w:next w:val="662"/>
    <w:link w:val="678"/>
    <w:uiPriority w:val="1"/>
    <w:unhideWhenUsed/>
    <w:qFormat/>
    <w:pPr>
      <w:pBdr/>
      <w:spacing/>
      <w:ind/>
    </w:pPr>
    <w:rPr>
      <w:rFonts w:ascii="Tahoma" w:hAnsi="Tahoma"/>
      <w:sz w:val="24"/>
      <w:szCs w:val="20"/>
    </w:rPr>
  </w:style>
  <w:style w:type="table" w:styleId="663">
    <w:name w:val="普通表格"/>
    <w:next w:val="663"/>
    <w:link w:val="661"/>
    <w:uiPriority w:val="99"/>
    <w:unhideWhenUsed/>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4">
    <w:name w:val="无列表"/>
    <w:next w:val="664"/>
    <w:link w:val="661"/>
    <w:uiPriority w:val="99"/>
    <w:semiHidden/>
    <w:unhideWhenUsed/>
    <w:pPr>
      <w:pBdr/>
      <w:spacing/>
      <w:ind/>
    </w:pPr>
  </w:style>
  <w:style w:type="character" w:styleId="665">
    <w:name w:val="页眉 字符"/>
    <w:next w:val="665"/>
    <w:link w:val="673"/>
    <w:uiPriority w:val="99"/>
    <w:qFormat/>
    <w:pPr>
      <w:pBdr/>
      <w:spacing/>
      <w:ind/>
    </w:pPr>
    <w:rPr>
      <w:rFonts w:ascii="Times New Roman" w:hAnsi="Times New Roman" w:eastAsia="宋体" w:cs="Times New Roman"/>
      <w:sz w:val="18"/>
      <w:szCs w:val="18"/>
    </w:rPr>
  </w:style>
  <w:style w:type="character" w:styleId="666">
    <w:name w:val="批注框文本 字符"/>
    <w:next w:val="666"/>
    <w:link w:val="670"/>
    <w:uiPriority w:val="99"/>
    <w:semiHidden/>
    <w:qFormat/>
    <w:pPr>
      <w:pBdr/>
      <w:spacing/>
      <w:ind/>
    </w:pPr>
    <w:rPr>
      <w:rFonts w:ascii="Times New Roman" w:hAnsi="Times New Roman" w:eastAsia="宋体" w:cs="Times New Roman"/>
      <w:sz w:val="18"/>
      <w:szCs w:val="18"/>
    </w:rPr>
  </w:style>
  <w:style w:type="character" w:styleId="667">
    <w:name w:val="超链接"/>
    <w:next w:val="667"/>
    <w:link w:val="661"/>
    <w:unhideWhenUsed/>
    <w:qFormat/>
    <w:pPr>
      <w:pBdr/>
      <w:spacing/>
      <w:ind/>
    </w:pPr>
    <w:rPr>
      <w:rFonts w:ascii="Tahoma" w:hAnsi="Tahoma"/>
      <w:color w:val="000000"/>
      <w:sz w:val="24"/>
      <w:szCs w:val="20"/>
      <w:u w:val="none"/>
    </w:rPr>
  </w:style>
  <w:style w:type="character" w:styleId="668">
    <w:name w:val="页码"/>
    <w:basedOn w:val="662"/>
    <w:next w:val="668"/>
    <w:link w:val="661"/>
    <w:uiPriority w:val="99"/>
    <w:unhideWhenUsed/>
    <w:qFormat/>
    <w:pPr>
      <w:pBdr/>
      <w:spacing/>
      <w:ind/>
    </w:pPr>
  </w:style>
  <w:style w:type="character" w:styleId="669">
    <w:name w:val="页脚 字符"/>
    <w:next w:val="669"/>
    <w:link w:val="677"/>
    <w:uiPriority w:val="99"/>
    <w:qFormat/>
    <w:pPr>
      <w:pBdr/>
      <w:spacing/>
      <w:ind/>
    </w:pPr>
    <w:rPr>
      <w:rFonts w:ascii="Times New Roman" w:hAnsi="Times New Roman" w:eastAsia="宋体" w:cs="Times New Roman"/>
      <w:sz w:val="18"/>
      <w:szCs w:val="18"/>
    </w:rPr>
  </w:style>
  <w:style w:type="paragraph" w:styleId="670">
    <w:name w:val="批注框文本"/>
    <w:basedOn w:val="661"/>
    <w:next w:val="670"/>
    <w:link w:val="666"/>
    <w:uiPriority w:val="99"/>
    <w:unhideWhenUsed/>
    <w:qFormat/>
    <w:pPr>
      <w:pBdr/>
      <w:spacing/>
      <w:ind/>
    </w:pPr>
    <w:rPr>
      <w:sz w:val="18"/>
      <w:szCs w:val="18"/>
    </w:rPr>
  </w:style>
  <w:style w:type="paragraph" w:styleId="671">
    <w:name w:val="普通(网站)"/>
    <w:basedOn w:val="661"/>
    <w:next w:val="671"/>
    <w:link w:val="661"/>
    <w:unhideWhenUsed/>
    <w:qFormat/>
    <w:pPr>
      <w:pBdr/>
      <w:spacing w:after="100" w:afterAutospacing="1" w:before="100" w:beforeAutospacing="1"/>
      <w:ind w:right="0" w:left="0"/>
      <w:jc w:val="left"/>
    </w:pPr>
    <w:rPr>
      <w:sz w:val="24"/>
      <w:lang w:val="en-US" w:eastAsia="zh-CN"/>
    </w:rPr>
  </w:style>
  <w:style w:type="paragraph" w:styleId="672">
    <w:name w:val="寄信人地址"/>
    <w:basedOn w:val="661"/>
    <w:next w:val="672"/>
    <w:link w:val="661"/>
    <w:qFormat/>
    <w:pPr>
      <w:pBdr/>
      <w:spacing/>
      <w:ind/>
    </w:pPr>
    <w:rPr>
      <w:rFonts w:ascii="Arial" w:hAnsi="Arial"/>
    </w:rPr>
  </w:style>
  <w:style w:type="paragraph" w:styleId="673">
    <w:name w:val="页眉"/>
    <w:basedOn w:val="661"/>
    <w:next w:val="673"/>
    <w:link w:val="665"/>
    <w:uiPriority w:val="99"/>
    <w:unhideWhenUsed/>
    <w:qFormat/>
    <w:pPr>
      <w:pBdr>
        <w:bottom w:val="single" w:color="000000" w:sz="6" w:space="1"/>
      </w:pBdr>
      <w:tabs>
        <w:tab w:val="center" w:leader="none" w:pos="4153"/>
        <w:tab w:val="right" w:leader="none" w:pos="8306"/>
      </w:tabs>
      <w:spacing/>
      <w:ind/>
      <w:jc w:val="center"/>
    </w:pPr>
    <w:rPr>
      <w:sz w:val="18"/>
      <w:szCs w:val="18"/>
    </w:rPr>
  </w:style>
  <w:style w:type="paragraph" w:styleId="674">
    <w:name w:val="正文文本首行缩进 2"/>
    <w:basedOn w:val="675"/>
    <w:next w:val="674"/>
    <w:link w:val="661"/>
    <w:unhideWhenUsed/>
    <w:qFormat/>
    <w:pPr>
      <w:pBdr/>
      <w:spacing w:after="120" w:line="360" w:lineRule="auto"/>
      <w:ind w:firstLine="420" w:left="420"/>
    </w:pPr>
    <w:rPr>
      <w:rFonts w:ascii="Times New Roman" w:eastAsia="Times New Roman"/>
      <w:sz w:val="21"/>
      <w:szCs w:val="22"/>
    </w:rPr>
  </w:style>
  <w:style w:type="paragraph" w:styleId="675">
    <w:name w:val="正文文本缩进"/>
    <w:basedOn w:val="661"/>
    <w:next w:val="672"/>
    <w:link w:val="661"/>
    <w:uiPriority w:val="99"/>
    <w:qFormat/>
    <w:pPr>
      <w:pBdr/>
      <w:spacing/>
      <w:ind w:firstLine="645"/>
    </w:pPr>
    <w:rPr>
      <w:rFonts w:ascii="楷体_GB2312" w:eastAsia="楷体_GB2312"/>
      <w:sz w:val="32"/>
    </w:rPr>
  </w:style>
  <w:style w:type="paragraph" w:styleId="676">
    <w:name w:val="纯文本"/>
    <w:basedOn w:val="661"/>
    <w:next w:val="676"/>
    <w:link w:val="661"/>
    <w:qFormat/>
    <w:pPr>
      <w:pBdr/>
      <w:spacing/>
      <w:ind/>
    </w:pPr>
    <w:rPr>
      <w:rFonts w:ascii="宋体" w:hAnsi="Courier New"/>
    </w:rPr>
  </w:style>
  <w:style w:type="paragraph" w:styleId="677">
    <w:name w:val="页脚"/>
    <w:basedOn w:val="661"/>
    <w:next w:val="677"/>
    <w:link w:val="669"/>
    <w:uiPriority w:val="99"/>
    <w:unhideWhenUsed/>
    <w:qFormat/>
    <w:pPr>
      <w:pBdr/>
      <w:tabs>
        <w:tab w:val="center" w:leader="none" w:pos="4153"/>
        <w:tab w:val="right" w:leader="none" w:pos="8306"/>
      </w:tabs>
      <w:spacing/>
      <w:ind/>
      <w:jc w:val="left"/>
    </w:pPr>
    <w:rPr>
      <w:sz w:val="18"/>
      <w:szCs w:val="18"/>
    </w:rPr>
  </w:style>
  <w:style w:type="paragraph" w:styleId="678">
    <w:name w:val=" Char Char1"/>
    <w:basedOn w:val="661"/>
    <w:next w:val="678"/>
    <w:link w:val="662"/>
    <w:qFormat/>
    <w:pPr>
      <w:pBdr/>
      <w:spacing/>
      <w:ind/>
    </w:pPr>
    <w:rPr>
      <w:rFonts w:ascii="Tahoma" w:hAnsi="Tahoma"/>
      <w:sz w:val="24"/>
      <w:szCs w:val="20"/>
    </w:rPr>
  </w:style>
  <w:style w:type="paragraph" w:styleId="679">
    <w:name w:val="_Style 6"/>
    <w:basedOn w:val="661"/>
    <w:next w:val="679"/>
    <w:link w:val="661"/>
    <w:qFormat/>
    <w:pPr>
      <w:pBdr/>
      <w:spacing/>
      <w:ind/>
    </w:pPr>
    <w:rPr>
      <w:szCs w:val="20"/>
    </w:rPr>
  </w:style>
  <w:style w:type="paragraph" w:styleId="680">
    <w:name w:val="1"/>
    <w:basedOn w:val="661"/>
    <w:next w:val="680"/>
    <w:link w:val="661"/>
    <w:qFormat/>
    <w:pPr>
      <w:pBdr/>
      <w:spacing/>
      <w:ind/>
    </w:pPr>
    <w:rPr>
      <w:rFonts w:ascii="Tahoma" w:hAnsi="Tahoma"/>
      <w:sz w:val="24"/>
      <w:szCs w:val="20"/>
    </w:rPr>
  </w:style>
  <w:style w:type="table" w:styleId="681">
    <w:name w:val="网格型"/>
    <w:basedOn w:val="663"/>
    <w:next w:val="681"/>
    <w:link w:val="661"/>
    <w:uiPriority w:val="59"/>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372" w:default="1">
    <w:name w:val="Default Paragraph Font"/>
    <w:uiPriority w:val="1"/>
    <w:semiHidden/>
    <w:unhideWhenUsed/>
    <w:pPr>
      <w:pBdr/>
      <w:spacing/>
      <w:ind/>
    </w:pPr>
  </w:style>
  <w:style w:type="numbering" w:styleId="4373" w:default="1">
    <w:name w:val="No List"/>
    <w:uiPriority w:val="99"/>
    <w:semiHidden/>
    <w:unhideWhenUsed/>
    <w:pPr>
      <w:pBdr/>
      <w:spacing/>
      <w:ind/>
    </w:pPr>
  </w:style>
  <w:style w:type="table" w:styleId="4374"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Lenovo</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关于抓紧整改政务新媒体的通知</dc:title>
  <dc:creator>李曼</dc:creator>
  <cp:lastModifiedBy>匿名</cp:lastModifiedBy>
  <cp:revision>13</cp:revision>
  <dcterms:created xsi:type="dcterms:W3CDTF">2021-12-29T01:50:00Z</dcterms:created>
  <dcterms:modified xsi:type="dcterms:W3CDTF">2026-03-04T09:31:22Z</dcterms:modified>
  <cp:version>983040</cp:version>
</cp:coreProperties>
</file>