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trike w:val="0"/>
          <w:color w:val="auto"/>
          <w:kern w:val="0"/>
          <w:sz w:val="44"/>
          <w:szCs w:val="44"/>
          <w:lang w:val="en-US" w:eastAsia="zh-CN"/>
        </w:rPr>
      </w:pPr>
      <w:r>
        <w:rPr>
          <w:rFonts w:hint="eastAsia" w:ascii="方正小标宋简体" w:hAnsi="方正小标宋简体" w:eastAsia="方正小标宋简体" w:cs="方正小标宋简体"/>
          <w:b w:val="0"/>
          <w:bCs w:val="0"/>
          <w:strike w:val="0"/>
          <w:color w:val="auto"/>
          <w:kern w:val="0"/>
          <w:sz w:val="44"/>
          <w:szCs w:val="44"/>
          <w:lang w:val="en-US" w:eastAsia="zh-CN"/>
        </w:rPr>
        <w:t>中共北京市西城区展览路街道</w:t>
      </w:r>
      <w:r>
        <w:rPr>
          <w:rFonts w:hint="default" w:ascii="方正小标宋简体" w:hAnsi="方正小标宋简体" w:eastAsia="方正小标宋简体" w:cs="方正小标宋简体"/>
          <w:b w:val="0"/>
          <w:bCs w:val="0"/>
          <w:strike w:val="0"/>
          <w:color w:val="auto"/>
          <w:kern w:val="0"/>
          <w:sz w:val="44"/>
          <w:szCs w:val="44"/>
          <w:lang w:val="en-US" w:eastAsia="zh-CN"/>
        </w:rPr>
        <w:t>工作委员会</w:t>
      </w:r>
    </w:p>
    <w:p>
      <w:pPr>
        <w:keepNext w:val="0"/>
        <w:keepLines w:val="0"/>
        <w:pageBreakBefore w:val="0"/>
        <w:widowControl/>
        <w:suppressLineNumbers w:val="0"/>
        <w:kinsoku/>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trike w:val="0"/>
          <w:color w:val="auto"/>
          <w:kern w:val="0"/>
          <w:sz w:val="44"/>
          <w:szCs w:val="44"/>
          <w:lang w:val="en-US" w:eastAsia="zh-CN"/>
        </w:rPr>
      </w:pPr>
      <w:r>
        <w:rPr>
          <w:rFonts w:hint="eastAsia" w:ascii="方正小标宋简体" w:hAnsi="方正小标宋简体" w:eastAsia="方正小标宋简体" w:cs="方正小标宋简体"/>
          <w:b w:val="0"/>
          <w:bCs w:val="0"/>
          <w:strike w:val="0"/>
          <w:color w:val="auto"/>
          <w:kern w:val="0"/>
          <w:sz w:val="44"/>
          <w:szCs w:val="44"/>
          <w:lang w:val="en-US" w:eastAsia="zh-CN"/>
        </w:rPr>
        <w:t>2023年法治政府建设年度情况报告</w:t>
      </w:r>
    </w:p>
    <w:p>
      <w:pPr>
        <w:pStyle w:val="2"/>
        <w:rPr>
          <w:rFonts w:hint="eastAsia"/>
        </w:rPr>
      </w:pPr>
    </w:p>
    <w:p>
      <w:pPr>
        <w:keepNext w:val="0"/>
        <w:keepLines w:val="0"/>
        <w:pageBreakBefore w:val="0"/>
        <w:kinsoku/>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eastAsia="zh-CN"/>
        </w:rPr>
      </w:pPr>
      <w:r>
        <w:rPr>
          <w:rFonts w:hint="eastAsia" w:ascii="仿宋" w:hAnsi="仿宋" w:eastAsia="仿宋" w:cs="仿宋"/>
          <w:b w:val="0"/>
          <w:bCs w:val="0"/>
          <w:color w:val="auto"/>
          <w:kern w:val="0"/>
          <w:sz w:val="32"/>
          <w:szCs w:val="32"/>
          <w:lang w:val="en-US" w:eastAsia="zh-CN"/>
        </w:rPr>
        <w:t>区委、区政府：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_GB2312" w:hAnsi="Times New Roman" w:eastAsia="仿宋_GB2312"/>
          <w:sz w:val="32"/>
          <w:szCs w:val="32"/>
        </w:rPr>
        <w:t>2023年，是</w:t>
      </w:r>
      <w:r>
        <w:rPr>
          <w:rFonts w:hint="eastAsia" w:ascii="仿宋_GB2312" w:hAnsi="Times New Roman" w:eastAsia="仿宋_GB2312"/>
          <w:sz w:val="32"/>
          <w:szCs w:val="32"/>
          <w:lang w:eastAsia="zh-CN"/>
        </w:rPr>
        <w:t>全面贯彻落实</w:t>
      </w:r>
      <w:r>
        <w:rPr>
          <w:rFonts w:hint="eastAsia" w:ascii="仿宋_GB2312" w:hAnsi="Times New Roman" w:eastAsia="仿宋_GB2312"/>
          <w:sz w:val="32"/>
          <w:szCs w:val="32"/>
        </w:rPr>
        <w:t>党的二十大精神开局之年</w:t>
      </w:r>
      <w:r>
        <w:rPr>
          <w:rFonts w:hint="eastAsia" w:ascii="仿宋_GB2312" w:hAnsi="Times New Roman" w:eastAsia="仿宋_GB2312"/>
          <w:sz w:val="32"/>
          <w:szCs w:val="32"/>
          <w:lang w:eastAsia="zh-CN"/>
        </w:rPr>
        <w:t>，</w:t>
      </w:r>
      <w:r>
        <w:rPr>
          <w:rFonts w:hint="eastAsia" w:ascii="仿宋" w:hAnsi="仿宋" w:eastAsia="仿宋" w:cs="仿宋"/>
          <w:color w:val="auto"/>
          <w:kern w:val="2"/>
          <w:sz w:val="32"/>
          <w:szCs w:val="32"/>
          <w:lang w:val="en-US" w:eastAsia="zh-CN" w:bidi="ar-SA"/>
        </w:rPr>
        <w:t>也是依法行政工作进一步取得新成效、法治政府建设展现新风貌之年。展览路街道</w:t>
      </w:r>
      <w:r>
        <w:rPr>
          <w:rFonts w:hint="default" w:ascii="仿宋" w:hAnsi="仿宋" w:eastAsia="仿宋" w:cs="仿宋"/>
          <w:color w:val="auto"/>
          <w:kern w:val="2"/>
          <w:sz w:val="32"/>
          <w:szCs w:val="32"/>
          <w:lang w:val="en-US" w:eastAsia="zh-CN" w:bidi="ar-SA"/>
        </w:rPr>
        <w:t>工委、</w:t>
      </w:r>
      <w:r>
        <w:rPr>
          <w:rFonts w:hint="eastAsia" w:ascii="仿宋" w:hAnsi="仿宋" w:eastAsia="仿宋" w:cs="仿宋"/>
          <w:sz w:val="32"/>
          <w:szCs w:val="32"/>
          <w:lang w:eastAsia="zh-CN"/>
        </w:rPr>
        <w:t>办事处坚持以习近平新时代中国特色社会主义思想为指导</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深入学习贯彻党的二十大精神和习近平总书记系列重要讲话精神，</w:t>
      </w:r>
      <w:r>
        <w:rPr>
          <w:rFonts w:hint="eastAsia" w:ascii="仿宋" w:hAnsi="仿宋" w:eastAsia="仿宋" w:cs="仿宋"/>
          <w:color w:val="auto"/>
          <w:kern w:val="2"/>
          <w:sz w:val="32"/>
          <w:szCs w:val="32"/>
          <w:lang w:val="en-US" w:eastAsia="zh-CN" w:bidi="ar-SA"/>
        </w:rPr>
        <w:t>认真贯彻落实上级关于法治政府建设的各项工作部署，</w:t>
      </w:r>
      <w:r>
        <w:rPr>
          <w:rFonts w:hint="eastAsia" w:ascii="仿宋" w:hAnsi="仿宋" w:eastAsia="仿宋" w:cs="仿宋"/>
          <w:sz w:val="32"/>
          <w:szCs w:val="32"/>
          <w:lang w:val="en-US" w:eastAsia="zh-CN"/>
        </w:rPr>
        <w:t>不</w:t>
      </w:r>
      <w:r>
        <w:rPr>
          <w:rFonts w:hint="eastAsia" w:ascii="仿宋" w:hAnsi="仿宋" w:eastAsia="仿宋" w:cs="仿宋"/>
          <w:color w:val="auto"/>
          <w:kern w:val="2"/>
          <w:sz w:val="32"/>
          <w:szCs w:val="32"/>
          <w:lang w:val="en-US" w:eastAsia="zh-CN" w:bidi="ar-SA"/>
        </w:rPr>
        <w:t>断提高街道法治建设水平和基层治理能力水平，现将2023年有关工作报告如下：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auto"/>
          <w:sz w:val="32"/>
          <w:szCs w:val="32"/>
          <w:lang w:val="en-US" w:eastAsia="zh-CN"/>
        </w:rPr>
      </w:pPr>
      <w:bookmarkStart w:id="0" w:name="_GoBack"/>
      <w:bookmarkEnd w:id="0"/>
      <w:r>
        <w:rPr>
          <w:rFonts w:hint="eastAsia" w:ascii="黑体" w:hAnsi="黑体" w:eastAsia="黑体" w:cs="黑体"/>
          <w:b w:val="0"/>
          <w:bCs w:val="0"/>
          <w:color w:val="auto"/>
          <w:sz w:val="32"/>
          <w:szCs w:val="32"/>
          <w:lang w:val="en-US" w:eastAsia="zh-CN"/>
        </w:rPr>
        <w:t>一、2023年推进法治政府建设的主要举措和成效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（一）强化组织领导，建立健全决策机制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街道党政主要领导人任街道法治建设工作领导小组组长，把持续深入学习习近平法治思想作为工作重点，带头学法，深入学习贯彻党的二十大精神。展览路各级党组织认真履行全面从严治党主体责任，</w:t>
      </w:r>
      <w:r>
        <w:rPr>
          <w:rFonts w:hint="eastAsia" w:ascii="仿宋_GB2312" w:hAnsi="仿宋_GB2312" w:eastAsia="仿宋_GB2312" w:cs="仿宋_GB2312"/>
          <w:color w:val="auto"/>
          <w:kern w:val="2"/>
          <w:sz w:val="32"/>
          <w:szCs w:val="32"/>
          <w:lang w:val="zh-CN" w:eastAsia="zh-CN" w:bidi="ar-SA"/>
        </w:rPr>
        <w:t>严格落实区纪委及街道纪工委工作要求，查不足改作风，专项纠治“二传手”“躺平”等作风问题。</w:t>
      </w:r>
      <w:r>
        <w:rPr>
          <w:rFonts w:hint="eastAsia" w:ascii="仿宋_GB2312" w:hAnsi="仿宋_GB2312" w:eastAsia="仿宋_GB2312" w:cs="仿宋_GB2312"/>
          <w:color w:val="auto"/>
          <w:kern w:val="2"/>
          <w:sz w:val="32"/>
          <w:szCs w:val="32"/>
          <w:lang w:val="en-US" w:eastAsia="zh-CN" w:bidi="ar-SA"/>
        </w:rPr>
        <w:t>依托“三会一课”载体，开设“指尖微课堂、“云课堂”突出政治学习和教育，引导党员干部增强政治认同，站在首都发展大局的高度来谋划和推动街道工作。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展览路街道坚持构建决策科学、执行坚决、监督有力的权利运转机制。在街道党政主要领导的带领下，街道持续完善、审议、制订或修订内控制度，严格执行《展览路街道行政规范性文件和重大行政决策合法性审核制度》、《展览路街道行政复议应诉案件办理制度》等内控制度，持续推进街道法治政府基础建设。进一步完善街道法律顾问制度，为街道全方位提供法律咨询意见，充分发挥法律顾问在重大行政决策、重大合同签订、重大行政执法以及制度建设等工作中的积极作用，为街道科学决策、依法行政提供法律支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楷体" w:hAnsi="楷体" w:eastAsia="楷体" w:cs="楷体"/>
          <w:b/>
          <w:bCs/>
          <w:color w:val="auto"/>
          <w:sz w:val="32"/>
          <w:szCs w:val="32"/>
          <w:lang w:val="en-US" w:eastAsia="zh-CN"/>
        </w:rPr>
        <w:t>（二）深化职能转变，依法全面履行政府职能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展览路街道工委及法治建设领导小组定期研究部署街道法治建设工作，积极贯彻落实市区级法治建设的工作要点，分析研判，结合街道实际情况全面履行政府职能。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持续深化接诉即办专项监督，</w:t>
      </w:r>
      <w:r>
        <w:rPr>
          <w:rFonts w:hint="eastAsia" w:eastAsia="仿宋_GB2312"/>
          <w:color w:val="auto"/>
          <w:sz w:val="32"/>
          <w:szCs w:val="32"/>
          <w:highlight w:val="none"/>
          <w:lang w:val="en-US" w:eastAsia="zh-CN"/>
        </w:rPr>
        <w:t>学习解读《2023年度北京市接诉即办考评实施办法》，各科室、社区进行系统化培训，针对新调整的办法中的细节及重点事项强化工作提示，聚焦实践运用情况，精准发力。</w:t>
      </w:r>
      <w:r>
        <w:rPr>
          <w:rFonts w:hint="eastAsia" w:ascii="仿宋_GB2312" w:hAnsi="仿宋_GB2312" w:eastAsia="仿宋_GB2312" w:cs="仿宋_GB2312"/>
          <w:color w:val="auto"/>
          <w:sz w:val="32"/>
          <w:szCs w:val="32"/>
          <w:lang w:val="en-US" w:eastAsia="zh-CN"/>
        </w:rPr>
        <w:t>持续开展地区整治工作，整合基层一线力量，助力社区和街巷治理工作，力求第一时间摸清情况、履行责任、现场处置、快速处理。</w:t>
      </w:r>
      <w:r>
        <w:rPr>
          <w:rFonts w:hint="eastAsia" w:ascii="仿宋_GB2312" w:hAnsi="仿宋_GB2312" w:eastAsia="仿宋_GB2312" w:cs="仿宋_GB2312"/>
          <w:color w:val="auto"/>
          <w:sz w:val="32"/>
          <w:szCs w:val="32"/>
          <w:lang w:eastAsia="zh-CN"/>
        </w:rPr>
        <w:t>班子成员带头深入一线、深入社区、深入群众开展调研，围绕老旧小区停车整治、老年群体需求及适老化建设、接诉即办重难点问题、社区党员教育管理等问题。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对照文明典范城区创建工作指标体系明确物业职责定位和法规处罚具体情况，动员广大物业企业积极投身文明典范城区创建。2次召开地区全体物业服务企业动员大会，建立《展览路街道“创城+网格”实名制工作责任表》，明确每个文明典范城区创建迎检点位和网格负责人，压实工作责任，以三级书记会议精神为引领，高效开展各类环境问题专项治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（三）街道政务公开标准化规范化工作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展览路街道全面打造“阳光政府”形象，</w:t>
      </w:r>
      <w:r>
        <w:rPr>
          <w:rFonts w:hint="eastAsia" w:ascii="仿宋_GB2312" w:hAnsi="仿宋_GB2312" w:eastAsia="仿宋_GB2312" w:cs="仿宋_GB2312"/>
          <w:color w:val="auto"/>
          <w:sz w:val="32"/>
          <w:szCs w:val="32"/>
          <w:shd w:val="clear" w:color="auto" w:fill="FFFFFF"/>
        </w:rPr>
        <w:t>把政府信息公开作为促进街道经济发展、构建和谐社会、落实党风廉政、提高办事效率的重要工作来抓</w:t>
      </w:r>
      <w:r>
        <w:rPr>
          <w:rFonts w:hint="eastAsia" w:ascii="仿宋_GB2312" w:hAnsi="仿宋_GB2312" w:eastAsia="仿宋_GB2312" w:cs="仿宋_GB2312"/>
          <w:color w:val="auto"/>
          <w:kern w:val="2"/>
          <w:sz w:val="32"/>
          <w:szCs w:val="32"/>
          <w:lang w:val="en-US" w:eastAsia="zh-CN" w:bidi="ar-SA"/>
        </w:rPr>
        <w:t>，始终将推进政务公开工作、打通利企便民＂最先一公里＂作为建设法治政府的重要一环，</w:t>
      </w:r>
      <w:r>
        <w:rPr>
          <w:rFonts w:hint="eastAsia" w:ascii="仿宋_GB2312" w:hAnsi="仿宋_GB2312" w:eastAsia="仿宋_GB2312" w:cs="仿宋_GB2312"/>
          <w:color w:val="auto"/>
          <w:sz w:val="32"/>
          <w:szCs w:val="32"/>
          <w:shd w:val="clear" w:color="auto" w:fill="FFFFFF"/>
        </w:rPr>
        <w:t>根据《中华人民共和国政府信息公开条例》有关规定，</w:t>
      </w:r>
      <w:r>
        <w:rPr>
          <w:rFonts w:hint="eastAsia" w:ascii="仿宋_GB2312" w:hAnsi="仿宋_GB2312" w:eastAsia="仿宋_GB2312" w:cs="仿宋_GB2312"/>
          <w:b w:val="0"/>
          <w:bCs w:val="0"/>
          <w:color w:val="auto"/>
          <w:kern w:val="2"/>
          <w:sz w:val="32"/>
          <w:szCs w:val="32"/>
          <w:lang w:val="en-US" w:eastAsia="zh-CN" w:bidi="ar-SA"/>
        </w:rPr>
        <w:t>完善主动公开、依申请公开、保密审查等各项工作制度。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kern w:val="2"/>
          <w:sz w:val="32"/>
          <w:szCs w:val="32"/>
          <w:lang w:val="en-US" w:eastAsia="zh-CN" w:bidi="ar-SA"/>
        </w:rPr>
        <w:t>2023</w:t>
      </w:r>
      <w:r>
        <w:rPr>
          <w:rFonts w:hint="eastAsia" w:ascii="仿宋_GB2312" w:hAnsi="仿宋_GB2312" w:eastAsia="仿宋_GB2312" w:cs="仿宋_GB2312"/>
          <w:b w:val="0"/>
          <w:bCs w:val="0"/>
          <w:color w:val="auto"/>
          <w:kern w:val="2"/>
          <w:sz w:val="32"/>
          <w:szCs w:val="32"/>
          <w:lang w:val="en-US" w:eastAsia="zh-CN" w:bidi="ar-SA"/>
        </w:rPr>
        <w:t>年，通过政府网站、新媒体平台、西城家园APP等平台，主动公开信息</w:t>
      </w:r>
      <w:r>
        <w:rPr>
          <w:rFonts w:hint="eastAsia" w:ascii="仿宋_GB2312" w:hAnsi="仿宋_GB2312" w:eastAsia="仿宋_GB2312" w:cs="仿宋_GB2312"/>
          <w:b w:val="0"/>
          <w:bCs w:val="0"/>
          <w:color w:val="auto"/>
          <w:kern w:val="2"/>
          <w:sz w:val="32"/>
          <w:szCs w:val="32"/>
          <w:highlight w:val="none"/>
          <w:lang w:val="en-US" w:eastAsia="zh-CN" w:bidi="ar-SA"/>
        </w:rPr>
        <w:t>600</w:t>
      </w:r>
      <w:r>
        <w:rPr>
          <w:rFonts w:hint="eastAsia" w:ascii="仿宋_GB2312" w:hAnsi="仿宋_GB2312" w:eastAsia="仿宋_GB2312" w:cs="仿宋_GB2312"/>
          <w:b w:val="0"/>
          <w:bCs w:val="0"/>
          <w:color w:val="auto"/>
          <w:kern w:val="2"/>
          <w:sz w:val="32"/>
          <w:szCs w:val="32"/>
          <w:lang w:val="en-US" w:eastAsia="zh-CN" w:bidi="ar-SA"/>
        </w:rPr>
        <w:t>余篇，内容涉及条例解读、疫情防控、民生保障、社区治理、科教文体等，人民网、北京日报、街道新媒体微信公众号新开设【一周展“事”】栏目，精心策划报道专题10余个，推送文章813篇，总阅读量突破人20余万次，街道公众号传播力引导力影响力不断提升。共受理依申请公开</w:t>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b w:val="0"/>
          <w:bCs w:val="0"/>
          <w:color w:val="auto"/>
          <w:kern w:val="2"/>
          <w:sz w:val="32"/>
          <w:szCs w:val="32"/>
          <w:lang w:val="en-US" w:eastAsia="zh-CN" w:bidi="ar-SA"/>
        </w:rPr>
        <w:t>件，全部依法依规进行受理并按时答复，截止目前无因政府信息公开引起的行政诉讼败诉案件。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（四）保障地区稳定，维护首都核心区安全</w:t>
      </w:r>
    </w:p>
    <w:p>
      <w:pPr>
        <w:pStyle w:val="5"/>
        <w:keepNext w:val="0"/>
        <w:keepLines w:val="0"/>
        <w:pageBreakBefore w:val="0"/>
        <w:kinsoku/>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强化风险防控，维护社会稳定。</w:t>
      </w:r>
      <w:r>
        <w:rPr>
          <w:rFonts w:hint="eastAsia" w:ascii="仿宋_GB2312" w:hAnsi="仿宋_GB2312" w:eastAsia="仿宋_GB2312" w:cs="仿宋_GB2312"/>
          <w:b w:val="0"/>
          <w:bCs w:val="0"/>
          <w:sz w:val="32"/>
          <w:szCs w:val="32"/>
          <w:lang w:val="en-US" w:eastAsia="zh-CN"/>
        </w:rPr>
        <w:t>全面、深入、持续梳理排查地区各行业、各领域内易滋生黑恶势力犯罪的乱点乱象，有针对性的持续推进重点行业领域整治工作，带动提升地区整体扫黑除恶治理工作水平。开展治重化积专项工作和信访问题源头治理三年攻坚行动，落实街道处级领导接访下访制度，定期召开联席会议，全年接待并处理来访、来信及网上信访事项共计174件（批）。</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加强重点行业监管，夯实消防安全基础，筑牢平安基石。</w:t>
      </w:r>
      <w:r>
        <w:rPr>
          <w:rFonts w:hint="eastAsia" w:ascii="仿宋_GB2312" w:hAnsi="仿宋_GB2312" w:eastAsia="仿宋_GB2312" w:cs="仿宋_GB2312"/>
          <w:b w:val="0"/>
          <w:bCs w:val="0"/>
          <w:sz w:val="32"/>
          <w:szCs w:val="32"/>
          <w:lang w:val="en-US" w:eastAsia="zh-CN"/>
        </w:rPr>
        <w:t>开展在施工地、有限空间、燃气安全隐患、危险化学品使用单位的安全检查，全年检查各类生产经营单位4696家次，发现隐患9978项，现场整改7021项，下达《安全生产责令改正通知书》限期整改2957项，并全部按照规定时限落实复查。安全生产形势总体平稳有序，未发生安全生产责任事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（五）推进街道综合行政执法改革，提高行政执法水平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持续深化行政执法“三项制度”执行力度，积极推进行政执法公示制度、执法过程全纪录制度和重大执法案件法制审核制度在街道层面的落实。</w:t>
      </w:r>
      <w:r>
        <w:rPr>
          <w:rFonts w:hint="eastAsia" w:ascii="仿宋_GB2312" w:hAnsi="仿宋_GB2312" w:eastAsia="仿宋_GB2312" w:cs="仿宋_GB2312"/>
          <w:sz w:val="32"/>
          <w:szCs w:val="32"/>
          <w:lang w:val="en-US" w:eastAsia="zh-CN"/>
        </w:rPr>
        <w:t>本年度综合行政执法重大执法案件审理委员会</w:t>
      </w:r>
      <w:r>
        <w:rPr>
          <w:rFonts w:hint="eastAsia" w:ascii="仿宋" w:hAnsi="仿宋" w:eastAsia="仿宋"/>
          <w:sz w:val="32"/>
          <w:szCs w:val="32"/>
          <w:highlight w:val="none"/>
        </w:rPr>
        <w:t>开展重大行政执法案件案审会</w:t>
      </w:r>
      <w:r>
        <w:rPr>
          <w:rFonts w:hint="eastAsia" w:ascii="仿宋" w:hAnsi="仿宋" w:eastAsia="仿宋"/>
          <w:sz w:val="32"/>
          <w:szCs w:val="32"/>
          <w:highlight w:val="none"/>
          <w:lang w:eastAsia="zh-CN"/>
        </w:rPr>
        <w:t>集体讨论</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次，讨论通过</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2起</w:t>
      </w:r>
      <w:r>
        <w:rPr>
          <w:rFonts w:hint="eastAsia" w:ascii="仿宋" w:hAnsi="仿宋" w:eastAsia="仿宋"/>
          <w:sz w:val="32"/>
          <w:szCs w:val="32"/>
          <w:highlight w:val="none"/>
          <w:lang w:eastAsia="zh-CN"/>
        </w:rPr>
        <w:t>重大执法案件</w:t>
      </w:r>
      <w:r>
        <w:rPr>
          <w:rFonts w:hint="eastAsia" w:ascii="仿宋" w:hAnsi="仿宋" w:eastAsia="仿宋"/>
          <w:sz w:val="32"/>
          <w:szCs w:val="32"/>
          <w:highlight w:val="none"/>
        </w:rPr>
        <w:t>处罚决定</w:t>
      </w:r>
      <w:r>
        <w:rPr>
          <w:rFonts w:hint="eastAsia" w:ascii="仿宋" w:hAnsi="仿宋" w:eastAsia="仿宋"/>
          <w:sz w:val="32"/>
          <w:szCs w:val="32"/>
          <w:highlight w:val="none"/>
          <w:lang w:eastAsia="zh-CN"/>
        </w:rPr>
        <w:t>。</w:t>
      </w:r>
      <w:r>
        <w:rPr>
          <w:rFonts w:hint="eastAsia" w:ascii="仿宋_GB2312" w:hAnsi="仿宋_GB2312" w:eastAsia="仿宋_GB2312" w:cs="仿宋_GB2312"/>
          <w:sz w:val="32"/>
          <w:szCs w:val="32"/>
          <w:lang w:val="en-US" w:eastAsia="zh-CN"/>
        </w:rPr>
        <w:t>共办结行政处罚案件1443起，包括一般案件407起，简易案件1036起，其中包括司法所综合行政执法监督法制审核的重大案件</w:t>
      </w:r>
      <w:r>
        <w:rPr>
          <w:rFonts w:hint="eastAsia" w:ascii="仿宋" w:hAnsi="仿宋" w:eastAsia="仿宋"/>
          <w:sz w:val="32"/>
          <w:szCs w:val="32"/>
          <w:highlight w:val="none"/>
          <w:lang w:val="en-US" w:eastAsia="zh-CN"/>
        </w:rPr>
        <w:t>108</w:t>
      </w:r>
      <w:r>
        <w:rPr>
          <w:rFonts w:hint="eastAsia" w:ascii="仿宋_GB2312" w:hAnsi="仿宋_GB2312" w:eastAsia="仿宋_GB2312" w:cs="仿宋_GB2312"/>
          <w:sz w:val="32"/>
          <w:szCs w:val="32"/>
          <w:lang w:val="en-US" w:eastAsia="zh-CN"/>
        </w:rPr>
        <w:t>起。</w:t>
      </w:r>
    </w:p>
    <w:p>
      <w:pPr>
        <w:pStyle w:val="5"/>
        <w:keepNext w:val="0"/>
        <w:keepLines w:val="0"/>
        <w:pageBreakBefore w:val="0"/>
        <w:kinsoku/>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kern w:val="2"/>
          <w:sz w:val="32"/>
          <w:szCs w:val="32"/>
          <w:lang w:val="en-US" w:eastAsia="zh-CN" w:bidi="ar-SA"/>
        </w:rPr>
        <w:t>加强重点领域执法工作。持续加强占道</w:t>
      </w:r>
      <w:r>
        <w:rPr>
          <w:rFonts w:hint="eastAsia" w:ascii="仿宋_GB2312" w:hAnsi="仿宋_GB2312" w:eastAsia="仿宋_GB2312" w:cs="仿宋_GB2312"/>
          <w:b w:val="0"/>
          <w:bCs w:val="0"/>
          <w:color w:val="auto"/>
          <w:sz w:val="32"/>
          <w:szCs w:val="32"/>
          <w:highlight w:val="none"/>
          <w:lang w:eastAsia="zh-CN"/>
        </w:rPr>
        <w:t>经营、无证无照经营等违法</w:t>
      </w:r>
      <w:r>
        <w:rPr>
          <w:rFonts w:hint="eastAsia" w:ascii="仿宋_GB2312" w:hAnsi="仿宋_GB2312" w:eastAsia="仿宋_GB2312" w:cs="仿宋_GB2312"/>
          <w:b w:val="0"/>
          <w:bCs w:val="0"/>
          <w:color w:val="auto"/>
          <w:sz w:val="32"/>
          <w:szCs w:val="40"/>
          <w:highlight w:val="none"/>
          <w:lang w:eastAsia="zh-CN"/>
        </w:rPr>
        <w:t>违规</w:t>
      </w:r>
      <w:r>
        <w:rPr>
          <w:rFonts w:hint="eastAsia" w:ascii="仿宋_GB2312" w:hAnsi="仿宋_GB2312" w:eastAsia="仿宋_GB2312" w:cs="仿宋_GB2312"/>
          <w:b w:val="0"/>
          <w:bCs w:val="0"/>
          <w:color w:val="auto"/>
          <w:sz w:val="32"/>
          <w:szCs w:val="32"/>
          <w:highlight w:val="none"/>
          <w:lang w:eastAsia="zh-CN"/>
        </w:rPr>
        <w:t>行为综合整治，</w:t>
      </w:r>
      <w:r>
        <w:rPr>
          <w:rFonts w:hint="eastAsia" w:ascii="仿宋_GB2312" w:hAnsi="仿宋" w:cs="仿宋"/>
          <w:szCs w:val="32"/>
        </w:rPr>
        <w:t>无照经营类立案处罚</w:t>
      </w:r>
      <w:r>
        <w:rPr>
          <w:rFonts w:hint="eastAsia"/>
          <w:lang w:val="en-US" w:eastAsia="zh-CN"/>
        </w:rPr>
        <w:t>66</w:t>
      </w:r>
      <w:r>
        <w:rPr>
          <w:rFonts w:hint="eastAsia"/>
          <w:lang w:val="en-US"/>
        </w:rPr>
        <w:t>起</w:t>
      </w:r>
      <w:r>
        <w:rPr>
          <w:rFonts w:hint="eastAsia" w:ascii="仿宋_GB2312" w:hAnsi="仿宋" w:cs="仿宋"/>
          <w:szCs w:val="32"/>
        </w:rPr>
        <w:t>；</w:t>
      </w:r>
      <w:r>
        <w:rPr>
          <w:rFonts w:hint="eastAsia" w:ascii="仿宋_GB2312" w:eastAsia="仿宋_GB2312"/>
          <w:sz w:val="32"/>
          <w:szCs w:val="32"/>
        </w:rPr>
        <w:t>面对新形势新要求，结合实际情况，</w:t>
      </w:r>
      <w:r>
        <w:rPr>
          <w:rFonts w:hint="eastAsia" w:ascii="仿宋_GB2312" w:eastAsia="仿宋_GB2312"/>
          <w:bCs/>
          <w:sz w:val="32"/>
          <w:szCs w:val="32"/>
        </w:rPr>
        <w:t>加大夜间施工噪声扰民整治、</w:t>
      </w:r>
      <w:r>
        <w:rPr>
          <w:rFonts w:hint="eastAsia" w:ascii="仿宋_GB2312" w:eastAsia="仿宋_GB2312"/>
          <w:sz w:val="32"/>
          <w:szCs w:val="32"/>
        </w:rPr>
        <w:t>落实精准治污、科学治污、依法治污要求，深入推进“一微克”行动，加强施工扬尘、渣土车泄漏遗撒检查。</w:t>
      </w:r>
      <w:r>
        <w:rPr>
          <w:rFonts w:hint="eastAsia" w:ascii="仿宋_GB2312" w:eastAsia="仿宋_GB2312"/>
          <w:sz w:val="32"/>
          <w:szCs w:val="32"/>
          <w:lang w:eastAsia="zh-CN"/>
        </w:rPr>
        <w:t>此外，</w:t>
      </w:r>
      <w:r>
        <w:rPr>
          <w:rFonts w:hint="eastAsia" w:ascii="仿宋_GB2312" w:eastAsia="仿宋_GB2312"/>
          <w:sz w:val="32"/>
          <w:szCs w:val="32"/>
        </w:rPr>
        <w:t>组织开展施工噪音污染防治行动，紧盯群众举报高发点位，以住宅、医院、学校周边的施工工地为突破口，加大对未经审批的夜间施工扰民行为执法的处罚力度。截至目前，督促整改问题</w:t>
      </w:r>
      <w:r>
        <w:rPr>
          <w:rFonts w:hint="eastAsia" w:ascii="仿宋_GB2312"/>
          <w:sz w:val="32"/>
          <w:szCs w:val="32"/>
          <w:lang w:val="en-US" w:eastAsia="zh-CN"/>
        </w:rPr>
        <w:t>80</w:t>
      </w:r>
      <w:r>
        <w:rPr>
          <w:rFonts w:hint="eastAsia" w:ascii="仿宋_GB2312" w:eastAsia="仿宋_GB2312"/>
          <w:sz w:val="32"/>
          <w:szCs w:val="32"/>
        </w:rPr>
        <w:t>余处，处罚</w:t>
      </w:r>
      <w:r>
        <w:rPr>
          <w:rFonts w:hint="eastAsia" w:ascii="仿宋_GB2312"/>
          <w:sz w:val="32"/>
          <w:szCs w:val="32"/>
          <w:lang w:val="en-US" w:eastAsia="zh-CN"/>
        </w:rPr>
        <w:t>56</w:t>
      </w:r>
      <w:r>
        <w:rPr>
          <w:rFonts w:hint="eastAsia" w:ascii="仿宋_GB2312" w:eastAsia="仿宋_GB2312"/>
          <w:sz w:val="32"/>
          <w:szCs w:val="32"/>
        </w:rPr>
        <w:t>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（六）深入推进普法依法治理，提高群众法律意识</w:t>
      </w:r>
    </w:p>
    <w:p>
      <w:pPr>
        <w:keepNext w:val="0"/>
        <w:keepLines w:val="0"/>
        <w:pageBreakBefore w:val="0"/>
        <w:kinsoku/>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展览路街道公共法律服务站和23个社区法律服务室共处理各类法律咨询4000余人次，街道及23个社区累计开展线上普法问答、专题讲座、宣传栏等形式开展法律宣传，发放宣传资料900余份，各社区宣传栏张贴条幅及宣传海报90余张，受益居民累计达到4000余人次。</w:t>
      </w:r>
      <w:r>
        <w:rPr>
          <w:rFonts w:hint="eastAsia" w:ascii="仿宋_GB2312" w:hAnsi="仿宋_GB2312" w:eastAsia="仿宋_GB2312" w:cs="仿宋_GB2312"/>
          <w:b w:val="0"/>
          <w:bCs w:val="0"/>
          <w:sz w:val="32"/>
          <w:szCs w:val="32"/>
          <w:lang w:val="en-US" w:eastAsia="zh-CN"/>
        </w:rPr>
        <w:t>推动落实普法责任制，深化“法律进社区”、“法律进校园”工作，广泛开展《民法典》、《宪法》、妇女权益保障法宣传、退役军人权益保障法、国家安全法宣传、未成年人权益保护、禁毒等法律宣传活动及法律知识问答共计200余场次。</w:t>
      </w:r>
    </w:p>
    <w:p>
      <w:pPr>
        <w:keepNext w:val="0"/>
        <w:keepLines w:val="0"/>
        <w:pageBreakBefore w:val="0"/>
        <w:kinsoku/>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积极</w:t>
      </w:r>
      <w:r>
        <w:rPr>
          <w:rFonts w:hint="eastAsia" w:ascii="仿宋_GB2312" w:hAnsi="仿宋_GB2312" w:eastAsia="仿宋_GB2312" w:cs="仿宋_GB2312"/>
          <w:b w:val="0"/>
          <w:bCs w:val="0"/>
          <w:sz w:val="32"/>
          <w:szCs w:val="32"/>
          <w:lang w:val="en-US" w:eastAsia="zh-CN"/>
        </w:rPr>
        <w:t>开展反诈宣传，捂好群众“钱袋子”。建立由12名劝阻员和46名宣传员组成的宣传队伍，并联合2个派出所，以“六进”模式（进小区、进校园、进军营、进医院、进企业、进工地），开展“反诈”宣传共计52场次；联手区金融部门和银行单位，组织辖区单位和居民参与“反诈”宣传电视节目录制活动；邀请区公安分局刑侦支队反诈专员为全体机关干部和社区书记站长开展反诈宣传讲座，对发案率高的社区和单位重点实施点对点、面对面宣传。</w:t>
      </w:r>
    </w:p>
    <w:p>
      <w:pPr>
        <w:keepNext w:val="0"/>
        <w:keepLines w:val="0"/>
        <w:pageBreakBefore w:val="0"/>
        <w:kinsoku/>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分类施策，做好人员管理。</w:t>
      </w:r>
      <w:r>
        <w:rPr>
          <w:rFonts w:hint="eastAsia" w:ascii="仿宋_GB2312" w:hAnsi="仿宋_GB2312" w:eastAsia="仿宋_GB2312" w:cs="仿宋_GB2312"/>
          <w:b w:val="0"/>
          <w:bCs w:val="0"/>
          <w:sz w:val="32"/>
          <w:szCs w:val="32"/>
          <w:lang w:val="en-US" w:eastAsia="zh-CN"/>
        </w:rPr>
        <w:t>成立管控专班和化解小组实施稳控，在重大活动、重要节日和敏感期期间无一人脱离视线，未发生任何突出、突发情况；对在册的25名社区矫正对象开展“岗位大练兵”，及专题理论、党史、政治纪律和遵纪守法教育，提升管理强度；对在册181名社区帮教人员加大排查走访力度，确保人员稳定；与辖区两个派出所进行对接，做好在册177名吸毒人员核对与管控，不断完善规范档案台账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（七）集中街道力量，开展矛盾纠纷化解排查</w:t>
      </w:r>
    </w:p>
    <w:p>
      <w:pPr>
        <w:keepNext w:val="0"/>
        <w:keepLines w:val="0"/>
        <w:pageBreakBefore w:val="0"/>
        <w:kinsoku/>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落实重大决策社会稳定风险评估报备工作，围绕重点节假日、重要活动及敏感期，启动情报信息会商机制15次，重点关注了原动批商户到华远集团反映退费补偿诉求、新华书店总店合同纠纷、凯德茂哗啦啦支付平台多来点公司欠款薪等问题，处理扬言问题 84件，配合劳动部门处置讨薪现场维稳28次。</w:t>
      </w:r>
    </w:p>
    <w:p>
      <w:pPr>
        <w:keepNext w:val="0"/>
        <w:keepLines w:val="0"/>
        <w:pageBreakBefore w:val="0"/>
        <w:kinsoku/>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展治重化积专项工作和信访问题源头治理三年攻坚行动，落实街道处级领导接访下访制度，定期召开联席会议，全年接待并处理来访、来信及网上信访事项共计174件（批），其中来访29批次，网上诉求、来信141件，建议1件，复查3件，律师咨询60余批次。</w:t>
      </w:r>
    </w:p>
    <w:p>
      <w:pPr>
        <w:keepNext w:val="0"/>
        <w:keepLines w:val="0"/>
        <w:pageBreakBefore w:val="0"/>
        <w:kinsoku/>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2023年，展览路街道人民调解委员会</w:t>
      </w:r>
      <w:r>
        <w:rPr>
          <w:rFonts w:hint="eastAsia" w:ascii="仿宋_GB2312" w:hAnsi="仿宋_GB2312" w:eastAsia="仿宋_GB2312" w:cs="仿宋_GB2312"/>
          <w:b w:val="0"/>
          <w:bCs w:val="0"/>
          <w:sz w:val="32"/>
          <w:szCs w:val="32"/>
          <w:lang w:val="en-US" w:eastAsia="zh-CN"/>
        </w:rPr>
        <w:t>开展矛盾纠纷排查610余次，调解矛盾纠纷495件，已制作调解案卷卷宗137份，其中疑难复杂案件33件，调解案件成功率百分之百，涉及纠纷包括继承、合同、赔偿等方面，</w:t>
      </w:r>
      <w:r>
        <w:rPr>
          <w:rFonts w:hint="eastAsia" w:ascii="仿宋_GB2312" w:hAnsi="仿宋_GB2312" w:eastAsia="仿宋_GB2312" w:cs="仿宋_GB2312"/>
          <w:color w:val="auto"/>
          <w:sz w:val="32"/>
          <w:szCs w:val="32"/>
          <w:lang w:val="en-US" w:eastAsia="zh-CN"/>
        </w:rPr>
        <w:t>切实践行</w:t>
      </w:r>
      <w:r>
        <w:rPr>
          <w:rFonts w:hint="eastAsia" w:ascii="仿宋_GB2312" w:hAnsi="仿宋_GB2312" w:eastAsia="仿宋_GB2312" w:cs="仿宋_GB2312"/>
          <w:color w:val="auto"/>
          <w:sz w:val="32"/>
          <w:szCs w:val="32"/>
        </w:rPr>
        <w:t>“枫桥经验”，确保矛盾</w:t>
      </w:r>
      <w:r>
        <w:rPr>
          <w:rFonts w:hint="eastAsia" w:ascii="仿宋_GB2312" w:hAnsi="仿宋_GB2312" w:eastAsia="仿宋_GB2312" w:cs="仿宋_GB2312"/>
          <w:color w:val="auto"/>
          <w:sz w:val="32"/>
          <w:szCs w:val="32"/>
          <w:lang w:val="en-US" w:eastAsia="zh-CN"/>
        </w:rPr>
        <w:t>不上交。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二、2023年度推进法治政府建设存在的不足和原因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lang w:val="en-US" w:eastAsia="zh-CN" w:bidi="ar-SA"/>
        </w:rPr>
        <w:t>本年度街道在法治政府建设工作方面取得了一定的成绩，同时也存在着问题和不足，主要表现在：一是干部队伍依法行政能力和执法水平需进一步提升，需进一步学习提升执法流程及履职能力，以解决新出现的复杂疑难问题；二是法治建设工作架构和相关制度需持续完善，需进一步扩大依法行政各项决策体系相关内容，以居民需求为导向，扩大公</w:t>
      </w:r>
      <w:r>
        <w:rPr>
          <w:rFonts w:hint="eastAsia" w:ascii="仿宋" w:hAnsi="仿宋" w:eastAsia="仿宋" w:cs="仿宋"/>
          <w:b w:val="0"/>
          <w:bCs w:val="0"/>
          <w:kern w:val="2"/>
          <w:sz w:val="32"/>
          <w:szCs w:val="32"/>
          <w:highlight w:val="none"/>
          <w:lang w:val="en-US" w:eastAsia="zh-CN" w:bidi="ar-SA"/>
        </w:rPr>
        <w:t>众参与度。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三、2023年度党政主要负责人履行推进法治建设第一责任人职责、加强法治政府建设的有关情况</w:t>
      </w:r>
    </w:p>
    <w:p>
      <w:pPr>
        <w:keepNext w:val="0"/>
        <w:keepLines w:val="0"/>
        <w:pageBreakBefore w:val="0"/>
        <w:kinsoku/>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展览路街道坚持贯彻</w:t>
      </w:r>
      <w:r>
        <w:rPr>
          <w:rFonts w:hint="eastAsia" w:ascii="仿宋_GB2312" w:hAnsi="仿宋_GB2312" w:eastAsia="仿宋_GB2312" w:cs="仿宋_GB2312"/>
          <w:color w:val="auto"/>
          <w:kern w:val="0"/>
          <w:sz w:val="32"/>
          <w:szCs w:val="32"/>
          <w:lang w:val="en-US" w:eastAsia="zh-CN"/>
        </w:rPr>
        <w:t>落实《党政主要负责人履行推进法治建设第一责任人职责规定》</w:t>
      </w:r>
      <w:r>
        <w:rPr>
          <w:rFonts w:hint="eastAsia" w:ascii="仿宋_GB2312" w:hAnsi="仿宋_GB2312" w:eastAsia="仿宋_GB2312" w:cs="仿宋_GB2312"/>
          <w:color w:val="auto"/>
          <w:kern w:val="0"/>
          <w:sz w:val="32"/>
          <w:szCs w:val="32"/>
          <w:lang w:eastAsia="zh-CN"/>
        </w:rPr>
        <w:t>，街道工委书记、办事处主任作为第一责任人履行推进街道法治建设职责，形成一级抓一级，逐级抓落实的层级工作体系，不断完善街道法治建设领导体制机制建设，</w:t>
      </w:r>
      <w:r>
        <w:rPr>
          <w:rFonts w:hint="eastAsia" w:ascii="仿宋_GB2312" w:hAnsi="仿宋_GB2312" w:eastAsia="仿宋_GB2312" w:cs="仿宋_GB2312"/>
          <w:color w:val="auto"/>
          <w:kern w:val="0"/>
          <w:sz w:val="32"/>
          <w:szCs w:val="32"/>
          <w:lang w:val="en-US" w:eastAsia="zh-CN"/>
        </w:rPr>
        <w:t>对基层法治建设工作高度重视。</w:t>
      </w:r>
    </w:p>
    <w:p>
      <w:pPr>
        <w:keepNext w:val="0"/>
        <w:keepLines w:val="0"/>
        <w:pageBreakBefore w:val="0"/>
        <w:kinsoku/>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是多次带领班子成员参与法治骨干人才培训、中心组理论学习，组织领导班子集体学法9次，把《习近平法治思想学习纲要》、《习近平法治思想学习问答》等习近平法治思想系列著作、宪法、民法典、行政复议法新修订内容及其他重要法律法规作为街道会前学习、理论学习中心组学习重点内容，列入街道公务员提升履职能力培训课程，落实一线执法人员的法治培训，领导干部带头学习、模范践行。</w:t>
      </w:r>
    </w:p>
    <w:p>
      <w:pPr>
        <w:keepNext w:val="0"/>
        <w:keepLines w:val="0"/>
        <w:pageBreakBefore w:val="0"/>
        <w:kinsoku/>
        <w:topLinePunct w:val="0"/>
        <w:autoSpaceDE/>
        <w:autoSpaceDN/>
        <w:bidi w:val="0"/>
        <w:adjustRightInd/>
        <w:snapToGrid/>
        <w:spacing w:line="560" w:lineRule="exact"/>
        <w:ind w:firstLine="640" w:firstLineChars="200"/>
        <w:textAlignment w:val="auto"/>
        <w:rPr>
          <w:rFonts w:hint="eastAsia" w:eastAsia="等线"/>
          <w:lang w:val="en-US" w:eastAsia="zh-CN"/>
        </w:rPr>
      </w:pPr>
      <w:r>
        <w:rPr>
          <w:rFonts w:hint="eastAsia" w:ascii="仿宋_GB2312" w:hAnsi="仿宋_GB2312" w:eastAsia="仿宋_GB2312" w:cs="仿宋_GB2312"/>
          <w:color w:val="auto"/>
          <w:kern w:val="0"/>
          <w:sz w:val="32"/>
          <w:szCs w:val="32"/>
          <w:lang w:val="en-US" w:eastAsia="zh-CN"/>
        </w:rPr>
        <w:t>二是亲自参与、依法决策。</w:t>
      </w:r>
      <w:r>
        <w:rPr>
          <w:rFonts w:hint="eastAsia" w:ascii="仿宋_GB2312" w:hAnsi="仿宋_GB2312" w:eastAsia="仿宋_GB2312" w:cs="仿宋_GB2312"/>
          <w:color w:val="auto"/>
          <w:kern w:val="0"/>
          <w:sz w:val="32"/>
          <w:szCs w:val="32"/>
          <w:lang w:eastAsia="zh-CN"/>
        </w:rPr>
        <w:t>班子成员带头深入一线、深入社区、深入群众开展调研，围绕老旧小区停车整治、老年群体需求及适老化建设、接诉即办重难点问题、社区党员教育管理等问题，形成2个集体调研选题和10个班子成员个人调研选题。贯彻执行法治政府建设工作思路及要点，重视司法所提供法律意见，坚决做到法治把关，依法决策，定期听取法治政府建设情况汇报，确保工作取得实效，提高履职本领、强化责任担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四、2024年度推进法治政府建设的主要安排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bidi="ar-SA"/>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b w:val="0"/>
          <w:bCs w:val="0"/>
          <w:color w:val="auto"/>
          <w:kern w:val="0"/>
          <w:sz w:val="32"/>
          <w:szCs w:val="32"/>
          <w:lang w:val="en-US" w:eastAsia="zh-CN" w:bidi="ar-SA"/>
        </w:rPr>
        <w:t>年，展览路街道将</w:t>
      </w:r>
      <w:r>
        <w:rPr>
          <w:rFonts w:hint="eastAsia" w:ascii="仿宋_GB2312" w:hAnsi="仿宋_GB2312" w:eastAsia="仿宋_GB2312" w:cs="仿宋_GB2312"/>
          <w:color w:val="auto"/>
          <w:kern w:val="0"/>
          <w:sz w:val="32"/>
          <w:szCs w:val="32"/>
          <w:lang w:val="en-US" w:eastAsia="zh-CN"/>
        </w:rPr>
        <w:t>继续贯彻落实</w:t>
      </w:r>
      <w:r>
        <w:rPr>
          <w:rFonts w:hint="eastAsia" w:ascii="仿宋_GB2312" w:hAnsi="仿宋_GB2312" w:eastAsia="仿宋_GB2312" w:cs="仿宋_GB2312"/>
          <w:b w:val="0"/>
          <w:bCs w:val="0"/>
          <w:color w:val="auto"/>
          <w:kern w:val="0"/>
          <w:sz w:val="32"/>
          <w:szCs w:val="32"/>
          <w:lang w:val="en-US" w:eastAsia="zh-CN" w:bidi="ar-SA"/>
        </w:rPr>
        <w:t>北京市、西城区</w:t>
      </w:r>
      <w:r>
        <w:rPr>
          <w:rFonts w:hint="eastAsia" w:ascii="仿宋_GB2312" w:hAnsi="仿宋_GB2312" w:eastAsia="仿宋_GB2312" w:cs="仿宋_GB2312"/>
          <w:color w:val="auto"/>
          <w:kern w:val="0"/>
          <w:sz w:val="32"/>
          <w:szCs w:val="32"/>
          <w:lang w:val="en-US" w:eastAsia="zh-CN"/>
        </w:rPr>
        <w:t>法治建设规划及分工任务</w:t>
      </w:r>
      <w:r>
        <w:rPr>
          <w:rFonts w:hint="eastAsia" w:ascii="仿宋_GB2312" w:hAnsi="仿宋_GB2312" w:eastAsia="仿宋_GB2312" w:cs="仿宋_GB2312"/>
          <w:b w:val="0"/>
          <w:bCs w:val="0"/>
          <w:color w:val="auto"/>
          <w:kern w:val="0"/>
          <w:sz w:val="32"/>
          <w:szCs w:val="32"/>
          <w:lang w:val="en-US" w:eastAsia="zh-CN" w:bidi="ar-SA"/>
        </w:rPr>
        <w:t>，深入推进依法行政，加快建设</w:t>
      </w:r>
      <w:r>
        <w:rPr>
          <w:rFonts w:hint="eastAsia" w:ascii="仿宋_GB2312" w:hAnsi="仿宋_GB2312" w:eastAsia="仿宋_GB2312" w:cs="仿宋_GB2312"/>
          <w:color w:val="auto"/>
          <w:kern w:val="0"/>
          <w:sz w:val="32"/>
          <w:szCs w:val="32"/>
          <w:lang w:val="en-US" w:eastAsia="zh-CN"/>
        </w:rPr>
        <w:t>“法治街道”</w:t>
      </w:r>
      <w:r>
        <w:rPr>
          <w:rFonts w:hint="eastAsia" w:ascii="仿宋_GB2312" w:hAnsi="仿宋_GB2312" w:eastAsia="仿宋_GB2312" w:cs="仿宋_GB2312"/>
          <w:b w:val="0"/>
          <w:bCs w:val="0"/>
          <w:color w:val="auto"/>
          <w:kern w:val="0"/>
          <w:sz w:val="32"/>
          <w:szCs w:val="32"/>
          <w:lang w:val="en-US" w:eastAsia="zh-CN" w:bidi="ar-SA"/>
        </w:rPr>
        <w:t>，重点做好以下工作：</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bidi="ar-SA"/>
        </w:rPr>
        <w:t>第一，持续</w:t>
      </w:r>
      <w:r>
        <w:rPr>
          <w:rFonts w:hint="eastAsia" w:ascii="仿宋_GB2312" w:hAnsi="仿宋_GB2312" w:eastAsia="仿宋_GB2312" w:cs="仿宋_GB2312"/>
          <w:b w:val="0"/>
          <w:bCs w:val="0"/>
          <w:kern w:val="0"/>
          <w:sz w:val="32"/>
          <w:szCs w:val="32"/>
          <w:lang w:val="en-US" w:eastAsia="zh-CN" w:bidi="ar-SA"/>
        </w:rPr>
        <w:t>深入开展矛盾排查与化解工作，同时积极推进调解中心下沉响应社区吹哨，做好社区矛盾纠纷调解和法律服务指导工作，切实提升隐患排查和风险预警能力，有针对性的预防和化解各种不稳定因素，切实维护首都安全稳定大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第二，进一步强化法治理论学习，提升干部学法用法水平。进一步开展法制人员培训工作，强化业务综合治理。着力提高执法监督和综合执法队伍建设。严格规范执法监督和行政执法人员执法流程，着力提升执法监督和执法履职能力，进一步突出抓好公正执法、纪律作风和职业道德教育，不断提高队伍的业务素质、依法行政能力和执法水平，适应全面依法治国新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第三，</w:t>
      </w:r>
      <w:r>
        <w:rPr>
          <w:rFonts w:hint="eastAsia" w:ascii="仿宋_GB2312" w:hAnsi="仿宋_GB2312" w:eastAsia="仿宋_GB2312" w:cs="仿宋_GB2312"/>
          <w:b w:val="0"/>
          <w:bCs w:val="0"/>
          <w:color w:val="auto"/>
          <w:kern w:val="0"/>
          <w:sz w:val="32"/>
          <w:szCs w:val="32"/>
          <w:lang w:val="en-US" w:eastAsia="zh-CN" w:bidi="ar-SA"/>
        </w:rPr>
        <w:t>深化</w:t>
      </w:r>
      <w:r>
        <w:rPr>
          <w:rFonts w:hint="eastAsia" w:ascii="仿宋_GB2312" w:hAnsi="仿宋_GB2312" w:eastAsia="仿宋_GB2312" w:cs="仿宋_GB2312"/>
          <w:color w:val="auto"/>
          <w:kern w:val="0"/>
          <w:sz w:val="32"/>
          <w:szCs w:val="32"/>
          <w:lang w:val="en-US" w:eastAsia="zh-CN"/>
        </w:rPr>
        <w:t>法治宣传教育,落实八五普法规划。展览路街道将持续推进普法与依法治理有机融合，落实普法责任制，持续推进“谁执法谁普法”在街道各部门的贯彻执行。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五、其他需要报告的情况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lang w:val="en-US" w:eastAsia="zh-CN"/>
        </w:rPr>
      </w:pPr>
      <w:r>
        <w:rPr>
          <w:rFonts w:hint="eastAsia" w:ascii="仿宋_GB2312" w:hAnsi="仿宋_GB2312" w:eastAsia="仿宋_GB2312" w:cs="仿宋_GB2312"/>
          <w:color w:val="auto"/>
          <w:kern w:val="0"/>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特此报告。</w:t>
      </w:r>
    </w:p>
    <w:p>
      <w:pPr>
        <w:keepNext w:val="0"/>
        <w:keepLines w:val="0"/>
        <w:pageBreakBefore w:val="0"/>
        <w:widowControl/>
        <w:suppressLineNumbers w:val="0"/>
        <w:kinsoku/>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suppressLineNumbers w:val="0"/>
        <w:kinsoku/>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suppressLineNumbers w:val="0"/>
        <w:kinsoku/>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b w:val="0"/>
          <w:bCs w:val="0"/>
          <w:color w:val="auto"/>
          <w:w w:val="100"/>
          <w:kern w:val="0"/>
          <w:sz w:val="32"/>
          <w:szCs w:val="32"/>
          <w:lang w:val="en-US" w:eastAsia="zh-CN"/>
        </w:rPr>
      </w:pPr>
      <w:r>
        <w:rPr>
          <w:rFonts w:hint="eastAsia" w:ascii="仿宋_GB2312" w:hAnsi="仿宋_GB2312" w:eastAsia="仿宋_GB2312" w:cs="仿宋_GB2312"/>
          <w:b w:val="0"/>
          <w:bCs w:val="0"/>
          <w:color w:val="auto"/>
          <w:w w:val="100"/>
          <w:kern w:val="0"/>
          <w:sz w:val="32"/>
          <w:szCs w:val="32"/>
          <w:lang w:val="en-US" w:eastAsia="zh-CN"/>
        </w:rPr>
        <w:t>中共北京市西城区             北京市西城区人民政府</w:t>
      </w:r>
    </w:p>
    <w:p>
      <w:pPr>
        <w:keepNext w:val="0"/>
        <w:keepLines w:val="0"/>
        <w:pageBreakBefore w:val="0"/>
        <w:widowControl/>
        <w:suppressLineNumbers w:val="0"/>
        <w:kinsoku/>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w w:val="100"/>
          <w:kern w:val="0"/>
          <w:sz w:val="32"/>
          <w:szCs w:val="32"/>
          <w:lang w:val="en-US" w:eastAsia="zh-CN"/>
        </w:rPr>
      </w:pPr>
      <w:r>
        <w:rPr>
          <w:rFonts w:hint="eastAsia" w:ascii="仿宋_GB2312" w:hAnsi="仿宋_GB2312" w:eastAsia="仿宋_GB2312" w:cs="仿宋_GB2312"/>
          <w:b w:val="0"/>
          <w:bCs w:val="0"/>
          <w:color w:val="auto"/>
          <w:w w:val="100"/>
          <w:kern w:val="0"/>
          <w:sz w:val="32"/>
          <w:szCs w:val="32"/>
          <w:lang w:val="en-US" w:eastAsia="zh-CN"/>
        </w:rPr>
        <w:t>展览路街道工作委员会             展览路街道办事处</w:t>
      </w:r>
    </w:p>
    <w:p>
      <w:pPr>
        <w:keepNext w:val="0"/>
        <w:keepLines w:val="0"/>
        <w:pageBreakBefore w:val="0"/>
        <w:widowControl/>
        <w:suppressLineNumbers w:val="0"/>
        <w:kinsoku/>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rPr>
        <w:t>2023年12月13日</w:t>
      </w:r>
    </w:p>
    <w:p>
      <w:pPr>
        <w:keepNext w:val="0"/>
        <w:keepLines w:val="0"/>
        <w:pageBreakBefore w:val="0"/>
        <w:widowControl/>
        <w:numPr>
          <w:ilvl w:val="0"/>
          <w:numId w:val="0"/>
        </w:numPr>
        <w:suppressLineNumbers w:val="0"/>
        <w:kinsoku/>
        <w:topLinePunct w:val="0"/>
        <w:autoSpaceDE/>
        <w:autoSpaceDN/>
        <w:bidi w:val="0"/>
        <w:adjustRightInd/>
        <w:snapToGrid/>
        <w:spacing w:line="560" w:lineRule="exact"/>
        <w:ind w:leftChars="0"/>
        <w:jc w:val="right"/>
        <w:textAlignment w:val="auto"/>
        <w:rPr>
          <w:rFonts w:hint="eastAsia" w:ascii="仿宋_GB2312" w:hAnsi="仿宋_GB2312" w:eastAsia="仿宋_GB2312" w:cs="仿宋_GB2312"/>
          <w:b w:val="0"/>
          <w:bCs w:val="0"/>
          <w:color w:val="auto"/>
          <w:sz w:val="32"/>
          <w:szCs w:val="32"/>
        </w:rPr>
      </w:pPr>
    </w:p>
    <w:p>
      <w:pPr>
        <w:keepNext w:val="0"/>
        <w:keepLines w:val="0"/>
        <w:pageBreakBefore w:val="0"/>
        <w:kinsoku/>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p>
    <w:p>
      <w:pPr>
        <w:pStyle w:val="4"/>
        <w:keepNext w:val="0"/>
        <w:keepLines w:val="0"/>
        <w:pageBreakBefore w:val="0"/>
        <w:kinsoku/>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p>
    <w:p>
      <w:pPr>
        <w:pStyle w:val="4"/>
        <w:keepNext w:val="0"/>
        <w:keepLines w:val="0"/>
        <w:pageBreakBefore w:val="0"/>
        <w:kinsoku/>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p>
    <w:p>
      <w:pPr>
        <w:keepNext w:val="0"/>
        <w:keepLines w:val="0"/>
        <w:pageBreakBefore w:val="0"/>
        <w:kinsoku/>
        <w:topLinePunct w:val="0"/>
        <w:autoSpaceDE/>
        <w:autoSpaceDN/>
        <w:bidi w:val="0"/>
        <w:adjustRightInd/>
        <w:snapToGrid/>
        <w:spacing w:line="560" w:lineRule="exact"/>
        <w:textAlignment w:val="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YTk5YzY4MjBmOTcxOGMzMGIwMjk2Njc1YTBhNTYifQ=="/>
  </w:docVars>
  <w:rsids>
    <w:rsidRoot w:val="00000000"/>
    <w:rsid w:val="05EC3F81"/>
    <w:rsid w:val="0B8000A9"/>
    <w:rsid w:val="13A22600"/>
    <w:rsid w:val="1863010C"/>
    <w:rsid w:val="18D72D4C"/>
    <w:rsid w:val="1D360BE3"/>
    <w:rsid w:val="285A199C"/>
    <w:rsid w:val="2C8C13CB"/>
    <w:rsid w:val="2F662428"/>
    <w:rsid w:val="43EA4F48"/>
    <w:rsid w:val="7BDE0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Times New Roman"/>
      <w:b/>
      <w:bCs/>
      <w:kern w:val="0"/>
      <w:sz w:val="27"/>
      <w:szCs w:val="27"/>
      <w:lang w:val="zh-CN"/>
    </w:rPr>
  </w:style>
  <w:style w:type="character" w:default="1" w:styleId="9">
    <w:name w:val="Default Paragraph Font"/>
    <w:qFormat/>
    <w:uiPriority w:val="0"/>
  </w:style>
  <w:style w:type="table" w:default="1" w:styleId="8">
    <w:name w:val="Normal Table"/>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keepNext w:val="0"/>
      <w:keepLines w:val="0"/>
      <w:widowControl w:val="0"/>
      <w:suppressLineNumbers w:val="0"/>
      <w:spacing w:before="120" w:beforeAutospacing="0"/>
      <w:jc w:val="both"/>
    </w:pPr>
    <w:rPr>
      <w:rFonts w:hint="default" w:ascii="Arial" w:hAnsi="Arial" w:eastAsia="等线" w:cs="Arial"/>
      <w:kern w:val="2"/>
      <w:sz w:val="24"/>
      <w:szCs w:val="24"/>
      <w:lang w:val="en-US" w:eastAsia="zh-CN"/>
    </w:rPr>
  </w:style>
  <w:style w:type="paragraph" w:styleId="4">
    <w:name w:val="toc 3"/>
    <w:basedOn w:val="1"/>
    <w:next w:val="1"/>
    <w:qFormat/>
    <w:uiPriority w:val="0"/>
    <w:pPr>
      <w:ind w:left="420"/>
    </w:pPr>
    <w:rPr>
      <w:rFonts w:ascii="等线" w:hAnsi="等线" w:eastAsia="等线"/>
      <w:b/>
      <w:sz w:val="30"/>
      <w:szCs w:val="30"/>
    </w:rPr>
  </w:style>
  <w:style w:type="paragraph" w:styleId="5">
    <w:name w:val="Plain Text"/>
    <w:basedOn w:val="1"/>
    <w:next w:val="1"/>
    <w:qFormat/>
    <w:uiPriority w:val="99"/>
    <w:pPr>
      <w:overflowPunct w:val="0"/>
      <w:spacing w:line="560" w:lineRule="exact"/>
      <w:ind w:firstLine="880" w:firstLineChars="200"/>
    </w:pPr>
    <w:rPr>
      <w:rFonts w:ascii="宋体" w:hAnsi="宋体" w:eastAsia="仿宋_GB2312"/>
      <w:sz w:val="32"/>
      <w:szCs w:val="20"/>
      <w:lang w:val="zh-CN"/>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styleId="7">
    <w:name w:val="Body Text First Indent 2"/>
    <w:qFormat/>
    <w:uiPriority w:val="99"/>
    <w:pPr>
      <w:widowControl w:val="0"/>
      <w:adjustRightInd w:val="0"/>
      <w:snapToGrid w:val="0"/>
      <w:spacing w:after="120" w:line="560" w:lineRule="exact"/>
      <w:ind w:left="420" w:leftChars="200" w:firstLine="420" w:firstLineChars="200"/>
      <w:jc w:val="both"/>
    </w:pPr>
    <w:rPr>
      <w:rFonts w:ascii="Calibri" w:hAnsi="Calibri" w:eastAsia="仿宋_GB2312" w:cs="Times New Roman"/>
      <w:kern w:val="2"/>
      <w:sz w:val="32"/>
      <w:szCs w:val="24"/>
      <w:lang w:val="en-US" w:eastAsia="zh-CN" w:bidi="ar-SA"/>
    </w:rPr>
  </w:style>
  <w:style w:type="character" w:styleId="10">
    <w:name w:val="Strong"/>
    <w:basedOn w:val="9"/>
    <w:qFormat/>
    <w:uiPriority w:val="0"/>
    <w:rPr>
      <w:b/>
      <w:bCs/>
    </w:rPr>
  </w:style>
  <w:style w:type="character" w:styleId="11">
    <w:name w:val="FollowedHyperlink"/>
    <w:basedOn w:val="9"/>
    <w:qFormat/>
    <w:uiPriority w:val="0"/>
    <w:rPr>
      <w:color w:val="000000"/>
      <w:u w:val="none"/>
    </w:rPr>
  </w:style>
  <w:style w:type="character" w:styleId="12">
    <w:name w:val="HTML Definition"/>
    <w:basedOn w:val="9"/>
    <w:uiPriority w:val="0"/>
    <w:rPr>
      <w:i/>
      <w:iCs/>
    </w:rPr>
  </w:style>
  <w:style w:type="character" w:styleId="13">
    <w:name w:val="Hyperlink"/>
    <w:basedOn w:val="9"/>
    <w:uiPriority w:val="0"/>
    <w:rPr>
      <w:b/>
      <w:bCs/>
      <w:color w:val="000000"/>
      <w:sz w:val="18"/>
      <w:szCs w:val="18"/>
      <w:u w:val="none"/>
      <w:shd w:val="clear" w:fill="777777"/>
    </w:rPr>
  </w:style>
  <w:style w:type="character" w:styleId="14">
    <w:name w:val="HTML Code"/>
    <w:basedOn w:val="9"/>
    <w:uiPriority w:val="0"/>
    <w:rPr>
      <w:rFonts w:ascii="Consolas" w:hAnsi="Consolas" w:eastAsia="Consolas" w:cs="Consolas"/>
      <w:color w:val="C7254E"/>
      <w:sz w:val="21"/>
      <w:szCs w:val="21"/>
      <w:shd w:val="clear" w:fill="F9F2F4"/>
    </w:rPr>
  </w:style>
  <w:style w:type="character" w:styleId="15">
    <w:name w:val="HTML Keyboard"/>
    <w:basedOn w:val="9"/>
    <w:uiPriority w:val="0"/>
    <w:rPr>
      <w:rFonts w:hint="default" w:ascii="Consolas" w:hAnsi="Consolas" w:eastAsia="Consolas" w:cs="Consolas"/>
      <w:color w:val="FFFFFF"/>
      <w:sz w:val="21"/>
      <w:szCs w:val="21"/>
      <w:shd w:val="clear" w:fill="333333"/>
    </w:rPr>
  </w:style>
  <w:style w:type="character" w:styleId="16">
    <w:name w:val="HTML Sample"/>
    <w:basedOn w:val="9"/>
    <w:uiPriority w:val="0"/>
    <w:rPr>
      <w:rFonts w:hint="default" w:ascii="Consolas" w:hAnsi="Consolas" w:eastAsia="Consolas" w:cs="Consolas"/>
      <w:sz w:val="21"/>
      <w:szCs w:val="21"/>
    </w:rPr>
  </w:style>
  <w:style w:type="paragraph" w:customStyle="1" w:styleId="17">
    <w:name w:val="PlainText"/>
    <w:basedOn w:val="1"/>
    <w:qFormat/>
    <w:uiPriority w:val="0"/>
    <w:pPr>
      <w:spacing w:line="240" w:lineRule="auto"/>
      <w:jc w:val="both"/>
      <w:textAlignment w:val="baseline"/>
    </w:pPr>
    <w:rPr>
      <w:rFonts w:ascii="宋体" w:hAnsi="Courier New" w:eastAsia="宋体" w:cs="Times New Roman"/>
      <w:kern w:val="2"/>
      <w:sz w:val="21"/>
      <w:lang w:val="en-US" w:eastAsia="zh-CN" w:bidi="ar-SA"/>
    </w:rPr>
  </w:style>
  <w:style w:type="character" w:customStyle="1" w:styleId="18">
    <w:name w:val="tishi"/>
    <w:basedOn w:val="9"/>
    <w:qFormat/>
    <w:uiPriority w:val="0"/>
    <w:rPr>
      <w:color w:val="99999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4456</Words>
  <Characters>4571</Characters>
  <Paragraphs>51</Paragraphs>
  <TotalTime>28</TotalTime>
  <ScaleCrop>false</ScaleCrop>
  <LinksUpToDate>false</LinksUpToDate>
  <CharactersWithSpaces>4572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2021-12-09T08:33:00Z</dcterms:created>
  <dc:creator>zhangsisi</dc:creator>
  <cp:lastModifiedBy>admin</cp:lastModifiedBy>
  <cp:lastPrinted>2021-12-15T06:54:00Z</cp:lastPrinted>
  <dcterms:modified xsi:type="dcterms:W3CDTF">2026-03-31T08:08:18Z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5cd93afd4e9148e693aee16f90c3547b_23</vt:lpwstr>
  </property>
</Properties>
</file>