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第十一条第（一）款 科技服务业项目奖励申报指南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u w:val="none"/>
          <w:lang w:eastAsia="zh-CN"/>
        </w:rPr>
        <w:t>鼓励科技服务业企业实施技术含量高的重大科技创新项目，提升技术创新能力和专业服务能力，发挥对科技创新和高精尖产业领域服务支撑作用，年度支持金额不超过100万元。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企业统计行业为科学研究和技术服务业企业；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2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企业具备较强的基础实力，近年来运营状况良好，行业带动力强，对推动全市科技服务业持续健康发展，形成新质生产力提供支撑；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3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.本条款通过支持项目的形式给予支持</w:t>
      </w:r>
      <w:r>
        <w:rPr>
          <w:rFonts w:hint="eastAsia" w:ascii="仿宋_GB2312" w:hAnsi="仿宋_GB2312" w:eastAsia="仿宋_GB2312" w:cs="仿宋_GB2312"/>
          <w:bCs/>
          <w:color w:val="auto"/>
          <w:highlight w:val="none"/>
          <w:u w:val="none"/>
          <w:lang w:val="en-US" w:eastAsia="zh-CN"/>
        </w:rPr>
        <w:t>，项目的申报、评审、立项和管理等参照《西城区科技专项项目管理办法》执行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。企业申报的项目应具有明确的技术创新性，具有清晰、可量化的目标及考核指标，项目须整体完成并应用半年以上、三年以内。项目总投资不低于200万元，且支持金额不超过企业自筹资金部分。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按照政策兑现年度及前一年的企业</w:t>
      </w:r>
      <w:bookmarkStart w:id="0" w:name="_GoBack"/>
      <w:bookmarkEnd w:id="0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情况以及申报项目评审情况，分档给予支持。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项目申报书；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政策兑现年度及前一年的企业所得税纳税申报表；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政策兑现年度及前一年的研发费专项审计报告或年度财务会计报告；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7.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left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8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B20B6"/>
    <w:rsid w:val="02A33BB0"/>
    <w:rsid w:val="192B20B6"/>
    <w:rsid w:val="7E0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2026-05-13T08:14:00Z</dcterms:created>
  <dc:creator>Administrator</dc:creator>
  <cp:lastModifiedBy>Administrator</cp:lastModifiedBy>
  <dcterms:modified xsi:type="dcterms:W3CDTF">2026-05-15T11:35:27Z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