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beforeLines="0" w:afterLines="0" w:line="540" w:lineRule="exact"/>
        <w:ind w:firstLine="640" w:firstLineChars="200"/>
        <w:jc w:val="both"/>
        <w:textAlignment w:val="auto"/>
        <w:rPr>
          <w:rFonts w:hint="eastAsia" w:ascii="黑体" w:hAnsi="黑体" w:eastAsia="黑体" w:cs="黑体"/>
          <w:color w:val="auto"/>
          <w:szCs w:val="32"/>
          <w:highlight w:val="none"/>
          <w:shd w:val="clear" w:color="auto" w:fill="auto"/>
          <w:lang w:eastAsia="zh-CN"/>
        </w:rPr>
      </w:pPr>
      <w:r>
        <w:rPr>
          <w:rFonts w:hint="eastAsia" w:ascii="黑体" w:hAnsi="黑体" w:eastAsia="黑体" w:cs="黑体"/>
          <w:color w:val="auto"/>
          <w:szCs w:val="32"/>
          <w:highlight w:val="none"/>
          <w:shd w:val="clear" w:color="auto" w:fill="auto"/>
          <w:lang w:eastAsia="zh-CN"/>
        </w:rPr>
        <w:t>第十二条第（一）款 “监管沙箱”项目支持申报指南</w:t>
      </w:r>
    </w:p>
    <w:p>
      <w:pPr>
        <w:keepNext w:val="0"/>
        <w:keepLines w:val="0"/>
        <w:pageBreakBefore w:val="0"/>
        <w:widowControl w:val="0"/>
        <w:kinsoku/>
        <w:wordWrap/>
        <w:overflowPunct/>
        <w:topLinePunct w:val="0"/>
        <w:autoSpaceDE/>
        <w:autoSpaceDN/>
        <w:bidi w:val="0"/>
        <w:spacing w:beforeLines="0" w:afterLines="0" w:line="560" w:lineRule="exact"/>
        <w:ind w:firstLine="640" w:firstLineChars="200"/>
        <w:jc w:val="both"/>
        <w:textAlignment w:val="auto"/>
        <w:rPr>
          <w:rFonts w:hint="eastAsia"/>
          <w:color w:val="auto"/>
          <w:szCs w:val="32"/>
          <w:highlight w:val="none"/>
          <w:u w:val="none"/>
          <w:shd w:val="clear" w:color="auto" w:fill="auto"/>
          <w:lang w:eastAsia="zh-CN"/>
        </w:rPr>
      </w:pPr>
      <w:r>
        <w:rPr>
          <w:rFonts w:hint="eastAsia" w:ascii="仿宋_GB2312" w:hAnsi="仿宋_GB2312"/>
          <w:color w:val="auto"/>
          <w:highlight w:val="none"/>
          <w:u w:val="none"/>
          <w:lang w:eastAsia="zh-CN"/>
        </w:rPr>
        <w:t>支持与金融机构合作、成功参与金融科技创新监管项目的金融科技企业和专业服务机构在金科新区发展，根据项目主体技术领先性、行业引领性等，给予最高300万元支持</w:t>
      </w:r>
      <w:r>
        <w:rPr>
          <w:rFonts w:hint="eastAsia" w:hAnsi="仿宋_GB2312"/>
          <w:color w:val="auto"/>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3" w:firstLineChars="200"/>
        <w:textAlignment w:val="auto"/>
        <w:rPr>
          <w:rFonts w:hint="eastAsia" w:ascii="仿宋_GB2312" w:hAnsi="Calibri" w:eastAsia="仿宋_GB2312" w:cs="Times New Roman"/>
          <w:b/>
          <w:bCs/>
          <w:color w:val="auto"/>
          <w:sz w:val="32"/>
          <w:szCs w:val="32"/>
          <w:highlight w:val="none"/>
          <w:u w:val="none"/>
          <w:shd w:val="clear" w:color="auto" w:fill="auto"/>
          <w:lang w:eastAsia="zh-CN"/>
        </w:rPr>
      </w:pPr>
      <w:r>
        <w:rPr>
          <w:rFonts w:hint="eastAsia" w:ascii="仿宋_GB2312" w:hAnsi="Calibri" w:eastAsia="仿宋_GB2312" w:cs="Times New Roman"/>
          <w:b/>
          <w:bCs/>
          <w:color w:val="auto"/>
          <w:sz w:val="32"/>
          <w:szCs w:val="32"/>
          <w:highlight w:val="none"/>
          <w:u w:val="none"/>
          <w:shd w:val="clear" w:color="auto" w:fill="auto"/>
          <w:lang w:eastAsia="zh-CN"/>
        </w:rPr>
        <w:t>支持条件：</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color w:val="auto"/>
          <w:sz w:val="32"/>
          <w:szCs w:val="32"/>
          <w:highlight w:val="none"/>
          <w:u w:val="none"/>
          <w:shd w:val="clear" w:color="auto" w:fill="auto"/>
          <w:lang w:eastAsia="zh-CN"/>
        </w:rPr>
      </w:pPr>
      <w:r>
        <w:rPr>
          <w:rFonts w:hint="eastAsia" w:ascii="仿宋_GB2312" w:hAnsi="仿宋_GB2312" w:eastAsia="仿宋_GB2312" w:cs="仿宋_GB2312"/>
          <w:color w:val="auto"/>
          <w:sz w:val="32"/>
          <w:szCs w:val="32"/>
          <w:highlight w:val="none"/>
          <w:u w:val="none"/>
          <w:shd w:val="clear" w:color="auto" w:fill="auto"/>
          <w:lang w:eastAsia="zh-CN"/>
        </w:rPr>
        <w:t>1.申报项目应</w:t>
      </w:r>
      <w:r>
        <w:rPr>
          <w:rFonts w:hint="eastAsia" w:hAnsi="仿宋_GB2312" w:cs="仿宋_GB2312"/>
          <w:color w:val="auto"/>
          <w:sz w:val="32"/>
          <w:szCs w:val="32"/>
          <w:highlight w:val="none"/>
          <w:u w:val="none"/>
          <w:shd w:val="clear" w:color="auto" w:fill="auto"/>
          <w:lang w:eastAsia="zh-CN"/>
        </w:rPr>
        <w:t>在</w:t>
      </w:r>
      <w:r>
        <w:rPr>
          <w:rFonts w:hint="eastAsia" w:ascii="仿宋_GB2312" w:hAnsi="仿宋_GB2312" w:eastAsia="仿宋_GB2312" w:cs="仿宋_GB2312"/>
          <w:color w:val="auto"/>
          <w:sz w:val="32"/>
          <w:szCs w:val="32"/>
          <w:highlight w:val="none"/>
          <w:u w:val="none"/>
          <w:shd w:val="clear" w:color="auto" w:fill="auto"/>
          <w:lang w:eastAsia="zh-CN"/>
        </w:rPr>
        <w:t>政策兑现年度内</w:t>
      </w:r>
      <w:r>
        <w:rPr>
          <w:rFonts w:hint="eastAsia" w:hAnsi="仿宋_GB2312" w:cs="仿宋_GB2312"/>
          <w:color w:val="auto"/>
          <w:sz w:val="32"/>
          <w:szCs w:val="32"/>
          <w:highlight w:val="none"/>
          <w:u w:val="none"/>
          <w:shd w:val="clear" w:color="auto" w:fill="auto"/>
          <w:lang w:eastAsia="zh-CN"/>
        </w:rPr>
        <w:t>在国家金融管理部门及其在京分支机构完成备案</w:t>
      </w:r>
      <w:r>
        <w:rPr>
          <w:rFonts w:hint="eastAsia" w:ascii="仿宋_GB2312" w:hAnsi="仿宋_GB2312" w:eastAsia="仿宋_GB2312" w:cs="仿宋_GB2312"/>
          <w:color w:val="auto"/>
          <w:sz w:val="32"/>
          <w:szCs w:val="32"/>
          <w:highlight w:val="none"/>
          <w:u w:val="none"/>
          <w:shd w:val="clear" w:color="auto" w:fill="auto"/>
          <w:lang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rPr>
          <w:rFonts w:hint="eastAsia" w:hAnsi="仿宋_GB2312" w:cs="仿宋_GB2312"/>
          <w:color w:val="auto"/>
          <w:sz w:val="32"/>
          <w:szCs w:val="32"/>
          <w:highlight w:val="none"/>
          <w:u w:val="none"/>
          <w:shd w:val="clear" w:color="auto" w:fill="auto"/>
          <w:lang w:eastAsia="zh-CN"/>
        </w:rPr>
      </w:pPr>
      <w:r>
        <w:rPr>
          <w:rFonts w:hint="eastAsia" w:ascii="仿宋_GB2312" w:hAnsi="仿宋_GB2312" w:eastAsia="仿宋_GB2312" w:cs="仿宋_GB2312"/>
          <w:color w:val="auto"/>
          <w:sz w:val="32"/>
          <w:szCs w:val="32"/>
          <w:highlight w:val="none"/>
          <w:u w:val="none"/>
          <w:shd w:val="clear" w:color="auto" w:fill="auto"/>
          <w:lang w:eastAsia="zh-CN"/>
        </w:rPr>
        <w:t>2.多家企业和机构联合申请同一项目的，</w:t>
      </w:r>
      <w:r>
        <w:rPr>
          <w:rFonts w:hint="eastAsia" w:hAnsi="仿宋_GB2312" w:cs="仿宋_GB2312"/>
          <w:color w:val="auto"/>
          <w:sz w:val="32"/>
          <w:szCs w:val="32"/>
          <w:highlight w:val="none"/>
          <w:u w:val="none"/>
          <w:shd w:val="clear" w:color="auto" w:fill="auto"/>
          <w:lang w:eastAsia="zh-CN"/>
        </w:rPr>
        <w:t>按照平均分配原则</w:t>
      </w:r>
      <w:r>
        <w:rPr>
          <w:rFonts w:hint="eastAsia" w:hAnsi="仿宋_GB2312" w:cs="仿宋_GB2312"/>
          <w:color w:val="auto"/>
          <w:sz w:val="32"/>
          <w:szCs w:val="32"/>
          <w:highlight w:val="none"/>
          <w:u w:val="none"/>
          <w:shd w:val="clear" w:color="auto" w:fill="auto"/>
          <w:lang w:val="en-US" w:eastAsia="zh-CN"/>
        </w:rPr>
        <w:t>计算支持资金金额</w:t>
      </w:r>
      <w:r>
        <w:rPr>
          <w:rFonts w:hint="eastAsia" w:hAnsi="仿宋_GB2312" w:cs="仿宋_GB2312"/>
          <w:color w:val="auto"/>
          <w:sz w:val="32"/>
          <w:szCs w:val="32"/>
          <w:highlight w:val="none"/>
          <w:u w:val="none"/>
          <w:shd w:val="clear" w:color="auto" w:fill="auto"/>
          <w:lang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rPr>
          <w:rFonts w:hint="eastAsia"/>
          <w:b w:val="0"/>
          <w:bCs w:val="0"/>
          <w:color w:val="auto"/>
          <w:szCs w:val="32"/>
          <w:highlight w:val="none"/>
          <w:u w:val="none"/>
          <w:shd w:val="clear" w:color="auto" w:fill="auto"/>
          <w:lang w:eastAsia="zh-CN"/>
        </w:rPr>
      </w:pPr>
      <w:r>
        <w:rPr>
          <w:rFonts w:hint="eastAsia" w:hAnsi="仿宋_GB2312" w:cs="仿宋_GB2312"/>
          <w:color w:val="auto"/>
          <w:sz w:val="32"/>
          <w:szCs w:val="32"/>
          <w:highlight w:val="none"/>
          <w:u w:val="none"/>
          <w:shd w:val="clear" w:color="auto" w:fill="auto"/>
          <w:lang w:val="en-US" w:eastAsia="zh-CN"/>
        </w:rPr>
        <w:t>3.</w:t>
      </w:r>
      <w:r>
        <w:rPr>
          <w:rFonts w:hint="eastAsia"/>
          <w:b w:val="0"/>
          <w:bCs w:val="0"/>
          <w:color w:val="auto"/>
          <w:szCs w:val="32"/>
          <w:highlight w:val="none"/>
          <w:u w:val="none"/>
          <w:shd w:val="clear" w:color="auto" w:fill="auto"/>
          <w:lang w:eastAsia="zh-CN"/>
        </w:rPr>
        <w:t>落地企业须为该科技成果落地转化后新设立的企业并正常经营，且注册时间不超过3年。</w:t>
      </w:r>
    </w:p>
    <w:p>
      <w:pPr>
        <w:keepNext w:val="0"/>
        <w:keepLines w:val="0"/>
        <w:pageBreakBefore w:val="0"/>
        <w:widowControl w:val="0"/>
        <w:kinsoku/>
        <w:wordWrap/>
        <w:overflowPunct/>
        <w:topLinePunct w:val="0"/>
        <w:autoSpaceDE/>
        <w:autoSpaceDN/>
        <w:bidi w:val="0"/>
        <w:spacing w:beforeLines="0" w:afterLines="0" w:line="560" w:lineRule="exact"/>
        <w:ind w:firstLine="643" w:firstLineChars="200"/>
        <w:jc w:val="both"/>
        <w:textAlignment w:val="auto"/>
        <w:rPr>
          <w:rFonts w:hint="eastAsia" w:ascii="仿宋_GB2312" w:hAnsi="Calibri" w:eastAsia="仿宋_GB2312" w:cs="Times New Roman"/>
          <w:b/>
          <w:bCs/>
          <w:color w:val="auto"/>
          <w:sz w:val="32"/>
          <w:szCs w:val="32"/>
          <w:highlight w:val="none"/>
          <w:u w:val="none"/>
          <w:shd w:val="clear" w:color="auto" w:fill="auto"/>
          <w:lang w:eastAsia="zh-CN"/>
        </w:rPr>
      </w:pPr>
      <w:r>
        <w:rPr>
          <w:rFonts w:hint="eastAsia" w:ascii="仿宋_GB2312" w:hAnsi="Calibri" w:eastAsia="仿宋_GB2312" w:cs="Times New Roman"/>
          <w:b/>
          <w:bCs/>
          <w:color w:val="auto"/>
          <w:sz w:val="32"/>
          <w:szCs w:val="32"/>
          <w:highlight w:val="none"/>
          <w:u w:val="none"/>
          <w:shd w:val="clear" w:color="auto" w:fill="auto"/>
          <w:lang w:eastAsia="zh-CN"/>
        </w:rPr>
        <w:t>支持方式及金额：</w:t>
      </w:r>
    </w:p>
    <w:p>
      <w:pPr>
        <w:keepNext w:val="0"/>
        <w:keepLines w:val="0"/>
        <w:pageBreakBefore w:val="0"/>
        <w:widowControl w:val="0"/>
        <w:kinsoku/>
        <w:wordWrap/>
        <w:overflowPunct/>
        <w:topLinePunct w:val="0"/>
        <w:autoSpaceDE/>
        <w:autoSpaceDN/>
        <w:bidi w:val="0"/>
        <w:spacing w:beforeLines="0" w:afterLines="0" w:line="56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1.金融科技企业牵头或联合开发并完成备案的金融科技创新监管项目，根据项目先进性、引领性分档次给予50万元、100万元、200万元奖励；</w:t>
      </w:r>
    </w:p>
    <w:p>
      <w:pPr>
        <w:keepNext w:val="0"/>
        <w:keepLines w:val="0"/>
        <w:pageBreakBefore w:val="0"/>
        <w:widowControl w:val="0"/>
        <w:kinsoku/>
        <w:wordWrap/>
        <w:overflowPunct/>
        <w:topLinePunct w:val="0"/>
        <w:autoSpaceDE/>
        <w:autoSpaceDN/>
        <w:bidi w:val="0"/>
        <w:spacing w:beforeLines="0" w:afterLines="0" w:line="560" w:lineRule="exact"/>
        <w:ind w:firstLine="640" w:firstLineChars="200"/>
        <w:jc w:val="both"/>
        <w:textAlignment w:val="auto"/>
        <w:rPr>
          <w:rFonts w:hint="eastAsia" w:ascii="仿宋_GB2312" w:hAnsi="Calibri" w:eastAsia="仿宋_GB2312" w:cs="Times New Roman"/>
          <w:b/>
          <w:bCs/>
          <w:color w:val="auto"/>
          <w:sz w:val="32"/>
          <w:szCs w:val="32"/>
          <w:highlight w:val="none"/>
          <w:u w:val="none"/>
          <w:shd w:val="clear" w:color="auto" w:fill="auto"/>
          <w:lang w:eastAsia="zh-CN"/>
        </w:rPr>
      </w:pPr>
      <w:r>
        <w:rPr>
          <w:rFonts w:hint="eastAsia" w:ascii="仿宋_GB2312" w:hAnsi="仿宋_GB2312" w:eastAsia="仿宋_GB2312" w:cs="仿宋_GB2312"/>
          <w:color w:val="auto"/>
          <w:sz w:val="32"/>
          <w:szCs w:val="32"/>
          <w:u w:val="none"/>
          <w:lang w:val="en-US" w:eastAsia="zh-CN"/>
        </w:rPr>
        <w:t>2.支持金融科技创新监管项目成果转化为企业落地发展，给予落地独立法人主体不超过100万元</w:t>
      </w:r>
      <w:r>
        <w:rPr>
          <w:rFonts w:hint="eastAsia" w:hAnsi="仿宋_GB2312" w:cs="仿宋_GB2312"/>
          <w:color w:val="auto"/>
          <w:sz w:val="32"/>
          <w:szCs w:val="32"/>
          <w:u w:val="none"/>
          <w:lang w:val="en-US" w:eastAsia="zh-CN"/>
        </w:rPr>
        <w:t>研发</w:t>
      </w:r>
      <w:bookmarkStart w:id="0" w:name="_GoBack"/>
      <w:bookmarkEnd w:id="0"/>
      <w:r>
        <w:rPr>
          <w:rFonts w:hint="eastAsia" w:ascii="仿宋_GB2312" w:hAnsi="仿宋_GB2312" w:eastAsia="仿宋_GB2312" w:cs="仿宋_GB2312"/>
          <w:color w:val="auto"/>
          <w:sz w:val="32"/>
          <w:szCs w:val="32"/>
          <w:u w:val="none"/>
          <w:lang w:val="en-US" w:eastAsia="zh-CN"/>
        </w:rPr>
        <w:t>奖励。</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60" w:lineRule="exact"/>
        <w:ind w:firstLine="643" w:firstLineChars="200"/>
        <w:textAlignment w:val="auto"/>
        <w:rPr>
          <w:rFonts w:hint="eastAsia" w:ascii="仿宋_GB2312" w:hAnsi="Calibri" w:eastAsia="仿宋_GB2312" w:cs="Times New Roman"/>
          <w:b/>
          <w:bCs/>
          <w:color w:val="auto"/>
          <w:sz w:val="32"/>
          <w:szCs w:val="32"/>
          <w:highlight w:val="none"/>
          <w:u w:val="none"/>
          <w:shd w:val="clear" w:color="auto" w:fill="auto"/>
          <w:lang w:eastAsia="zh-CN"/>
        </w:rPr>
      </w:pPr>
      <w:r>
        <w:rPr>
          <w:rFonts w:hint="eastAsia" w:ascii="仿宋_GB2312" w:hAnsi="Calibri" w:eastAsia="仿宋_GB2312" w:cs="Times New Roman"/>
          <w:b/>
          <w:bCs/>
          <w:color w:val="auto"/>
          <w:sz w:val="32"/>
          <w:szCs w:val="32"/>
          <w:highlight w:val="none"/>
          <w:u w:val="none"/>
          <w:shd w:val="clear" w:color="auto" w:fill="auto"/>
          <w:lang w:eastAsia="zh-CN"/>
        </w:rPr>
        <w:t>申报材料：</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color w:val="auto"/>
          <w:szCs w:val="32"/>
          <w:highlight w:val="none"/>
          <w:u w:val="none"/>
          <w:shd w:val="clear" w:color="auto" w:fill="auto"/>
          <w:lang w:eastAsia="zh-CN"/>
        </w:rPr>
      </w:pPr>
      <w:r>
        <w:rPr>
          <w:rFonts w:hint="eastAsia" w:hAnsi="仿宋_GB2312" w:cs="仿宋_GB2312"/>
          <w:color w:val="auto"/>
          <w:szCs w:val="32"/>
          <w:highlight w:val="none"/>
          <w:u w:val="none"/>
          <w:shd w:val="clear" w:color="auto" w:fill="auto"/>
        </w:rPr>
        <w:t>1.</w:t>
      </w:r>
      <w:r>
        <w:rPr>
          <w:rFonts w:hint="eastAsia"/>
          <w:color w:val="auto"/>
          <w:szCs w:val="32"/>
          <w:highlight w:val="none"/>
          <w:u w:val="none"/>
          <w:shd w:val="clear" w:color="auto" w:fill="auto"/>
          <w:lang w:eastAsia="zh-CN"/>
        </w:rPr>
        <w:t>年度政策兑现申请书；</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hAnsi="仿宋_GB2312" w:cs="仿宋_GB2312"/>
          <w:color w:val="auto"/>
          <w:szCs w:val="32"/>
          <w:highlight w:val="none"/>
          <w:u w:val="none"/>
          <w:shd w:val="clear" w:color="auto" w:fill="auto"/>
        </w:rPr>
      </w:pPr>
      <w:r>
        <w:rPr>
          <w:rFonts w:hint="eastAsia"/>
          <w:color w:val="auto"/>
          <w:szCs w:val="32"/>
          <w:highlight w:val="none"/>
          <w:u w:val="none"/>
          <w:shd w:val="clear" w:color="auto" w:fill="auto"/>
          <w:lang w:val="en-US" w:eastAsia="zh-CN"/>
        </w:rPr>
        <w:t>2.</w:t>
      </w:r>
      <w:r>
        <w:rPr>
          <w:rFonts w:hint="eastAsia"/>
          <w:color w:val="auto"/>
          <w:szCs w:val="32"/>
          <w:highlight w:val="none"/>
          <w:u w:val="none"/>
          <w:shd w:val="clear" w:color="auto" w:fill="auto"/>
          <w:lang w:eastAsia="zh-CN"/>
        </w:rPr>
        <w:t>申报内容汇总表；</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60" w:lineRule="exact"/>
        <w:ind w:firstLine="640" w:firstLineChars="200"/>
        <w:textAlignment w:val="auto"/>
        <w:rPr>
          <w:rFonts w:hint="eastAsia" w:ascii="仿宋_GB2312" w:hAnsi="Calibri" w:eastAsia="仿宋_GB2312" w:cs="Times New Roman"/>
          <w:b w:val="0"/>
          <w:bCs w:val="0"/>
          <w:color w:val="auto"/>
          <w:sz w:val="32"/>
          <w:szCs w:val="32"/>
          <w:highlight w:val="none"/>
          <w:u w:val="none"/>
          <w:shd w:val="clear" w:color="auto" w:fill="auto"/>
          <w:lang w:val="en-US" w:eastAsia="zh-CN"/>
        </w:rPr>
      </w:pPr>
      <w:r>
        <w:rPr>
          <w:rFonts w:hint="eastAsia" w:cs="Times New Roman"/>
          <w:b w:val="0"/>
          <w:bCs w:val="0"/>
          <w:color w:val="auto"/>
          <w:sz w:val="32"/>
          <w:szCs w:val="32"/>
          <w:highlight w:val="none"/>
          <w:u w:val="none"/>
          <w:shd w:val="clear" w:color="auto" w:fill="auto"/>
          <w:lang w:val="en-US" w:eastAsia="zh-CN"/>
        </w:rPr>
        <w:t>3</w:t>
      </w:r>
      <w:r>
        <w:rPr>
          <w:rFonts w:hint="eastAsia" w:ascii="仿宋_GB2312" w:hAnsi="Calibri" w:eastAsia="仿宋_GB2312" w:cs="Times New Roman"/>
          <w:b w:val="0"/>
          <w:bCs w:val="0"/>
          <w:color w:val="auto"/>
          <w:sz w:val="32"/>
          <w:szCs w:val="32"/>
          <w:highlight w:val="none"/>
          <w:u w:val="none"/>
          <w:shd w:val="clear" w:color="auto" w:fill="auto"/>
          <w:lang w:val="en-US" w:eastAsia="zh-CN"/>
        </w:rPr>
        <w:t>.</w:t>
      </w:r>
      <w:r>
        <w:rPr>
          <w:rFonts w:hint="eastAsia" w:cs="Times New Roman"/>
          <w:b w:val="0"/>
          <w:bCs w:val="0"/>
          <w:color w:val="auto"/>
          <w:sz w:val="32"/>
          <w:szCs w:val="32"/>
          <w:highlight w:val="none"/>
          <w:u w:val="none"/>
          <w:shd w:val="clear" w:color="auto" w:fill="auto"/>
          <w:lang w:val="en-US" w:eastAsia="zh-CN"/>
        </w:rPr>
        <w:t>创新项目详细内容以及</w:t>
      </w:r>
      <w:r>
        <w:rPr>
          <w:rFonts w:hint="eastAsia" w:ascii="仿宋_GB2312" w:hAnsi="Calibri" w:eastAsia="仿宋_GB2312" w:cs="Times New Roman"/>
          <w:b w:val="0"/>
          <w:bCs w:val="0"/>
          <w:color w:val="auto"/>
          <w:sz w:val="32"/>
          <w:szCs w:val="32"/>
          <w:highlight w:val="none"/>
          <w:u w:val="none"/>
          <w:shd w:val="clear" w:color="auto" w:fill="auto"/>
          <w:lang w:val="en-US" w:eastAsia="zh-CN"/>
        </w:rPr>
        <w:t>获得</w:t>
      </w:r>
      <w:r>
        <w:rPr>
          <w:rFonts w:hint="eastAsia" w:cs="Times New Roman"/>
          <w:b w:val="0"/>
          <w:bCs w:val="0"/>
          <w:color w:val="auto"/>
          <w:sz w:val="32"/>
          <w:szCs w:val="32"/>
          <w:highlight w:val="none"/>
          <w:u w:val="none"/>
          <w:shd w:val="clear" w:color="auto" w:fill="auto"/>
          <w:lang w:val="en-US" w:eastAsia="zh-CN"/>
        </w:rPr>
        <w:t>各类</w:t>
      </w:r>
      <w:r>
        <w:rPr>
          <w:rFonts w:hint="eastAsia" w:ascii="仿宋_GB2312" w:hAnsi="Calibri" w:eastAsia="仿宋_GB2312" w:cs="Times New Roman"/>
          <w:b w:val="0"/>
          <w:bCs w:val="0"/>
          <w:color w:val="auto"/>
          <w:sz w:val="32"/>
          <w:szCs w:val="32"/>
          <w:highlight w:val="none"/>
          <w:u w:val="none"/>
          <w:shd w:val="clear" w:color="auto" w:fill="auto"/>
          <w:lang w:val="en-US" w:eastAsia="zh-CN"/>
        </w:rPr>
        <w:t>资质的相关证明材料</w:t>
      </w:r>
      <w:r>
        <w:rPr>
          <w:rFonts w:hint="eastAsia" w:cs="Times New Roman"/>
          <w:b w:val="0"/>
          <w:bCs w:val="0"/>
          <w:color w:val="auto"/>
          <w:sz w:val="32"/>
          <w:szCs w:val="32"/>
          <w:highlight w:val="none"/>
          <w:u w:val="none"/>
          <w:shd w:val="clear" w:color="auto" w:fill="auto"/>
          <w:lang w:val="en-US" w:eastAsia="zh-CN"/>
        </w:rPr>
        <w:t>；</w:t>
      </w:r>
    </w:p>
    <w:p>
      <w:pPr>
        <w:keepNext w:val="0"/>
        <w:keepLines w:val="0"/>
        <w:pageBreakBefore w:val="0"/>
        <w:widowControl w:val="0"/>
        <w:kinsoku/>
        <w:wordWrap/>
        <w:overflowPunct/>
        <w:topLinePunct w:val="0"/>
        <w:autoSpaceDE/>
        <w:autoSpaceDN/>
        <w:bidi w:val="0"/>
        <w:spacing w:beforeLines="0" w:afterLines="0" w:line="560" w:lineRule="exact"/>
        <w:ind w:firstLine="640" w:firstLineChars="200"/>
        <w:jc w:val="both"/>
        <w:textAlignment w:val="auto"/>
        <w:rPr>
          <w:rFonts w:hint="eastAsia"/>
          <w:color w:val="auto"/>
          <w:szCs w:val="32"/>
          <w:highlight w:val="none"/>
          <w:u w:val="none"/>
          <w:shd w:val="clear" w:color="auto" w:fill="auto"/>
          <w:lang w:eastAsia="zh-CN"/>
        </w:rPr>
      </w:pPr>
      <w:r>
        <w:rPr>
          <w:rFonts w:hint="eastAsia"/>
          <w:color w:val="auto"/>
          <w:szCs w:val="32"/>
          <w:highlight w:val="none"/>
          <w:u w:val="none"/>
          <w:shd w:val="clear" w:color="auto" w:fill="auto"/>
          <w:lang w:val="en-US" w:eastAsia="zh-CN"/>
        </w:rPr>
        <w:t>4.</w:t>
      </w:r>
      <w:r>
        <w:rPr>
          <w:rFonts w:hint="eastAsia"/>
          <w:color w:val="auto"/>
          <w:szCs w:val="32"/>
          <w:highlight w:val="none"/>
          <w:u w:val="none"/>
          <w:shd w:val="clear" w:color="auto" w:fill="auto"/>
          <w:lang w:eastAsia="zh-CN"/>
        </w:rPr>
        <w:t>企业财务报表等相关证明材料；</w:t>
      </w:r>
    </w:p>
    <w:p>
      <w:pPr>
        <w:keepNext w:val="0"/>
        <w:keepLines w:val="0"/>
        <w:pageBreakBefore w:val="0"/>
        <w:widowControl w:val="0"/>
        <w:kinsoku/>
        <w:wordWrap/>
        <w:overflowPunct/>
        <w:topLinePunct w:val="0"/>
        <w:autoSpaceDE/>
        <w:autoSpaceDN/>
        <w:bidi w:val="0"/>
        <w:spacing w:beforeLines="0" w:afterLines="0" w:line="560" w:lineRule="exact"/>
        <w:ind w:firstLine="640" w:firstLineChars="200"/>
        <w:jc w:val="both"/>
        <w:textAlignment w:val="auto"/>
        <w:rPr>
          <w:rFonts w:hint="eastAsia" w:eastAsia="仿宋_GB2312"/>
          <w:color w:val="auto"/>
          <w:szCs w:val="32"/>
          <w:highlight w:val="none"/>
          <w:u w:val="none"/>
          <w:shd w:val="clear" w:color="auto" w:fill="auto"/>
          <w:lang w:val="en-US" w:eastAsia="zh-CN"/>
        </w:rPr>
      </w:pPr>
      <w:r>
        <w:rPr>
          <w:rFonts w:hint="eastAsia"/>
          <w:color w:val="auto"/>
          <w:szCs w:val="32"/>
          <w:highlight w:val="none"/>
          <w:u w:val="none"/>
          <w:shd w:val="clear" w:color="auto" w:fill="auto"/>
          <w:lang w:val="en-US" w:eastAsia="zh-CN"/>
        </w:rPr>
        <w:t>5.在西城区规范经营的相关证明材料；</w:t>
      </w:r>
    </w:p>
    <w:p>
      <w:pPr>
        <w:keepNext w:val="0"/>
        <w:keepLines w:val="0"/>
        <w:pageBreakBefore w:val="0"/>
        <w:widowControl w:val="0"/>
        <w:kinsoku/>
        <w:wordWrap/>
        <w:overflowPunct/>
        <w:topLinePunct w:val="0"/>
        <w:autoSpaceDE/>
        <w:autoSpaceDN/>
        <w:bidi w:val="0"/>
        <w:spacing w:beforeLines="0" w:afterLines="0" w:line="560" w:lineRule="exact"/>
        <w:ind w:firstLine="640" w:firstLineChars="200"/>
        <w:jc w:val="both"/>
        <w:textAlignment w:val="auto"/>
        <w:rPr>
          <w:rFonts w:hint="eastAsia"/>
          <w:color w:val="auto"/>
          <w:szCs w:val="32"/>
          <w:highlight w:val="none"/>
          <w:u w:val="none"/>
          <w:shd w:val="clear" w:color="auto" w:fill="auto"/>
          <w:lang w:eastAsia="zh-CN"/>
        </w:rPr>
      </w:pPr>
      <w:r>
        <w:rPr>
          <w:rFonts w:hint="eastAsia"/>
          <w:color w:val="auto"/>
          <w:szCs w:val="32"/>
          <w:highlight w:val="none"/>
          <w:u w:val="none"/>
          <w:shd w:val="clear" w:color="auto" w:fill="auto"/>
          <w:lang w:val="en-US" w:eastAsia="zh-CN"/>
        </w:rPr>
        <w:t>6.</w:t>
      </w:r>
      <w:r>
        <w:rPr>
          <w:rFonts w:hint="eastAsia"/>
          <w:color w:val="auto"/>
          <w:szCs w:val="32"/>
          <w:highlight w:val="none"/>
          <w:u w:val="none"/>
          <w:shd w:val="clear" w:color="auto" w:fill="auto"/>
        </w:rPr>
        <w:t>企业开户许可证复印件或基本账户信息</w:t>
      </w:r>
      <w:r>
        <w:rPr>
          <w:rFonts w:hint="eastAsia"/>
          <w:color w:val="auto"/>
          <w:szCs w:val="32"/>
          <w:highlight w:val="none"/>
          <w:u w:val="none"/>
          <w:shd w:val="clear" w:color="auto" w:fill="auto"/>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60" w:lineRule="exact"/>
        <w:ind w:firstLine="640" w:firstLineChars="200"/>
        <w:jc w:val="left"/>
        <w:textAlignment w:val="auto"/>
        <w:rPr>
          <w:rFonts w:hint="eastAsia"/>
          <w:color w:val="auto"/>
          <w:szCs w:val="32"/>
          <w:highlight w:val="none"/>
          <w:u w:val="none"/>
          <w:shd w:val="clear" w:color="auto" w:fill="auto"/>
          <w:lang w:eastAsia="zh-CN"/>
        </w:rPr>
      </w:pPr>
      <w:r>
        <w:rPr>
          <w:rFonts w:hint="eastAsia"/>
          <w:color w:val="auto"/>
          <w:szCs w:val="32"/>
          <w:highlight w:val="none"/>
          <w:u w:val="none"/>
          <w:shd w:val="clear" w:color="auto" w:fill="auto"/>
          <w:lang w:val="en-US" w:eastAsia="zh-CN"/>
        </w:rPr>
        <w:t>7</w:t>
      </w:r>
      <w:r>
        <w:rPr>
          <w:rFonts w:hint="eastAsia"/>
          <w:color w:val="auto"/>
          <w:szCs w:val="32"/>
          <w:highlight w:val="none"/>
          <w:u w:val="none"/>
          <w:shd w:val="clear" w:color="auto" w:fill="auto"/>
          <w:lang w:eastAsia="zh-CN"/>
        </w:rPr>
        <w:t>.其他与申报有关的材料。</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4620B1"/>
    <w:rsid w:val="434620B1"/>
    <w:rsid w:val="64F629CF"/>
    <w:rsid w:val="73556E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Calibri" w:eastAsia="仿宋_GB2312" w:cs="Times New Roman"/>
      <w:kern w:val="2"/>
      <w:sz w:val="32"/>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2026-05-13T08:15:00Z</dcterms:created>
  <dc:creator>Administrator</dc:creator>
  <cp:lastModifiedBy>Administrator</cp:lastModifiedBy>
  <dcterms:modified xsi:type="dcterms:W3CDTF">2026-05-15T02:21:59Z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