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665A4B">
      <w:pPr>
        <w:pStyle w:val="7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snapToGrid/>
        <w:spacing w:before="0" w:beforeAutospacing="0" w:after="0" w:afterAutospacing="0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关于《西城区提升街区商业活力的若干措施》起草情况的说明</w:t>
      </w:r>
    </w:p>
    <w:p w14:paraId="7C4F91A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napToGrid/>
      </w:pPr>
    </w:p>
    <w:p w14:paraId="327055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一、制定背景</w:t>
      </w:r>
    </w:p>
    <w:p w14:paraId="283CA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kern w:val="2"/>
          <w:sz w:val="36"/>
          <w:szCs w:val="36"/>
          <w:highlight w:val="none"/>
          <w:u w:val="none"/>
          <w:lang w:val="en-US" w:eastAsia="zh-CN" w:bidi="ar-SA"/>
        </w:rPr>
        <w:t>为更好落实中央城市工作会议精神和《北京市深化改革提振消费专项行动方案》，满足人民群众对街区“烟火气”的新期待，结合本区街区城市更新和商业发展实际，区商务局起草制定了《西城区提升街区商业活力的若干措施（征求意见稿）》</w:t>
      </w:r>
      <w:r>
        <w:rPr>
          <w:rFonts w:hint="eastAsia" w:ascii="仿宋_GB2312" w:hAnsi="仿宋_GB2312" w:eastAsia="仿宋_GB2312" w:cs="仿宋_GB2312"/>
          <w:sz w:val="36"/>
          <w:szCs w:val="36"/>
        </w:rPr>
        <w:t>。</w:t>
      </w:r>
    </w:p>
    <w:p w14:paraId="406556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黑体" w:hAnsi="黑体" w:eastAsia="黑体" w:cs="黑体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36"/>
          <w:szCs w:val="36"/>
        </w:rPr>
        <w:t>二、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政策</w:t>
      </w:r>
      <w:r>
        <w:rPr>
          <w:rFonts w:hint="eastAsia" w:ascii="黑体" w:hAnsi="黑体" w:eastAsia="黑体" w:cs="黑体"/>
          <w:sz w:val="36"/>
          <w:szCs w:val="36"/>
        </w:rPr>
        <w:t>制定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原则</w:t>
      </w:r>
    </w:p>
    <w:p w14:paraId="66B021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6"/>
          <w:szCs w:val="36"/>
          <w:lang w:eastAsia="zh-CN"/>
        </w:rPr>
        <w:t>一是</w:t>
      </w:r>
      <w:r>
        <w:rPr>
          <w:rFonts w:hint="eastAsia" w:ascii="楷体_GB2312" w:hAnsi="楷体_GB2312" w:eastAsia="楷体_GB2312" w:cs="楷体_GB2312"/>
          <w:b w:val="0"/>
          <w:bCs w:val="0"/>
          <w:sz w:val="36"/>
          <w:szCs w:val="36"/>
          <w:lang w:val="en-US" w:eastAsia="zh-CN"/>
        </w:rPr>
        <w:t>广泛学习借鉴</w:t>
      </w:r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  <w:t>。研究学习上海市、成都市玉林东路等先进地区街区商业提升的政策文件及工作举措，在政策框架、支持手段、经验做法等方面积极参考借鉴、加紧编制出台，确保本政策在示范性、引领性和可操作性方面走在全市前列。</w:t>
      </w:r>
    </w:p>
    <w:p w14:paraId="3291662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afterLines="0" w:line="580" w:lineRule="exact"/>
        <w:ind w:firstLine="720" w:firstLineChars="200"/>
        <w:textAlignment w:val="baseline"/>
        <w:rPr>
          <w:rFonts w:hint="eastAsia" w:ascii="仿宋_GB2312" w:hAnsi="仿宋_GB2312" w:eastAsia="仿宋_GB2312" w:cs="仿宋_GB2312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  <w:t>二是聚焦立体支持。</w:t>
      </w:r>
      <w:r>
        <w:rPr>
          <w:rFonts w:hint="eastAsia" w:ascii="仿宋_GB2312" w:hAnsi="仿宋_GB2312" w:cs="仿宋_GB2312"/>
          <w:b w:val="0"/>
          <w:bCs w:val="0"/>
          <w:kern w:val="2"/>
          <w:sz w:val="36"/>
          <w:szCs w:val="36"/>
          <w:lang w:val="en-US" w:eastAsia="zh-CN" w:bidi="ar-SA"/>
        </w:rPr>
        <w:t>贯彻系统观念、坚持规划先行，明确发展方向；突出特色培育、立足惠民便民，持续完善街区功能、深化商圈能级；创新多元治理、整合多维支持，确保街区运营有效、管理有序，市场主体活而不乱；优化亮点挖掘和展示传播，推动街区不仅“建得好”、也要“名气响”“传得开”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6"/>
          <w:szCs w:val="36"/>
          <w:lang w:val="en-US" w:eastAsia="zh-CN" w:bidi="ar-SA"/>
        </w:rPr>
        <w:t>。</w:t>
      </w:r>
    </w:p>
    <w:p w14:paraId="44EA39A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afterLines="0" w:line="580" w:lineRule="exact"/>
        <w:ind w:firstLine="720" w:firstLineChars="200"/>
        <w:textAlignment w:val="baseline"/>
        <w:rPr>
          <w:rFonts w:hint="eastAsia" w:ascii="仿宋_GB2312" w:hAnsi="仿宋_GB2312" w:eastAsia="仿宋_GB2312" w:cs="仿宋_GB2312"/>
          <w:sz w:val="36"/>
          <w:szCs w:val="36"/>
          <w:lang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  <w:t>三是密切部门协同。</w:t>
      </w:r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  <w:t>一方面牵头组建街区商业提升工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  <w:t>作专班，整合全区规划建设、产业经济、执法和宣传等多方力量。另一方面广泛征集各方意见，目前已向工作专班各成员单位就《若干措施》初稿完成一轮意见征集，并已按照反馈意见进行修改优化。</w:t>
      </w:r>
    </w:p>
    <w:p w14:paraId="1B01F9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sz w:val="36"/>
          <w:szCs w:val="36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6"/>
          <w:szCs w:val="36"/>
          <w:lang w:val="en-US" w:eastAsia="zh-CN" w:bidi="ar-SA"/>
        </w:rPr>
        <w:t>四是强化工作衔接。</w:t>
      </w: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eastAsia="zh-CN"/>
        </w:rPr>
        <w:t>一是</w:t>
      </w:r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  <w:t>加强</w:t>
      </w:r>
      <w:r>
        <w:rPr>
          <w:rFonts w:hint="eastAsia" w:ascii="仿宋_GB2312" w:hAnsi="仿宋_GB2312" w:cs="仿宋_GB2312"/>
          <w:b w:val="0"/>
          <w:bCs w:val="0"/>
          <w:sz w:val="36"/>
          <w:szCs w:val="36"/>
          <w:lang w:val="en-US" w:eastAsia="zh-CN"/>
        </w:rPr>
        <w:t>街区商业</w:t>
      </w:r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  <w:t>与</w:t>
      </w:r>
      <w:r>
        <w:rPr>
          <w:rFonts w:hint="eastAsia" w:ascii="仿宋_GB2312" w:hAnsi="仿宋_GB2312" w:cs="仿宋_GB2312"/>
          <w:b w:val="0"/>
          <w:bCs w:val="0"/>
          <w:sz w:val="36"/>
          <w:szCs w:val="36"/>
          <w:lang w:val="en-US" w:eastAsia="zh-CN"/>
        </w:rPr>
        <w:t>西外和马连道地区商圈规划、</w:t>
      </w:r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  <w:t>“十五五”时期</w:t>
      </w:r>
      <w:r>
        <w:rPr>
          <w:rFonts w:hint="eastAsia" w:ascii="仿宋_GB2312" w:hAnsi="仿宋_GB2312" w:cs="仿宋_GB2312"/>
          <w:b w:val="0"/>
          <w:bCs w:val="0"/>
          <w:sz w:val="36"/>
          <w:szCs w:val="36"/>
          <w:lang w:val="en-US" w:eastAsia="zh-CN"/>
        </w:rPr>
        <w:t>我区</w:t>
      </w:r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  <w:t>消费规划的衔接</w:t>
      </w:r>
      <w:r>
        <w:rPr>
          <w:rFonts w:hint="eastAsia" w:ascii="仿宋_GB2312" w:hAnsi="仿宋_GB2312" w:cs="仿宋_GB2312"/>
          <w:b w:val="0"/>
          <w:bCs w:val="0"/>
          <w:sz w:val="36"/>
          <w:szCs w:val="36"/>
          <w:lang w:eastAsia="zh-CN"/>
        </w:rPr>
        <w:t>，</w:t>
      </w:r>
      <w:r>
        <w:rPr>
          <w:rFonts w:hint="eastAsia" w:ascii="仿宋_GB2312" w:hAnsi="仿宋_GB2312" w:cs="仿宋_GB2312"/>
          <w:b w:val="0"/>
          <w:bCs w:val="0"/>
          <w:sz w:val="36"/>
          <w:szCs w:val="36"/>
          <w:lang w:val="en-US" w:eastAsia="zh-CN"/>
        </w:rPr>
        <w:t>整体谋划部署</w:t>
      </w:r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  <w:t>。</w:t>
      </w:r>
      <w:r>
        <w:rPr>
          <w:rFonts w:hint="eastAsia" w:ascii="仿宋_GB2312" w:hAnsi="仿宋_GB2312" w:cs="仿宋_GB2312"/>
          <w:b/>
          <w:bCs/>
          <w:sz w:val="36"/>
          <w:szCs w:val="36"/>
          <w:lang w:val="en-US" w:eastAsia="zh-CN"/>
        </w:rPr>
        <w:t>二是</w:t>
      </w:r>
      <w:r>
        <w:rPr>
          <w:rFonts w:hint="eastAsia" w:ascii="仿宋_GB2312" w:hAnsi="仿宋_GB2312" w:cs="仿宋_GB2312"/>
          <w:b w:val="0"/>
          <w:bCs w:val="0"/>
          <w:sz w:val="36"/>
          <w:szCs w:val="36"/>
          <w:lang w:val="en-US" w:eastAsia="zh-CN"/>
        </w:rPr>
        <w:t>加强本措施在西单-积水潭桥线性街区的落地实践，加快运营管理工作机制出台，打造街区多元共治样板。</w:t>
      </w: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eastAsia="zh-CN"/>
        </w:rPr>
        <w:t>三是</w:t>
      </w:r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  <w:t>加强街区营商环境优化与市区改革举措的衔接，在廊坊头条、金树街、锦什坊街等街区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先行先试，优化特色经营活动审批流程。</w:t>
      </w:r>
    </w:p>
    <w:p w14:paraId="1483C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黑体" w:hAnsi="黑体" w:eastAsia="黑体" w:cs="黑体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36"/>
          <w:szCs w:val="36"/>
        </w:rPr>
        <w:t>三、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政策制定过程</w:t>
      </w:r>
    </w:p>
    <w:p w14:paraId="37DCF52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6"/>
          <w:szCs w:val="36"/>
          <w:lang w:val="en-US" w:eastAsia="zh-CN" w:bidi="ar-SA"/>
        </w:rPr>
        <w:t xml:space="preserve">    </w:t>
      </w:r>
      <w:r>
        <w:rPr>
          <w:rFonts w:hint="eastAsia" w:ascii="仿宋_GB2312" w:hAnsi="仿宋_GB2312" w:cs="仿宋_GB2312"/>
          <w:b w:val="0"/>
          <w:bCs w:val="0"/>
          <w:kern w:val="2"/>
          <w:sz w:val="36"/>
          <w:szCs w:val="36"/>
          <w:lang w:val="en-US" w:eastAsia="zh-CN" w:bidi="ar-SA"/>
        </w:rPr>
        <w:t>贯彻落实中央城市工作会议精神、《提振消费专项行动方案》和《北京市深化改革提振消费专项行动方案》部署及区委区政府工作要求，</w:t>
      </w:r>
      <w:r>
        <w:rPr>
          <w:rFonts w:hint="eastAsia" w:ascii="仿宋_GB2312" w:hAnsi="仿宋_GB2312" w:cs="仿宋_GB2312"/>
          <w:b w:val="0"/>
          <w:bCs w:val="0"/>
          <w:sz w:val="36"/>
          <w:szCs w:val="36"/>
          <w:lang w:eastAsia="zh-CN"/>
        </w:rPr>
        <w:t>借鉴</w:t>
      </w:r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  <w:t>上海市、成都市玉林东路等先进地区</w:t>
      </w:r>
      <w:r>
        <w:rPr>
          <w:rFonts w:hint="eastAsia" w:ascii="仿宋_GB2312" w:hAnsi="仿宋_GB2312" w:cs="仿宋_GB2312"/>
          <w:b w:val="0"/>
          <w:bCs w:val="0"/>
          <w:sz w:val="36"/>
          <w:szCs w:val="36"/>
          <w:lang w:eastAsia="zh-CN"/>
        </w:rPr>
        <w:t>相关</w:t>
      </w:r>
      <w:r>
        <w:rPr>
          <w:rFonts w:hint="eastAsia" w:ascii="仿宋_GB2312" w:hAnsi="仿宋_GB2312" w:eastAsia="仿宋_GB2312" w:cs="仿宋_GB2312"/>
          <w:b w:val="0"/>
          <w:bCs w:val="0"/>
          <w:sz w:val="36"/>
          <w:szCs w:val="36"/>
          <w:lang w:eastAsia="zh-CN"/>
        </w:rPr>
        <w:t>文件及工作举措，</w:t>
      </w:r>
      <w:r>
        <w:rPr>
          <w:rFonts w:hint="eastAsia" w:ascii="仿宋_GB2312" w:hAnsi="仿宋_GB2312" w:cs="仿宋_GB2312"/>
          <w:b w:val="0"/>
          <w:bCs w:val="0"/>
          <w:kern w:val="2"/>
          <w:sz w:val="36"/>
          <w:szCs w:val="36"/>
          <w:lang w:val="en-US" w:eastAsia="zh-CN" w:bidi="ar-SA"/>
        </w:rPr>
        <w:t>向区属各相关部门、企业进行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6"/>
          <w:szCs w:val="36"/>
          <w:lang w:val="en-US" w:eastAsia="zh-CN" w:bidi="ar-SA"/>
        </w:rPr>
        <w:t>多轮次</w:t>
      </w:r>
      <w:r>
        <w:rPr>
          <w:rFonts w:hint="eastAsia" w:ascii="仿宋_GB2312" w:hAnsi="仿宋_GB2312" w:cs="仿宋_GB2312"/>
          <w:b w:val="0"/>
          <w:bCs w:val="0"/>
          <w:kern w:val="2"/>
          <w:sz w:val="36"/>
          <w:szCs w:val="36"/>
          <w:lang w:val="en-US" w:eastAsia="zh-CN" w:bidi="ar-SA"/>
        </w:rPr>
        <w:t>意见征集并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6"/>
          <w:szCs w:val="36"/>
          <w:lang w:val="en-US" w:eastAsia="zh-CN" w:bidi="ar-SA"/>
        </w:rPr>
        <w:t>吸收采纳建设性意见建议，形成了《西城区提升街区商业活力的若干措施（征求意见稿）》</w:t>
      </w:r>
    </w:p>
    <w:p w14:paraId="6F0DD2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  <w:lang w:eastAsia="zh-CN"/>
        </w:rPr>
        <w:t>四、政策</w:t>
      </w:r>
      <w:r>
        <w:rPr>
          <w:rFonts w:hint="eastAsia" w:ascii="黑体" w:hAnsi="黑体" w:eastAsia="黑体" w:cs="黑体"/>
          <w:sz w:val="36"/>
          <w:szCs w:val="36"/>
        </w:rPr>
        <w:t>主要内容</w:t>
      </w:r>
    </w:p>
    <w:p w14:paraId="493EC0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sz w:val="36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《若干措施》共</w:t>
      </w:r>
      <w:r>
        <w:rPr>
          <w:rFonts w:hint="eastAsia" w:ascii="仿宋_GB2312" w:hAnsi="仿宋_GB2312" w:cs="仿宋_GB2312"/>
          <w:sz w:val="36"/>
          <w:szCs w:val="36"/>
          <w:lang w:eastAsia="zh-CN"/>
        </w:rPr>
        <w:t>七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条，包含</w:t>
      </w:r>
      <w:r>
        <w:rPr>
          <w:rFonts w:hint="eastAsia" w:ascii="仿宋_GB2312" w:hAnsi="仿宋_GB2312" w:cs="仿宋_GB2312"/>
          <w:sz w:val="36"/>
          <w:szCs w:val="36"/>
          <w:lang w:eastAsia="zh-CN"/>
        </w:rPr>
        <w:t>六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条工作措施及一条保障措施。</w:t>
      </w:r>
    </w:p>
    <w:p w14:paraId="64666D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afterLines="0" w:line="580" w:lineRule="exact"/>
        <w:ind w:firstLine="720" w:firstLineChars="200"/>
        <w:textAlignment w:val="baseline"/>
        <w:rPr>
          <w:rFonts w:hint="eastAsia" w:ascii="仿宋_GB2312" w:hAnsi="仿宋_GB2312" w:eastAsia="仿宋_GB2312" w:cs="仿宋_GB2312"/>
          <w:sz w:val="36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第一条“</w:t>
      </w:r>
      <w:r>
        <w:rPr>
          <w:rFonts w:hint="eastAsia" w:ascii="仿宋_GB2312" w:hAnsi="仿宋_GB2312" w:cs="仿宋_GB2312"/>
          <w:sz w:val="36"/>
          <w:szCs w:val="36"/>
          <w:lang w:eastAsia="zh-CN"/>
        </w:rPr>
        <w:t>加强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规划，优化街区发展布局”。摸排街区闲置资源，清单化、项目化推进街区活力提升，加快制定风貌导则，打造“花园式”绿色街区，持续优化景观照明。</w:t>
      </w:r>
    </w:p>
    <w:p w14:paraId="17B9E165">
      <w:pPr>
        <w:pStyle w:val="3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  <w:t>第二条“培育特色，‘主街+后街’组团发展”。加快推动西单-金融街等四个区域“主街”核心消费带、“后街”深度体验带统筹提升，通过文旅融合、数字赋能、“四个一批”策略等，形成街区新特色、植入街区新业态、培育消费新场景、打造消费新形态。</w:t>
      </w:r>
    </w:p>
    <w:p w14:paraId="799514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  <w:t>第三条“立足惠民，探索社区商业新范式”。持续深化全国城市一刻钟便民生活圈全域推进先行区试点，推进</w:t>
      </w:r>
      <w:r>
        <w:rPr>
          <w:rFonts w:hint="eastAsia" w:ascii="仿宋_GB2312" w:hAnsi="仿宋_GB2312" w:cs="仿宋_GB2312"/>
          <w:kern w:val="0"/>
          <w:sz w:val="36"/>
          <w:szCs w:val="36"/>
          <w:lang w:val="en-US" w:eastAsia="zh-CN" w:bidi="ar-SA"/>
        </w:rPr>
        <w:t>“一老一小”、生鲜便民等基本服务优化，</w:t>
      </w:r>
      <w:r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  <w:t>加</w:t>
      </w:r>
      <w:r>
        <w:rPr>
          <w:rFonts w:hint="eastAsia" w:ascii="仿宋_GB2312" w:hAnsi="仿宋_GB2312" w:cs="仿宋_GB2312"/>
          <w:kern w:val="0"/>
          <w:sz w:val="36"/>
          <w:szCs w:val="36"/>
          <w:lang w:val="en-US" w:eastAsia="zh-CN" w:bidi="ar-SA"/>
        </w:rPr>
        <w:t>大</w:t>
      </w:r>
      <w:r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  <w:t>区级</w:t>
      </w:r>
      <w:r>
        <w:rPr>
          <w:rFonts w:hint="eastAsia" w:ascii="仿宋_GB2312" w:hAnsi="仿宋_GB2312" w:cs="仿宋_GB2312"/>
          <w:kern w:val="0"/>
          <w:sz w:val="36"/>
          <w:szCs w:val="36"/>
          <w:lang w:val="en-US" w:eastAsia="zh-CN" w:bidi="ar-SA"/>
        </w:rPr>
        <w:t>财政支持</w:t>
      </w:r>
      <w:r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  <w:t>，推动新街口百货等综合体增强社区商业属性。</w:t>
      </w:r>
    </w:p>
    <w:p w14:paraId="35F2C6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  <w:t>第四条“多元共治，长效提升治理水平”。坚持“政府</w:t>
      </w:r>
      <w:r>
        <w:rPr>
          <w:rFonts w:hint="eastAsia" w:ascii="仿宋_GB2312" w:hAnsi="仿宋_GB2312" w:cs="仿宋_GB2312"/>
          <w:kern w:val="0"/>
          <w:sz w:val="36"/>
          <w:szCs w:val="36"/>
          <w:lang w:val="en-US" w:eastAsia="zh-CN" w:bidi="ar-SA"/>
        </w:rPr>
        <w:t>支持</w:t>
      </w:r>
      <w:r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  <w:t>、企业运营、</w:t>
      </w:r>
      <w:r>
        <w:rPr>
          <w:rFonts w:hint="eastAsia" w:ascii="仿宋_GB2312" w:hAnsi="仿宋_GB2312" w:cs="仿宋_GB2312"/>
          <w:kern w:val="0"/>
          <w:sz w:val="36"/>
          <w:szCs w:val="36"/>
          <w:lang w:val="en-US" w:eastAsia="zh-CN" w:bidi="ar-SA"/>
        </w:rPr>
        <w:t>多方</w:t>
      </w:r>
      <w:r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  <w:t>参与”，构建街区共生治理机制，发挥运营公司在建平台、强管控、促共治方面的前端作用。</w:t>
      </w:r>
    </w:p>
    <w:p w14:paraId="7C5763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  <w:t>第五条“多维发力，打好优化营商‘组合拳’”。针对街区商户强化政策支持，优化沿线营销活动备案审批服务流程和机制，推广“无事不扰”和柔性执法，定期开展街区商业矛盾纠纷会商处置。</w:t>
      </w:r>
    </w:p>
    <w:p w14:paraId="7B79A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  <w:t>第六条“深挖亮点，助力街区展示传播”。加强新媒体平台合作，整合多元营销形式资源，丰富街区探访和志愿服务活动供给。</w:t>
      </w:r>
    </w:p>
    <w:p w14:paraId="5E739B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6"/>
          <w:szCs w:val="36"/>
          <w:lang w:val="en-US" w:eastAsia="zh-CN" w:bidi="ar-SA"/>
        </w:rPr>
        <w:t>第七条“保障措施”。建立街区商业提升工作专班，成员单位包括12个委办局及15个街道，办公室设于区商务局。</w:t>
      </w:r>
    </w:p>
    <w:p w14:paraId="2B2651A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napToGrid/>
      </w:pPr>
    </w:p>
    <w:sectPr>
      <w:footerReference r:id="rId5" w:type="default"/>
      <w:pgSz w:w="11906" w:h="16838"/>
      <w:pgMar w:top="2098" w:right="1474" w:bottom="1984" w:left="1587" w:header="851" w:footer="992" w:gutter="0"/>
      <w:pgNumType w:fmt="decimal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270EF0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0F4AEF"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50F4AEF"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1F457C"/>
    <w:rsid w:val="06811487"/>
    <w:rsid w:val="06847DB5"/>
    <w:rsid w:val="097E5C4C"/>
    <w:rsid w:val="0A7D5F0B"/>
    <w:rsid w:val="17930C78"/>
    <w:rsid w:val="19DE0E53"/>
    <w:rsid w:val="1C7F6311"/>
    <w:rsid w:val="200709F2"/>
    <w:rsid w:val="202F71C8"/>
    <w:rsid w:val="20876F52"/>
    <w:rsid w:val="26347E68"/>
    <w:rsid w:val="29FA2899"/>
    <w:rsid w:val="2C2422F5"/>
    <w:rsid w:val="2DE7182C"/>
    <w:rsid w:val="329942BA"/>
    <w:rsid w:val="332735FA"/>
    <w:rsid w:val="33633282"/>
    <w:rsid w:val="33F86624"/>
    <w:rsid w:val="37CE5E3F"/>
    <w:rsid w:val="38657E6D"/>
    <w:rsid w:val="38C411F3"/>
    <w:rsid w:val="38C427BC"/>
    <w:rsid w:val="3AD635B4"/>
    <w:rsid w:val="3B7B1FE2"/>
    <w:rsid w:val="3FF94B8B"/>
    <w:rsid w:val="404B727A"/>
    <w:rsid w:val="415B2A37"/>
    <w:rsid w:val="479712D6"/>
    <w:rsid w:val="48BB6ACA"/>
    <w:rsid w:val="49EC1762"/>
    <w:rsid w:val="4A07042F"/>
    <w:rsid w:val="51D132FD"/>
    <w:rsid w:val="52BB65D3"/>
    <w:rsid w:val="54794801"/>
    <w:rsid w:val="5D0525E8"/>
    <w:rsid w:val="5ECB5E31"/>
    <w:rsid w:val="67D0475F"/>
    <w:rsid w:val="693C4B38"/>
    <w:rsid w:val="6AEE7F50"/>
    <w:rsid w:val="6B96396E"/>
    <w:rsid w:val="6CD41BED"/>
    <w:rsid w:val="6F597EB9"/>
    <w:rsid w:val="71205775"/>
    <w:rsid w:val="7DF2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jc w:val="both"/>
    </w:pPr>
    <w:rPr>
      <w:rFonts w:ascii="Calibri" w:hAnsi="Calibri" w:eastAsia="仿宋_GB2312" w:cs="Arial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640" w:lineRule="exact"/>
      <w:jc w:val="center"/>
      <w:outlineLvl w:val="0"/>
    </w:pPr>
    <w:rPr>
      <w:rFonts w:eastAsia="方正小标宋简体"/>
      <w:kern w:val="44"/>
      <w:sz w:val="44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customStyle="1" w:styleId="3">
    <w:name w:val="目录 11"/>
    <w:basedOn w:val="1"/>
    <w:next w:val="1"/>
    <w:qFormat/>
    <w:uiPriority w:val="0"/>
    <w:pPr>
      <w:widowControl/>
      <w:wordWrap w:val="0"/>
    </w:pPr>
    <w:rPr>
      <w:rFonts w:ascii="Times New Roman" w:hAnsi="Times New Roman" w:eastAsia="宋体" w:cs="Times New Roman"/>
      <w:kern w:val="0"/>
      <w:szCs w:val="21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customStyle="1" w:styleId="11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Office_12.8.2.17838_F1E327BC-269C-435d-A152-05C5408002CA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2025-07-15T07:50:00Z</dcterms:created>
  <dc:creator>YUANJIAQI</dc:creator>
  <cp:lastModifiedBy>spidey</cp:lastModifiedBy>
  <dcterms:modified xsi:type="dcterms:W3CDTF">2026-05-18T03:12:40Z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2052-12.8.2.17838</vt:lpwstr>
  </property>
  <property fmtid="{D5CDD505-2E9C-101B-9397-08002B2CF9AE}" pid="3" name="ICV">
    <vt:lpwstr>D530E0449AC54F259A796437E92AA1B3_12</vt:lpwstr>
  </property>
</Properties>
</file>