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54"/>
        <w:gridCol w:w="1521"/>
        <w:gridCol w:w="1785"/>
        <w:gridCol w:w="1688"/>
        <w:gridCol w:w="1879"/>
        <w:gridCol w:w="3853"/>
        <w:gridCol w:w="2520"/>
      </w:tblGrid>
      <w:tr w:rsidR="00CE0CC5" w:rsidTr="00B320AD">
        <w:trPr>
          <w:trHeight w:val="749"/>
          <w:jc w:val="center"/>
        </w:trPr>
        <w:tc>
          <w:tcPr>
            <w:tcW w:w="140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0CC5" w:rsidRDefault="00CE0CC5" w:rsidP="00B320AD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北京市民政养老机构行政处罚裁量基准表</w:t>
            </w:r>
          </w:p>
        </w:tc>
      </w:tr>
      <w:tr w:rsidR="00CE0CC5" w:rsidTr="00B320AD">
        <w:trPr>
          <w:trHeight w:val="41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序号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sz w:val="20"/>
              </w:rPr>
              <w:t>编号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违法行为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法律依据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违法情形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裁量基准</w:t>
            </w:r>
          </w:p>
        </w:tc>
      </w:tr>
      <w:tr w:rsidR="00CE0CC5" w:rsidTr="00B320AD">
        <w:trPr>
          <w:trHeight w:val="426"/>
          <w:jc w:val="center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违法行为依据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处罚依据</w:t>
            </w: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rPr>
                <w:rFonts w:ascii="黑体" w:eastAsia="黑体" w:hAnsi="宋体"/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rPr>
                <w:rFonts w:ascii="黑体" w:eastAsia="黑体" w:hAnsi="宋体"/>
                <w:sz w:val="20"/>
              </w:rPr>
            </w:pPr>
          </w:p>
        </w:tc>
      </w:tr>
      <w:tr w:rsidR="00CE0CC5" w:rsidTr="00B320AD">
        <w:trPr>
          <w:trHeight w:val="754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C08164B010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养老机构未建立入院评估制度或者未按照规定开展评估活动的行为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《养老机构管理办法》（2020年）第十五条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《养老机构管理办法》（2020年）第四十六条第一款第（一）项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未建立入院评估制度的，情节轻微的；</w:t>
            </w:r>
          </w:p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未按照规定开展评估活动，情节轻微的；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警告</w:t>
            </w:r>
            <w:r>
              <w:rPr>
                <w:rFonts w:ascii="宋体" w:eastAsia="宋体" w:hAnsi="宋体" w:cs="宋体" w:hint="eastAsia"/>
                <w:sz w:val="20"/>
              </w:rPr>
              <w:t>。</w:t>
            </w:r>
          </w:p>
        </w:tc>
      </w:tr>
      <w:tr w:rsidR="00CE0CC5" w:rsidTr="00B320AD">
        <w:trPr>
          <w:trHeight w:val="709"/>
          <w:jc w:val="center"/>
        </w:trPr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C08164B020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未建立入院评估制度或者未按照规定开展评估活动，情节严重的。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处以3万元以下罚款。</w:t>
            </w:r>
          </w:p>
        </w:tc>
      </w:tr>
      <w:tr w:rsidR="00CE0CC5" w:rsidTr="00B320AD">
        <w:trPr>
          <w:trHeight w:val="828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C08078B010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养老机构未与老年人或者其代理人签订服务协议，或者未按照协议约定提供服务的行为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《老年人权益保障法》（2018年修正版）第七十九条、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《养老机构管理办法》（2020年）第十六条第一款、第十七条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《养老机构管理办法》（2020年）第四十六条第一款第（二）项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未与老年人或者其代理人签订服务协议，或者未按照协议约定提供服务，情节轻微的；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警告</w:t>
            </w:r>
            <w:r>
              <w:rPr>
                <w:rFonts w:ascii="宋体" w:eastAsia="宋体" w:hAnsi="宋体" w:cs="宋体" w:hint="eastAsia"/>
                <w:sz w:val="20"/>
              </w:rPr>
              <w:t>。</w:t>
            </w:r>
          </w:p>
        </w:tc>
      </w:tr>
      <w:tr w:rsidR="00CE0CC5" w:rsidTr="00B320AD">
        <w:trPr>
          <w:trHeight w:val="925"/>
          <w:jc w:val="center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C08078B020</w:t>
            </w: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情节严重的。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处以3万元以下罚款。</w:t>
            </w:r>
          </w:p>
        </w:tc>
      </w:tr>
      <w:tr w:rsidR="00CE0CC5" w:rsidTr="00B320AD">
        <w:trPr>
          <w:trHeight w:val="82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ind w:firstLineChars="200" w:firstLine="400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C08080B010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养老机构未按照有关强制性国家标准提供服务的行为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《养老机构管理办法》（2020年）第四条第一款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《养老机构管理办法》（2020年）第四十六条第一款第（三）项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未按照建筑、消防、食品安全、医疗卫生、特种设备等有关强制性国家标准提供服务，情节轻微的；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警告</w:t>
            </w:r>
            <w:r>
              <w:rPr>
                <w:rFonts w:ascii="宋体" w:eastAsia="宋体" w:hAnsi="宋体" w:cs="宋体" w:hint="eastAsia"/>
                <w:sz w:val="20"/>
              </w:rPr>
              <w:t>。</w:t>
            </w:r>
          </w:p>
        </w:tc>
      </w:tr>
      <w:tr w:rsidR="00CE0CC5" w:rsidTr="00B320AD">
        <w:trPr>
          <w:trHeight w:val="510"/>
          <w:jc w:val="center"/>
        </w:trPr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highlight w:val="yellow"/>
              </w:rPr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C08080B020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情节严重的。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处以3万元以下罚款。</w:t>
            </w:r>
          </w:p>
        </w:tc>
      </w:tr>
      <w:tr w:rsidR="00CE0CC5" w:rsidTr="00B320AD">
        <w:trPr>
          <w:trHeight w:val="50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ind w:firstLineChars="200" w:firstLine="400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C08081B010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养老机构工作人员的资格不符合规定的行为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《养老机构管理办法》（2020年）第二十六条第二款 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养老机构管理办法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</w:rPr>
              <w:t>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</w:rPr>
              <w:t>（2020年）第四十六条第一款第（四）项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工作人员的资格不符合规定，情节轻微的；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警告</w:t>
            </w:r>
            <w:r>
              <w:rPr>
                <w:rFonts w:ascii="宋体" w:eastAsia="宋体" w:hAnsi="宋体" w:cs="宋体" w:hint="eastAsia"/>
                <w:sz w:val="20"/>
              </w:rPr>
              <w:t>。</w:t>
            </w:r>
          </w:p>
        </w:tc>
      </w:tr>
      <w:tr w:rsidR="00CE0CC5" w:rsidTr="00B320AD">
        <w:trPr>
          <w:trHeight w:val="430"/>
          <w:jc w:val="center"/>
        </w:trPr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C08081B020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情节严重的。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处以3万元以下罚款。</w:t>
            </w:r>
          </w:p>
        </w:tc>
      </w:tr>
      <w:tr w:rsidR="00CE0CC5" w:rsidTr="00B320AD">
        <w:trPr>
          <w:trHeight w:val="597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ind w:firstLineChars="200" w:firstLine="400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C08083B010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利用养老机构的房屋、场地、设施开展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与养老服务宗旨无关的活动的行为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《养老机构管理办法》（2020年）第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四十六条第一款第（五）项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《养老机构管理办法》（2020年）第四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十六条第一款第（五）项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利用养老机构的房屋、场地、设施开展与养老服务宗旨无关的活动，情节轻微的；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警告。</w:t>
            </w:r>
          </w:p>
        </w:tc>
      </w:tr>
      <w:tr w:rsidR="00CE0CC5" w:rsidTr="00B320AD">
        <w:trPr>
          <w:trHeight w:val="509"/>
          <w:jc w:val="center"/>
        </w:trPr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C08083B020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情节严重的。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处以3万元以下罚款。</w:t>
            </w:r>
          </w:p>
        </w:tc>
      </w:tr>
      <w:tr w:rsidR="00CE0CC5" w:rsidTr="00B320AD">
        <w:trPr>
          <w:trHeight w:val="574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ind w:firstLineChars="200" w:firstLine="400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C08163B010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养老机构未依照本办法规定预防和处置突发事件的行为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《养老机构管理办法》（2020年）第三十一条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《养老机构管理办法》（2020年）第四十六条第一款第（六）项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未依照本办法规定预防和处置突发事件，情节轻微的；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警告</w:t>
            </w:r>
            <w:r>
              <w:rPr>
                <w:rFonts w:ascii="宋体" w:eastAsia="宋体" w:hAnsi="宋体" w:cs="宋体" w:hint="eastAsia"/>
                <w:sz w:val="20"/>
              </w:rPr>
              <w:t>。</w:t>
            </w:r>
          </w:p>
        </w:tc>
      </w:tr>
      <w:tr w:rsidR="00CE0CC5" w:rsidTr="00B320AD">
        <w:trPr>
          <w:trHeight w:val="532"/>
          <w:jc w:val="center"/>
        </w:trPr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C08163B020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情节严重的。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处以3万元以下罚款。</w:t>
            </w:r>
          </w:p>
        </w:tc>
      </w:tr>
      <w:tr w:rsidR="00CE0CC5" w:rsidTr="00B320AD">
        <w:trPr>
          <w:trHeight w:val="593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ind w:firstLineChars="200" w:firstLine="400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C08084B010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养老机构歧视、侮辱、虐待老年人以及其他侵害老年人人身和财产权益的行为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《老年人权益保障法》（2018年修正版）第七十条第二款、第七十九条、《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养老机构管理办法》（2020年）第四条第二款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《养老机构管理办法》（2020年）第四十六条第一款第（七）项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歧视、侮辱、虐待老年人以及其他侵害老年人人身和财产权益，情节轻微的；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警告</w:t>
            </w:r>
            <w:r>
              <w:rPr>
                <w:rFonts w:ascii="宋体" w:eastAsia="宋体" w:hAnsi="宋体" w:cs="宋体" w:hint="eastAsia"/>
                <w:sz w:val="20"/>
              </w:rPr>
              <w:t>。</w:t>
            </w:r>
          </w:p>
        </w:tc>
      </w:tr>
      <w:tr w:rsidR="00CE0CC5" w:rsidTr="00B320AD">
        <w:trPr>
          <w:trHeight w:val="1326"/>
          <w:jc w:val="center"/>
        </w:trPr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C08084B020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情节严重的。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处以3万元以下罚款。</w:t>
            </w:r>
          </w:p>
        </w:tc>
      </w:tr>
      <w:tr w:rsidR="00CE0CC5" w:rsidTr="00B320AD">
        <w:trPr>
          <w:trHeight w:val="825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ind w:firstLineChars="200" w:firstLine="400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C08082B010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养老机构向负责监督检查的民政部门隐瞒有关情况、提供虚假材料或者拒绝提供反映其活动情况真实材料的行为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《养老机构管理办法》（2020年）第三十六条、第三十七条第三款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《养老机构管理办法》（2020年）第四十六条第一款第（八）项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向负责监督检查的民政部门隐瞒有关情况、提供虚假材料或者拒绝提供反映其活动情况真实材料，情节轻微的；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警告</w:t>
            </w:r>
            <w:r>
              <w:rPr>
                <w:rFonts w:ascii="宋体" w:eastAsia="宋体" w:hAnsi="宋体" w:cs="宋体" w:hint="eastAsia"/>
                <w:sz w:val="20"/>
              </w:rPr>
              <w:t>。</w:t>
            </w:r>
          </w:p>
        </w:tc>
      </w:tr>
      <w:tr w:rsidR="00CE0CC5" w:rsidTr="00B320AD">
        <w:trPr>
          <w:trHeight w:val="783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C08082B020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情节严重的。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处以3万元以下罚款。</w:t>
            </w:r>
          </w:p>
        </w:tc>
      </w:tr>
      <w:tr w:rsidR="00CE0CC5" w:rsidTr="00B320AD">
        <w:trPr>
          <w:trHeight w:val="574"/>
          <w:jc w:val="center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ind w:firstLineChars="200" w:firstLine="400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C08086B010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养老机构存在法律、法规、规章规定的其他违法行为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《养老机构管理办法》（2020年）第四十六条第一款第（九）项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《养老机构管理办法》（2020年）第四十六条第一款第（九）项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养老机构存在法律、法规、规章规定的其他违法行为，情节轻微的；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警告</w:t>
            </w:r>
            <w:r>
              <w:rPr>
                <w:rFonts w:ascii="宋体" w:eastAsia="宋体" w:hAnsi="宋体" w:cs="宋体" w:hint="eastAsia"/>
                <w:sz w:val="20"/>
              </w:rPr>
              <w:t>。</w:t>
            </w:r>
          </w:p>
        </w:tc>
      </w:tr>
      <w:tr w:rsidR="00CE0CC5" w:rsidTr="00B320AD">
        <w:trPr>
          <w:trHeight w:val="532"/>
          <w:jc w:val="center"/>
        </w:trPr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sz w:val="20"/>
                <w:highlight w:val="yellow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C08086B020</w:t>
            </w:r>
          </w:p>
        </w:tc>
        <w:tc>
          <w:tcPr>
            <w:tcW w:w="1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情节严重的。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处以3万元以下罚款。</w:t>
            </w:r>
          </w:p>
        </w:tc>
      </w:tr>
      <w:tr w:rsidR="00CE0CC5" w:rsidTr="00B320AD">
        <w:trPr>
          <w:trHeight w:val="2078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lastRenderedPageBreak/>
              <w:t>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C08165B000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养老机构存在可能危及人身健康和生命财产安全风险的，责令限期改正，逾期不改的行为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《老年人权益保障法》（2018年修正版）第四十五条第一款第（四）项、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《养老机构管理办法》（2020年）第三十七条</w:t>
            </w:r>
            <w:r>
              <w:rPr>
                <w:rFonts w:ascii="宋体" w:eastAsia="宋体" w:hAnsi="宋体" w:cs="宋体" w:hint="eastAsia"/>
                <w:sz w:val="20"/>
              </w:rPr>
              <w:t>第一款第（四）项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</w:rPr>
              <w:t>《老年人权益保障法》（2018年修正版）第四十五条第一款第（四）项、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养老机构管理办法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</w:rPr>
              <w:t>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</w:rPr>
              <w:t>（2020年）第三十七条</w:t>
            </w:r>
            <w:r>
              <w:rPr>
                <w:rFonts w:ascii="宋体" w:eastAsia="宋体" w:hAnsi="宋体" w:cs="宋体" w:hint="eastAsia"/>
                <w:sz w:val="20"/>
              </w:rPr>
              <w:t>第一款第（四）项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养老机构存在可能危及人身健康和生命财产安全风险的，经责令限期改正后，逾期不改正的。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责令停业整顿。</w:t>
            </w:r>
          </w:p>
        </w:tc>
      </w:tr>
      <w:tr w:rsidR="00CE0CC5" w:rsidTr="00B320AD">
        <w:trPr>
          <w:trHeight w:val="592"/>
          <w:jc w:val="center"/>
        </w:trPr>
        <w:tc>
          <w:tcPr>
            <w:tcW w:w="14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CC5" w:rsidRDefault="00CE0CC5" w:rsidP="00B320A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备注：《北京市民政养老机构行政处罚裁量基准表》自印发之日起实施。《北京市民政行政处罚裁量基准》（京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</w:rPr>
              <w:t>民执发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</w:rPr>
              <w:t>〔2020〕127号）附件《北京市民政行政处罚裁量基准表》中第109项至117项有关养老机构的裁量基准同时废止。</w:t>
            </w:r>
          </w:p>
        </w:tc>
      </w:tr>
    </w:tbl>
    <w:p w:rsidR="00936620" w:rsidRPr="00CE0CC5" w:rsidRDefault="00936620"/>
    <w:sectPr w:rsidR="00936620" w:rsidRPr="00CE0CC5" w:rsidSect="00CE0C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EEF" w:rsidRDefault="00516EEF" w:rsidP="00CE0CC5">
      <w:r>
        <w:separator/>
      </w:r>
    </w:p>
  </w:endnote>
  <w:endnote w:type="continuationSeparator" w:id="0">
    <w:p w:rsidR="00516EEF" w:rsidRDefault="00516EEF" w:rsidP="00CE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EEF" w:rsidRDefault="00516EEF" w:rsidP="00CE0CC5">
      <w:r>
        <w:separator/>
      </w:r>
    </w:p>
  </w:footnote>
  <w:footnote w:type="continuationSeparator" w:id="0">
    <w:p w:rsidR="00516EEF" w:rsidRDefault="00516EEF" w:rsidP="00CE0C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CC5"/>
    <w:rsid w:val="00031698"/>
    <w:rsid w:val="000364FE"/>
    <w:rsid w:val="00045C15"/>
    <w:rsid w:val="000531D2"/>
    <w:rsid w:val="00075354"/>
    <w:rsid w:val="0008099B"/>
    <w:rsid w:val="000B7269"/>
    <w:rsid w:val="000E6BF9"/>
    <w:rsid w:val="000F3012"/>
    <w:rsid w:val="00116320"/>
    <w:rsid w:val="00162F9D"/>
    <w:rsid w:val="001632B3"/>
    <w:rsid w:val="00167C78"/>
    <w:rsid w:val="00167F32"/>
    <w:rsid w:val="00175521"/>
    <w:rsid w:val="00176049"/>
    <w:rsid w:val="001858F6"/>
    <w:rsid w:val="001C2592"/>
    <w:rsid w:val="001D01DB"/>
    <w:rsid w:val="001D154F"/>
    <w:rsid w:val="001D6D22"/>
    <w:rsid w:val="001E1A12"/>
    <w:rsid w:val="00213F3D"/>
    <w:rsid w:val="00230E60"/>
    <w:rsid w:val="0023780C"/>
    <w:rsid w:val="00273026"/>
    <w:rsid w:val="002911AA"/>
    <w:rsid w:val="002B5003"/>
    <w:rsid w:val="002C50C4"/>
    <w:rsid w:val="002E27F7"/>
    <w:rsid w:val="0031283A"/>
    <w:rsid w:val="00356975"/>
    <w:rsid w:val="003979C1"/>
    <w:rsid w:val="003A5492"/>
    <w:rsid w:val="003C6A53"/>
    <w:rsid w:val="003D0364"/>
    <w:rsid w:val="003E1AAA"/>
    <w:rsid w:val="00414B48"/>
    <w:rsid w:val="00424446"/>
    <w:rsid w:val="00433E3E"/>
    <w:rsid w:val="00442CA3"/>
    <w:rsid w:val="00497FA6"/>
    <w:rsid w:val="004A3C14"/>
    <w:rsid w:val="004B4269"/>
    <w:rsid w:val="004C6524"/>
    <w:rsid w:val="004D6E65"/>
    <w:rsid w:val="004E2C41"/>
    <w:rsid w:val="00514851"/>
    <w:rsid w:val="00516EEF"/>
    <w:rsid w:val="005276AC"/>
    <w:rsid w:val="00572F60"/>
    <w:rsid w:val="0057360F"/>
    <w:rsid w:val="005A21D9"/>
    <w:rsid w:val="005A560A"/>
    <w:rsid w:val="005F0A32"/>
    <w:rsid w:val="005F3594"/>
    <w:rsid w:val="0060361D"/>
    <w:rsid w:val="00604941"/>
    <w:rsid w:val="00634C95"/>
    <w:rsid w:val="00656E6B"/>
    <w:rsid w:val="00667C44"/>
    <w:rsid w:val="0068013D"/>
    <w:rsid w:val="006C0ACB"/>
    <w:rsid w:val="0074770F"/>
    <w:rsid w:val="00752F13"/>
    <w:rsid w:val="00760A5E"/>
    <w:rsid w:val="00762B1A"/>
    <w:rsid w:val="00766F45"/>
    <w:rsid w:val="007973DF"/>
    <w:rsid w:val="007A6CC2"/>
    <w:rsid w:val="00804BA7"/>
    <w:rsid w:val="008339A5"/>
    <w:rsid w:val="00846458"/>
    <w:rsid w:val="008619FB"/>
    <w:rsid w:val="00861D0A"/>
    <w:rsid w:val="00872AA5"/>
    <w:rsid w:val="008B1963"/>
    <w:rsid w:val="008C1AA9"/>
    <w:rsid w:val="008C3834"/>
    <w:rsid w:val="008F1840"/>
    <w:rsid w:val="009111CF"/>
    <w:rsid w:val="00936620"/>
    <w:rsid w:val="00980B8C"/>
    <w:rsid w:val="009A2B1A"/>
    <w:rsid w:val="009A7EBD"/>
    <w:rsid w:val="009B11FA"/>
    <w:rsid w:val="009B1861"/>
    <w:rsid w:val="009C11E2"/>
    <w:rsid w:val="009C2BD9"/>
    <w:rsid w:val="009D2528"/>
    <w:rsid w:val="00A1603C"/>
    <w:rsid w:val="00A62853"/>
    <w:rsid w:val="00A66B65"/>
    <w:rsid w:val="00A73C34"/>
    <w:rsid w:val="00A7705F"/>
    <w:rsid w:val="00A91BA7"/>
    <w:rsid w:val="00AA4DFB"/>
    <w:rsid w:val="00AE4495"/>
    <w:rsid w:val="00AF0C43"/>
    <w:rsid w:val="00B2704B"/>
    <w:rsid w:val="00BC4B82"/>
    <w:rsid w:val="00BF1FF9"/>
    <w:rsid w:val="00C12AB4"/>
    <w:rsid w:val="00C35603"/>
    <w:rsid w:val="00C52409"/>
    <w:rsid w:val="00C53D5C"/>
    <w:rsid w:val="00C663AF"/>
    <w:rsid w:val="00CB2336"/>
    <w:rsid w:val="00CE0CC5"/>
    <w:rsid w:val="00CE3D2B"/>
    <w:rsid w:val="00CF75FA"/>
    <w:rsid w:val="00D51638"/>
    <w:rsid w:val="00D9203A"/>
    <w:rsid w:val="00DC5939"/>
    <w:rsid w:val="00DC7585"/>
    <w:rsid w:val="00DE2FA8"/>
    <w:rsid w:val="00DE4F74"/>
    <w:rsid w:val="00DE4FE0"/>
    <w:rsid w:val="00DF5784"/>
    <w:rsid w:val="00E21149"/>
    <w:rsid w:val="00E4364B"/>
    <w:rsid w:val="00E467B5"/>
    <w:rsid w:val="00ED6513"/>
    <w:rsid w:val="00F6675F"/>
    <w:rsid w:val="00F84203"/>
    <w:rsid w:val="00F90159"/>
    <w:rsid w:val="00FA121A"/>
    <w:rsid w:val="00FE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C5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C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C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C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董玫瑰</dc:creator>
  <cp:lastModifiedBy>董玫瑰</cp:lastModifiedBy>
  <cp:revision>2</cp:revision>
  <dcterms:created xsi:type="dcterms:W3CDTF">2021-03-01T01:18:00Z</dcterms:created>
  <dcterms:modified xsi:type="dcterms:W3CDTF">2021-03-01T01:18:00Z</dcterms:modified>
</cp:coreProperties>
</file>