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0" w:type="auto"/>
        <w:jc w:val="center"/>
        <w:tblLayout w:type="fixed"/>
        <w:tblCellMar>
          <w:top w:w="15" w:type="dxa"/>
          <w:left w:w="15" w:type="dxa"/>
          <w:bottom w:w="15" w:type="dxa"/>
          <w:right w:w="15" w:type="dxa"/>
        </w:tblCellMar>
      </w:tblPr>
      <w:tblGrid>
        <w:gridCol w:w="504"/>
        <w:gridCol w:w="1161"/>
        <w:gridCol w:w="585"/>
        <w:gridCol w:w="1545"/>
        <w:gridCol w:w="1501"/>
        <w:gridCol w:w="1501"/>
        <w:gridCol w:w="4266"/>
        <w:gridCol w:w="2907"/>
      </w:tblGrid>
      <w:tr>
        <w:tblPrEx>
          <w:tblCellMar>
            <w:top w:w="15" w:type="dxa"/>
            <w:left w:w="15" w:type="dxa"/>
            <w:bottom w:w="15" w:type="dxa"/>
            <w:right w:w="15" w:type="dxa"/>
          </w:tblCellMar>
        </w:tblPrEx>
        <w:trPr>
          <w:trHeight w:val="1271" w:hRule="atLeast"/>
          <w:jc w:val="center"/>
        </w:trPr>
        <w:tc>
          <w:tcPr>
            <w:tcW w:w="13970" w:type="dxa"/>
            <w:gridSpan w:val="8"/>
            <w:tcBorders>
              <w:top w:val="nil"/>
              <w:left w:val="nil"/>
              <w:bottom w:val="single" w:color="auto" w:sz="4" w:space="0"/>
              <w:right w:val="nil"/>
            </w:tcBorders>
            <w:vAlign w:val="center"/>
          </w:tcPr>
          <w:p>
            <w:pPr>
              <w:widowControl/>
              <w:textAlignment w:val="center"/>
              <w:rPr>
                <w:rFonts w:hint="eastAsia" w:ascii="黑体" w:hAnsi="黑体" w:eastAsia="黑体"/>
                <w:kern w:val="0"/>
                <w:szCs w:val="32"/>
              </w:rPr>
            </w:pPr>
            <w:r>
              <w:rPr>
                <w:rFonts w:hint="eastAsia" w:ascii="黑体" w:hAnsi="黑体" w:eastAsia="黑体"/>
                <w:kern w:val="0"/>
                <w:szCs w:val="32"/>
              </w:rPr>
              <w:t>附件</w:t>
            </w:r>
          </w:p>
          <w:p>
            <w:pPr>
              <w:widowControl/>
              <w:spacing w:line="560" w:lineRule="exact"/>
              <w:jc w:val="center"/>
              <w:textAlignment w:val="center"/>
              <w:rPr>
                <w:rFonts w:hint="eastAsia" w:ascii="黑体" w:hAnsi="宋体" w:eastAsia="黑体"/>
                <w:kern w:val="0"/>
                <w:sz w:val="20"/>
              </w:rPr>
            </w:pPr>
            <w:bookmarkStart w:id="0" w:name="_GoBack"/>
            <w:r>
              <w:rPr>
                <w:rFonts w:hint="eastAsia" w:ascii="方正小标宋简体" w:hAnsi="方正小标宋简体" w:eastAsia="方正小标宋简体" w:cs="方正小标宋简体"/>
                <w:kern w:val="0"/>
                <w:sz w:val="44"/>
                <w:szCs w:val="44"/>
              </w:rPr>
              <w:t>北京市民政行政处罚裁量基准表</w:t>
            </w:r>
            <w:bookmarkEnd w:id="0"/>
          </w:p>
        </w:tc>
      </w:tr>
      <w:tr>
        <w:tblPrEx>
          <w:tblCellMar>
            <w:top w:w="15" w:type="dxa"/>
            <w:left w:w="15" w:type="dxa"/>
            <w:bottom w:w="15" w:type="dxa"/>
            <w:right w:w="15" w:type="dxa"/>
          </w:tblCellMar>
        </w:tblPrEx>
        <w:trPr>
          <w:trHeight w:val="458" w:hRule="atLeast"/>
          <w:jc w:val="center"/>
        </w:trPr>
        <w:tc>
          <w:tcPr>
            <w:tcW w:w="50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黑体" w:hAnsi="宋体" w:eastAsia="黑体"/>
                <w:sz w:val="20"/>
              </w:rPr>
            </w:pPr>
            <w:r>
              <w:rPr>
                <w:rFonts w:hint="eastAsia" w:ascii="黑体" w:hAnsi="宋体" w:eastAsia="黑体"/>
                <w:kern w:val="0"/>
                <w:sz w:val="20"/>
              </w:rPr>
              <w:t>序号</w:t>
            </w:r>
          </w:p>
        </w:tc>
        <w:tc>
          <w:tcPr>
            <w:tcW w:w="116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黑体" w:hAnsi="宋体" w:eastAsia="黑体"/>
                <w:sz w:val="20"/>
              </w:rPr>
            </w:pPr>
            <w:r>
              <w:rPr>
                <w:rFonts w:hint="eastAsia" w:ascii="黑体" w:hAnsi="宋体" w:eastAsia="黑体"/>
                <w:kern w:val="0"/>
                <w:sz w:val="20"/>
              </w:rPr>
              <w:t>基准编码</w:t>
            </w:r>
          </w:p>
        </w:tc>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黑体" w:hAnsi="宋体" w:eastAsia="黑体"/>
                <w:sz w:val="20"/>
              </w:rPr>
            </w:pPr>
            <w:r>
              <w:rPr>
                <w:rFonts w:hint="eastAsia" w:ascii="黑体" w:hAnsi="宋体" w:eastAsia="黑体"/>
                <w:kern w:val="0"/>
                <w:sz w:val="20"/>
              </w:rPr>
              <w:t>业务分类</w:t>
            </w:r>
          </w:p>
        </w:tc>
        <w:tc>
          <w:tcPr>
            <w:tcW w:w="15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黑体" w:hAnsi="宋体" w:eastAsia="黑体"/>
                <w:sz w:val="20"/>
              </w:rPr>
            </w:pPr>
            <w:r>
              <w:rPr>
                <w:rFonts w:hint="eastAsia" w:ascii="黑体" w:hAnsi="宋体" w:eastAsia="黑体"/>
                <w:kern w:val="0"/>
                <w:sz w:val="20"/>
              </w:rPr>
              <w:t>违法行为</w:t>
            </w:r>
          </w:p>
        </w:tc>
        <w:tc>
          <w:tcPr>
            <w:tcW w:w="300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黑体" w:hAnsi="宋体" w:eastAsia="黑体"/>
                <w:sz w:val="20"/>
              </w:rPr>
            </w:pPr>
            <w:r>
              <w:rPr>
                <w:rFonts w:hint="eastAsia" w:ascii="黑体" w:hAnsi="宋体" w:eastAsia="黑体"/>
                <w:kern w:val="0"/>
                <w:sz w:val="20"/>
              </w:rPr>
              <w:t>法律依据</w:t>
            </w:r>
          </w:p>
        </w:tc>
        <w:tc>
          <w:tcPr>
            <w:tcW w:w="426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黑体" w:hAnsi="宋体" w:eastAsia="黑体"/>
                <w:sz w:val="20"/>
              </w:rPr>
            </w:pPr>
            <w:r>
              <w:rPr>
                <w:rFonts w:hint="eastAsia" w:ascii="黑体" w:hAnsi="宋体" w:eastAsia="黑体"/>
                <w:kern w:val="0"/>
                <w:sz w:val="20"/>
              </w:rPr>
              <w:t>违法情形</w:t>
            </w:r>
          </w:p>
        </w:tc>
        <w:tc>
          <w:tcPr>
            <w:tcW w:w="290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黑体" w:hAnsi="宋体" w:eastAsia="黑体"/>
                <w:sz w:val="20"/>
              </w:rPr>
            </w:pPr>
            <w:r>
              <w:rPr>
                <w:rFonts w:hint="eastAsia" w:ascii="黑体" w:hAnsi="宋体" w:eastAsia="黑体"/>
                <w:kern w:val="0"/>
                <w:sz w:val="20"/>
              </w:rPr>
              <w:t>裁量基准</w:t>
            </w:r>
          </w:p>
        </w:tc>
      </w:tr>
      <w:tr>
        <w:tblPrEx>
          <w:tblCellMar>
            <w:top w:w="15" w:type="dxa"/>
            <w:left w:w="15" w:type="dxa"/>
            <w:bottom w:w="15" w:type="dxa"/>
            <w:right w:w="15" w:type="dxa"/>
          </w:tblCellMar>
        </w:tblPrEx>
        <w:trPr>
          <w:trHeight w:val="624" w:hRule="atLeast"/>
          <w:jc w:val="center"/>
        </w:trPr>
        <w:tc>
          <w:tcPr>
            <w:tcW w:w="504" w:type="dxa"/>
            <w:vMerge w:val="continue"/>
            <w:tcBorders>
              <w:top w:val="single" w:color="auto" w:sz="4" w:space="0"/>
              <w:left w:val="single" w:color="auto" w:sz="4" w:space="0"/>
              <w:bottom w:val="single" w:color="000000" w:sz="4" w:space="0"/>
              <w:right w:val="single" w:color="000000" w:sz="4" w:space="0"/>
            </w:tcBorders>
            <w:vAlign w:val="center"/>
          </w:tcPr>
          <w:p>
            <w:pPr>
              <w:widowControl/>
              <w:spacing w:line="240" w:lineRule="exact"/>
              <w:jc w:val="center"/>
              <w:rPr>
                <w:rFonts w:hint="eastAsia" w:ascii="黑体" w:hAnsi="宋体" w:eastAsia="黑体"/>
                <w:sz w:val="20"/>
              </w:rPr>
            </w:pPr>
          </w:p>
        </w:tc>
        <w:tc>
          <w:tcPr>
            <w:tcW w:w="1161" w:type="dxa"/>
            <w:vMerge w:val="continue"/>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黑体" w:hAnsi="宋体" w:eastAsia="黑体"/>
                <w:sz w:val="20"/>
              </w:rPr>
            </w:pPr>
          </w:p>
        </w:tc>
        <w:tc>
          <w:tcPr>
            <w:tcW w:w="585" w:type="dxa"/>
            <w:vMerge w:val="continue"/>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黑体" w:hAnsi="宋体" w:eastAsia="黑体"/>
                <w:sz w:val="20"/>
              </w:rPr>
            </w:pPr>
          </w:p>
        </w:tc>
        <w:tc>
          <w:tcPr>
            <w:tcW w:w="1545" w:type="dxa"/>
            <w:vMerge w:val="continue"/>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黑体" w:hAnsi="宋体" w:eastAsia="黑体"/>
                <w:sz w:val="20"/>
              </w:rPr>
            </w:pPr>
          </w:p>
        </w:tc>
        <w:tc>
          <w:tcPr>
            <w:tcW w:w="1501"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黑体" w:hAnsi="宋体" w:eastAsia="黑体"/>
                <w:sz w:val="20"/>
              </w:rPr>
            </w:pPr>
            <w:r>
              <w:rPr>
                <w:rFonts w:hint="eastAsia" w:ascii="黑体" w:hAnsi="宋体" w:eastAsia="黑体"/>
                <w:kern w:val="0"/>
                <w:sz w:val="20"/>
              </w:rPr>
              <w:t>违法行为依据</w:t>
            </w:r>
          </w:p>
        </w:tc>
        <w:tc>
          <w:tcPr>
            <w:tcW w:w="1501"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黑体" w:hAnsi="宋体" w:eastAsia="黑体"/>
                <w:sz w:val="20"/>
              </w:rPr>
            </w:pPr>
            <w:r>
              <w:rPr>
                <w:rFonts w:hint="eastAsia" w:ascii="黑体" w:hAnsi="宋体" w:eastAsia="黑体"/>
                <w:kern w:val="0"/>
                <w:sz w:val="20"/>
              </w:rPr>
              <w:t>处罚依据</w:t>
            </w:r>
          </w:p>
        </w:tc>
        <w:tc>
          <w:tcPr>
            <w:tcW w:w="4266" w:type="dxa"/>
            <w:vMerge w:val="continue"/>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黑体" w:hAnsi="宋体" w:eastAsia="黑体"/>
                <w:sz w:val="20"/>
              </w:rPr>
            </w:pPr>
          </w:p>
        </w:tc>
        <w:tc>
          <w:tcPr>
            <w:tcW w:w="2907" w:type="dxa"/>
            <w:vMerge w:val="continue"/>
            <w:tcBorders>
              <w:top w:val="single" w:color="auto" w:sz="4" w:space="0"/>
              <w:left w:val="single" w:color="000000" w:sz="4" w:space="0"/>
              <w:bottom w:val="single" w:color="000000" w:sz="4" w:space="0"/>
              <w:right w:val="single" w:color="auto" w:sz="4" w:space="0"/>
            </w:tcBorders>
            <w:vAlign w:val="center"/>
          </w:tcPr>
          <w:p>
            <w:pPr>
              <w:widowControl/>
              <w:spacing w:line="240" w:lineRule="exact"/>
              <w:jc w:val="center"/>
              <w:rPr>
                <w:rFonts w:hint="eastAsia" w:ascii="黑体" w:hAnsi="宋体" w:eastAsia="黑体"/>
                <w:sz w:val="20"/>
              </w:rPr>
            </w:pPr>
          </w:p>
        </w:tc>
      </w:tr>
      <w:tr>
        <w:tblPrEx>
          <w:tblCellMar>
            <w:top w:w="15" w:type="dxa"/>
            <w:left w:w="15" w:type="dxa"/>
            <w:bottom w:w="15" w:type="dxa"/>
            <w:right w:w="15" w:type="dxa"/>
          </w:tblCellMar>
        </w:tblPrEx>
        <w:trPr>
          <w:trHeight w:val="1369" w:hRule="atLeast"/>
          <w:jc w:val="center"/>
        </w:trPr>
        <w:tc>
          <w:tcPr>
            <w:tcW w:w="504" w:type="dxa"/>
            <w:vMerge w:val="restart"/>
            <w:tcBorders>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1</w:t>
            </w:r>
          </w:p>
        </w:tc>
        <w:tc>
          <w:tcPr>
            <w:tcW w:w="1161" w:type="dxa"/>
            <w:tcBorders>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C08001B010</w:t>
            </w:r>
          </w:p>
        </w:tc>
        <w:tc>
          <w:tcPr>
            <w:tcW w:w="585" w:type="dxa"/>
            <w:vMerge w:val="restart"/>
            <w:tcBorders>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vMerge w:val="restart"/>
            <w:tcBorders>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社会团体涂改、出租、出借《社会团体法人登记证书》的行为</w:t>
            </w:r>
          </w:p>
        </w:tc>
        <w:tc>
          <w:tcPr>
            <w:tcW w:w="1501" w:type="dxa"/>
            <w:vMerge w:val="restart"/>
            <w:tcBorders>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《社会团体登记管理条例》第三十条第一款第（一）项 </w:t>
            </w:r>
          </w:p>
        </w:tc>
        <w:tc>
          <w:tcPr>
            <w:tcW w:w="1501" w:type="dxa"/>
            <w:vMerge w:val="restart"/>
            <w:tcBorders>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《社会团体登记管理条例》第三十条第一款第（一）项、第二款 </w:t>
            </w:r>
          </w:p>
        </w:tc>
        <w:tc>
          <w:tcPr>
            <w:tcW w:w="4266" w:type="dxa"/>
            <w:tcBorders>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涂改《社会团体法人登记证书》非关键信息的；</w:t>
            </w:r>
            <w:r>
              <w:rPr>
                <w:rFonts w:hint="eastAsia" w:ascii="宋体" w:hAnsi="宋体" w:cs="宋体"/>
                <w:kern w:val="0"/>
                <w:sz w:val="20"/>
              </w:rPr>
              <w:br w:type="textWrapping"/>
            </w:r>
            <w:r>
              <w:rPr>
                <w:rFonts w:hint="eastAsia" w:ascii="宋体" w:hAnsi="宋体" w:cs="宋体"/>
                <w:kern w:val="0"/>
                <w:sz w:val="20"/>
              </w:rPr>
              <w:t>初次出租、出借《社会团体法人登记证书》的；</w:t>
            </w:r>
            <w:r>
              <w:rPr>
                <w:rFonts w:hint="eastAsia" w:ascii="宋体" w:hAnsi="宋体" w:cs="宋体"/>
                <w:kern w:val="0"/>
                <w:sz w:val="20"/>
              </w:rPr>
              <w:br w:type="textWrapping"/>
            </w:r>
            <w:r>
              <w:rPr>
                <w:rFonts w:hint="eastAsia" w:ascii="宋体" w:hAnsi="宋体" w:cs="宋体"/>
                <w:kern w:val="0"/>
                <w:sz w:val="20"/>
              </w:rPr>
              <w:t>违法行为持续时间6个月以下的；</w:t>
            </w:r>
            <w:r>
              <w:rPr>
                <w:rFonts w:hint="eastAsia" w:ascii="宋体" w:hAnsi="宋体" w:cs="宋体"/>
                <w:kern w:val="0"/>
                <w:sz w:val="20"/>
              </w:rPr>
              <w:br w:type="textWrapping"/>
            </w:r>
            <w:r>
              <w:rPr>
                <w:rFonts w:hint="eastAsia" w:ascii="宋体" w:hAnsi="宋体" w:cs="宋体"/>
                <w:kern w:val="0"/>
                <w:sz w:val="20"/>
              </w:rPr>
              <w:t>违法经营额或者违法所得5万元以下的；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tblPrEx>
          <w:tblCellMar>
            <w:top w:w="15" w:type="dxa"/>
            <w:left w:w="15" w:type="dxa"/>
            <w:bottom w:w="15" w:type="dxa"/>
            <w:right w:w="15" w:type="dxa"/>
          </w:tblCellMar>
        </w:tblPrEx>
        <w:trPr>
          <w:trHeight w:val="1882" w:hRule="atLeast"/>
          <w:jc w:val="center"/>
        </w:trPr>
        <w:tc>
          <w:tcPr>
            <w:tcW w:w="504" w:type="dxa"/>
            <w:vMerge w:val="continue"/>
            <w:tcBorders>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C08001B020</w:t>
            </w:r>
          </w:p>
        </w:tc>
        <w:tc>
          <w:tcPr>
            <w:tcW w:w="585" w:type="dxa"/>
            <w:vMerge w:val="continue"/>
            <w:tcBorders>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涂改《社会团体法人登记证书》关键信息如法定代表人、活动地域、统一社会信用代码、业务范围、住所、业务主管单位或涂改多项信息的；</w:t>
            </w:r>
            <w:r>
              <w:rPr>
                <w:rFonts w:hint="eastAsia" w:ascii="宋体" w:hAnsi="宋体" w:cs="宋体"/>
                <w:kern w:val="0"/>
                <w:sz w:val="20"/>
              </w:rPr>
              <w:br w:type="textWrapping"/>
            </w:r>
            <w:r>
              <w:rPr>
                <w:rFonts w:hint="eastAsia" w:ascii="宋体" w:hAnsi="宋体" w:cs="宋体"/>
                <w:kern w:val="0"/>
                <w:sz w:val="20"/>
              </w:rPr>
              <w:t>违法行为持续时间6个月以上的；</w:t>
            </w:r>
            <w:r>
              <w:rPr>
                <w:rFonts w:hint="eastAsia" w:ascii="宋体" w:hAnsi="宋体" w:cs="宋体"/>
                <w:kern w:val="0"/>
                <w:sz w:val="20"/>
              </w:rPr>
              <w:br w:type="textWrapping"/>
            </w:r>
            <w:r>
              <w:rPr>
                <w:rFonts w:hint="eastAsia" w:ascii="宋体" w:hAnsi="宋体" w:cs="宋体"/>
                <w:kern w:val="0"/>
                <w:sz w:val="20"/>
              </w:rPr>
              <w:t>多次出租、出借《社会团体法人登记证书》的；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tblPrEx>
          <w:tblCellMar>
            <w:top w:w="15" w:type="dxa"/>
            <w:left w:w="15" w:type="dxa"/>
            <w:bottom w:w="15" w:type="dxa"/>
            <w:right w:w="15" w:type="dxa"/>
          </w:tblCellMar>
        </w:tblPrEx>
        <w:trPr>
          <w:trHeight w:val="1275" w:hRule="atLeast"/>
          <w:jc w:val="center"/>
        </w:trPr>
        <w:tc>
          <w:tcPr>
            <w:tcW w:w="504" w:type="dxa"/>
            <w:vMerge w:val="continue"/>
            <w:tcBorders>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C08001B030</w:t>
            </w:r>
          </w:p>
        </w:tc>
        <w:tc>
          <w:tcPr>
            <w:tcW w:w="585" w:type="dxa"/>
            <w:vMerge w:val="continue"/>
            <w:tcBorders>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tblPrEx>
          <w:tblCellMar>
            <w:top w:w="15" w:type="dxa"/>
            <w:left w:w="15" w:type="dxa"/>
            <w:bottom w:w="15" w:type="dxa"/>
            <w:right w:w="15" w:type="dxa"/>
          </w:tblCellMar>
        </w:tblPrEx>
        <w:trPr>
          <w:trHeight w:val="1434"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2</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C08002B010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社会团体出租、出借社会团体印章的行为</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《社会团体登记管理条例》第三十条第一款第（一）项 </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《社会团体登记管理条例》第三十条第一款第（一）项、第二款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出租、出借社会团体印章持续时间6个月以下的；</w:t>
            </w:r>
            <w:r>
              <w:rPr>
                <w:rFonts w:hint="eastAsia" w:ascii="宋体" w:hAnsi="宋体" w:cs="宋体"/>
                <w:kern w:val="0"/>
                <w:sz w:val="20"/>
              </w:rPr>
              <w:br w:type="textWrapping"/>
            </w:r>
            <w:r>
              <w:rPr>
                <w:rFonts w:hint="eastAsia" w:ascii="宋体" w:hAnsi="宋体" w:cs="宋体"/>
                <w:kern w:val="0"/>
                <w:sz w:val="20"/>
              </w:rPr>
              <w:t>初次出租、出借社会团体印章的；</w:t>
            </w:r>
            <w:r>
              <w:rPr>
                <w:rFonts w:hint="eastAsia" w:ascii="宋体" w:hAnsi="宋体" w:cs="宋体"/>
                <w:kern w:val="0"/>
                <w:sz w:val="20"/>
              </w:rPr>
              <w:br w:type="textWrapping"/>
            </w:r>
            <w:r>
              <w:rPr>
                <w:rFonts w:hint="eastAsia" w:ascii="宋体" w:hAnsi="宋体" w:cs="宋体"/>
                <w:kern w:val="0"/>
                <w:sz w:val="20"/>
              </w:rPr>
              <w:t>违法经营额或者违法所得5万元以下的；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tblPrEx>
          <w:tblCellMar>
            <w:top w:w="15" w:type="dxa"/>
            <w:left w:w="15" w:type="dxa"/>
            <w:bottom w:w="15" w:type="dxa"/>
            <w:right w:w="15" w:type="dxa"/>
          </w:tblCellMar>
        </w:tblPrEx>
        <w:trPr>
          <w:trHeight w:val="9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C08002B020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restart"/>
            <w:tcBorders>
              <w:top w:val="single" w:color="000000" w:sz="4" w:space="0"/>
              <w:left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restart"/>
            <w:tcBorders>
              <w:top w:val="single" w:color="000000" w:sz="4" w:space="0"/>
              <w:left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restart"/>
            <w:tcBorders>
              <w:top w:val="single" w:color="000000" w:sz="4" w:space="0"/>
              <w:left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出租、出借社会团体印章持续时间6个月以上的；</w:t>
            </w:r>
            <w:r>
              <w:rPr>
                <w:rFonts w:hint="eastAsia" w:ascii="宋体" w:hAnsi="宋体" w:cs="宋体"/>
                <w:kern w:val="0"/>
                <w:sz w:val="20"/>
              </w:rPr>
              <w:br w:type="textWrapping"/>
            </w:r>
            <w:r>
              <w:rPr>
                <w:rFonts w:hint="eastAsia" w:ascii="宋体" w:hAnsi="宋体" w:cs="宋体"/>
                <w:kern w:val="0"/>
                <w:sz w:val="20"/>
              </w:rPr>
              <w:t>出租、出借社会团体印章2次以上的；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tblPrEx>
          <w:tblCellMar>
            <w:top w:w="15" w:type="dxa"/>
            <w:left w:w="15" w:type="dxa"/>
            <w:bottom w:w="15" w:type="dxa"/>
            <w:right w:w="15" w:type="dxa"/>
          </w:tblCellMar>
        </w:tblPrEx>
        <w:trPr>
          <w:trHeight w:val="120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C08002B030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tblPrEx>
          <w:tblCellMar>
            <w:top w:w="15" w:type="dxa"/>
            <w:left w:w="15" w:type="dxa"/>
            <w:bottom w:w="15" w:type="dxa"/>
            <w:right w:w="15" w:type="dxa"/>
          </w:tblCellMar>
        </w:tblPrEx>
        <w:trPr>
          <w:trHeight w:val="95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3</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C08003A010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社会团体超出章程规定的宗旨和业务范围进行活动的行为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《社会团体登记管理条例》第三十条第一款第（二）项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《社会团体登记管理条例》第三十条第一款第（二）项、第二款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初次超出章程规定的宗旨和业务范围进行活动的；</w:t>
            </w:r>
            <w:r>
              <w:rPr>
                <w:rFonts w:hint="eastAsia" w:ascii="宋体" w:hAnsi="宋体" w:cs="宋体"/>
                <w:kern w:val="0"/>
                <w:sz w:val="20"/>
              </w:rPr>
              <w:br w:type="textWrapping"/>
            </w:r>
            <w:r>
              <w:rPr>
                <w:rFonts w:hint="eastAsia" w:ascii="宋体" w:hAnsi="宋体" w:cs="宋体"/>
                <w:kern w:val="0"/>
                <w:sz w:val="20"/>
              </w:rPr>
              <w:t>违法经营额或者违法所得5万元以下的；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tblPrEx>
          <w:tblCellMar>
            <w:top w:w="15" w:type="dxa"/>
            <w:left w:w="15" w:type="dxa"/>
            <w:bottom w:w="15" w:type="dxa"/>
            <w:right w:w="15" w:type="dxa"/>
          </w:tblCellMar>
        </w:tblPrEx>
        <w:trPr>
          <w:trHeight w:val="123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C08003A020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超出章程规定的宗旨和业务范围进行活动2次以上的；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tblPrEx>
          <w:tblCellMar>
            <w:top w:w="15" w:type="dxa"/>
            <w:left w:w="15" w:type="dxa"/>
            <w:bottom w:w="15" w:type="dxa"/>
            <w:right w:w="15" w:type="dxa"/>
          </w:tblCellMar>
        </w:tblPrEx>
        <w:trPr>
          <w:trHeight w:val="126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C08003A030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tblPrEx>
          <w:tblCellMar>
            <w:top w:w="15" w:type="dxa"/>
            <w:left w:w="15" w:type="dxa"/>
            <w:bottom w:w="15" w:type="dxa"/>
            <w:right w:w="15" w:type="dxa"/>
          </w:tblCellMar>
        </w:tblPrEx>
        <w:trPr>
          <w:trHeight w:val="903"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4</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C08004A010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社会团体拒不接受监督检查或不按照规定接受监督检查的行为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《社会团体登记管理条例》第二十四条第（三）项 、第二十八条第一款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《社会团体登记管理条例》第三十条第一款第（三）项、第二款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拒绝接受监督检查，情节轻微的；</w:t>
            </w:r>
            <w:r>
              <w:rPr>
                <w:rFonts w:hint="eastAsia" w:ascii="宋体" w:hAnsi="宋体" w:cs="宋体"/>
                <w:kern w:val="0"/>
                <w:sz w:val="20"/>
              </w:rPr>
              <w:br w:type="textWrapping"/>
            </w:r>
            <w:r>
              <w:rPr>
                <w:rFonts w:hint="eastAsia" w:ascii="宋体" w:hAnsi="宋体" w:cs="宋体"/>
                <w:kern w:val="0"/>
                <w:sz w:val="20"/>
              </w:rPr>
              <w:t xml:space="preserve">不按照规定接受监督检查，情节轻微的。                         </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tblPrEx>
          <w:tblCellMar>
            <w:top w:w="15" w:type="dxa"/>
            <w:left w:w="15" w:type="dxa"/>
            <w:bottom w:w="15" w:type="dxa"/>
            <w:right w:w="15" w:type="dxa"/>
          </w:tblCellMar>
        </w:tblPrEx>
        <w:trPr>
          <w:trHeight w:val="80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C08004A020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拒绝接受监督检查，情节较重的；</w:t>
            </w:r>
            <w:r>
              <w:rPr>
                <w:rFonts w:hint="eastAsia" w:ascii="宋体" w:hAnsi="宋体" w:cs="宋体"/>
                <w:kern w:val="0"/>
                <w:sz w:val="20"/>
              </w:rPr>
              <w:br w:type="textWrapping"/>
            </w:r>
            <w:r>
              <w:rPr>
                <w:rFonts w:hint="eastAsia" w:ascii="宋体" w:hAnsi="宋体" w:cs="宋体"/>
                <w:kern w:val="0"/>
                <w:sz w:val="20"/>
              </w:rPr>
              <w:t>不按规定接受监督检查，情节较重的。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tblPrEx>
          <w:tblCellMar>
            <w:top w:w="15" w:type="dxa"/>
            <w:left w:w="15" w:type="dxa"/>
            <w:bottom w:w="15" w:type="dxa"/>
            <w:right w:w="15" w:type="dxa"/>
          </w:tblCellMar>
        </w:tblPrEx>
        <w:trPr>
          <w:trHeight w:val="60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C08004A030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tblPrEx>
          <w:tblCellMar>
            <w:top w:w="15" w:type="dxa"/>
            <w:left w:w="15" w:type="dxa"/>
            <w:bottom w:w="15" w:type="dxa"/>
            <w:right w:w="15" w:type="dxa"/>
          </w:tblCellMar>
        </w:tblPrEx>
        <w:trPr>
          <w:trHeight w:val="607"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5</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C08005B010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社会团体不按照规定办理变更登记的行为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《社会团体登记管理条例》第十二条第二款 、第十八条第一款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《社会团体登记管理条例》第三十条第一款第（四）项、第二款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不按照规定变更登记事项，情节轻微的。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tblPrEx>
          <w:tblCellMar>
            <w:top w:w="15" w:type="dxa"/>
            <w:left w:w="15" w:type="dxa"/>
            <w:bottom w:w="15" w:type="dxa"/>
            <w:right w:w="15" w:type="dxa"/>
          </w:tblCellMar>
        </w:tblPrEx>
        <w:trPr>
          <w:trHeight w:val="60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C08005B020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不按照规定变更登记事项，情节较重的。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tblPrEx>
          <w:tblCellMar>
            <w:top w:w="15" w:type="dxa"/>
            <w:left w:w="15" w:type="dxa"/>
            <w:bottom w:w="15" w:type="dxa"/>
            <w:right w:w="15" w:type="dxa"/>
          </w:tblCellMar>
        </w:tblPrEx>
        <w:trPr>
          <w:trHeight w:val="54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C08005B030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tblPrEx>
          <w:tblCellMar>
            <w:top w:w="15" w:type="dxa"/>
            <w:left w:w="15" w:type="dxa"/>
            <w:bottom w:w="15" w:type="dxa"/>
            <w:right w:w="15" w:type="dxa"/>
          </w:tblCellMar>
        </w:tblPrEx>
        <w:trPr>
          <w:trHeight w:val="832"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6</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C08158A010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社会团体违反规定设立分支机构、代表机构的行为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《社会团体登记管理条例》第十七条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《社会团体登记管理条例》第三十条第一款第（五）项、第二款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违反规定设立分支机构、代表机构、地域性分支机构，情节轻微的。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tblPrEx>
          <w:tblCellMar>
            <w:top w:w="15" w:type="dxa"/>
            <w:left w:w="15" w:type="dxa"/>
            <w:bottom w:w="15" w:type="dxa"/>
            <w:right w:w="15" w:type="dxa"/>
          </w:tblCellMar>
        </w:tblPrEx>
        <w:trPr>
          <w:trHeight w:val="117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C08158A020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违反规定设立分支机构、代表机构、地域性分支机构，情节较重的。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tblPrEx>
          <w:tblCellMar>
            <w:top w:w="15" w:type="dxa"/>
            <w:left w:w="15" w:type="dxa"/>
            <w:bottom w:w="15" w:type="dxa"/>
            <w:right w:w="15" w:type="dxa"/>
          </w:tblCellMar>
        </w:tblPrEx>
        <w:trPr>
          <w:trHeight w:val="109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C08158A030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tblPrEx>
          <w:tblCellMar>
            <w:top w:w="15" w:type="dxa"/>
            <w:left w:w="15" w:type="dxa"/>
            <w:bottom w:w="15" w:type="dxa"/>
            <w:right w:w="15" w:type="dxa"/>
          </w:tblCellMar>
        </w:tblPrEx>
        <w:trPr>
          <w:trHeight w:val="728"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7</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C08006A010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社会团体对分支机构、代表机构疏于管理，造成严重后果的行为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《社会团体登记管理条例》第十七条第一款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《社会团体登记管理条例》第三十条第一款第（五）项、第二款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对分支机构、代表机构疏于管理，造成严重后果的。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tblPrEx>
          <w:tblCellMar>
            <w:top w:w="15" w:type="dxa"/>
            <w:left w:w="15" w:type="dxa"/>
            <w:bottom w:w="15" w:type="dxa"/>
            <w:right w:w="15" w:type="dxa"/>
          </w:tblCellMar>
        </w:tblPrEx>
        <w:trPr>
          <w:trHeight w:val="1152"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C08006A020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对分支机构、代表机构疏于管理，造成严重后果，并且社会危害性较大的。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tblPrEx>
          <w:tblCellMar>
            <w:top w:w="15" w:type="dxa"/>
            <w:left w:w="15" w:type="dxa"/>
            <w:bottom w:w="15" w:type="dxa"/>
            <w:right w:w="15" w:type="dxa"/>
          </w:tblCellMar>
        </w:tblPrEx>
        <w:trPr>
          <w:trHeight w:val="111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C08006A020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违法行为造成的社会影响恶劣或具有其他情节严重情形的。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tblPrEx>
          <w:tblCellMar>
            <w:top w:w="15" w:type="dxa"/>
            <w:left w:w="15" w:type="dxa"/>
            <w:bottom w:w="15" w:type="dxa"/>
            <w:right w:w="15" w:type="dxa"/>
          </w:tblCellMar>
        </w:tblPrEx>
        <w:trPr>
          <w:trHeight w:val="1137"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8</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C08007A010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社会团体从事营利性经营活动的行为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《社会团体登记管理条例》第四条第二款、第二十六条第二款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《社会团体登记管理条例》第三十条第一款第（六）项、第二款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违法经营额或者违法所得20万元以下的；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tblPrEx>
          <w:tblCellMar>
            <w:top w:w="15" w:type="dxa"/>
            <w:left w:w="15" w:type="dxa"/>
            <w:bottom w:w="15" w:type="dxa"/>
            <w:right w:w="15" w:type="dxa"/>
          </w:tblCellMar>
        </w:tblPrEx>
        <w:trPr>
          <w:trHeight w:val="138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C08007A020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违法经营额或者违法所得20万元以上的；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tblPrEx>
          <w:tblCellMar>
            <w:top w:w="15" w:type="dxa"/>
            <w:left w:w="15" w:type="dxa"/>
            <w:bottom w:w="15" w:type="dxa"/>
            <w:right w:w="15" w:type="dxa"/>
          </w:tblCellMar>
        </w:tblPrEx>
        <w:trPr>
          <w:trHeight w:val="145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C08007A030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tblPrEx>
          <w:tblCellMar>
            <w:top w:w="15" w:type="dxa"/>
            <w:left w:w="15" w:type="dxa"/>
            <w:bottom w:w="15" w:type="dxa"/>
            <w:right w:w="15" w:type="dxa"/>
          </w:tblCellMar>
        </w:tblPrEx>
        <w:trPr>
          <w:trHeight w:val="107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9</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C08008A010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侵占、私分、挪用社会团体资产的行为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《社会团体登记管理条例》第二十六条第一款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《社会团体登记管理条例》第三十条第一款第（七）项、第二款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侵占、私分社会团体资产数额5万元以下的；</w:t>
            </w:r>
            <w:r>
              <w:rPr>
                <w:rFonts w:hint="eastAsia" w:ascii="宋体" w:hAnsi="宋体" w:cs="宋体"/>
                <w:kern w:val="0"/>
                <w:sz w:val="20"/>
              </w:rPr>
              <w:br w:type="textWrapping"/>
            </w:r>
            <w:r>
              <w:rPr>
                <w:rFonts w:hint="eastAsia" w:ascii="宋体" w:hAnsi="宋体" w:cs="宋体"/>
                <w:kern w:val="0"/>
                <w:sz w:val="20"/>
              </w:rPr>
              <w:t>挪用社会团体资产数额20万元以下的；</w:t>
            </w:r>
            <w:r>
              <w:rPr>
                <w:rFonts w:hint="eastAsia" w:ascii="宋体" w:hAnsi="宋体" w:cs="宋体"/>
                <w:kern w:val="0"/>
                <w:sz w:val="20"/>
              </w:rPr>
              <w:br w:type="textWrapping"/>
            </w:r>
            <w:r>
              <w:rPr>
                <w:rFonts w:hint="eastAsia" w:ascii="宋体" w:hAnsi="宋体" w:cs="宋体"/>
                <w:kern w:val="0"/>
                <w:sz w:val="20"/>
              </w:rPr>
              <w:t>违法经营额或者违法所得5万元以下的；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tblPrEx>
          <w:tblCellMar>
            <w:top w:w="15" w:type="dxa"/>
            <w:left w:w="15" w:type="dxa"/>
            <w:bottom w:w="15" w:type="dxa"/>
            <w:right w:w="15" w:type="dxa"/>
          </w:tblCellMar>
        </w:tblPrEx>
        <w:trPr>
          <w:trHeight w:val="138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C08008A020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侵占、私分社会团体资产数额5万元以上的；</w:t>
            </w:r>
            <w:r>
              <w:rPr>
                <w:rFonts w:hint="eastAsia" w:ascii="宋体" w:hAnsi="宋体" w:cs="宋体"/>
                <w:kern w:val="0"/>
                <w:sz w:val="20"/>
              </w:rPr>
              <w:br w:type="textWrapping"/>
            </w:r>
            <w:r>
              <w:rPr>
                <w:rFonts w:hint="eastAsia" w:ascii="宋体" w:hAnsi="宋体" w:cs="宋体"/>
                <w:kern w:val="0"/>
                <w:sz w:val="20"/>
              </w:rPr>
              <w:t>挪用社会团体资产数额20万元以上的；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tblPrEx>
          <w:tblCellMar>
            <w:top w:w="15" w:type="dxa"/>
            <w:left w:w="15" w:type="dxa"/>
            <w:bottom w:w="15" w:type="dxa"/>
            <w:right w:w="15" w:type="dxa"/>
          </w:tblCellMar>
        </w:tblPrEx>
        <w:trPr>
          <w:trHeight w:val="142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C08008A030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br w:type="textWrapping"/>
            </w: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tblPrEx>
          <w:tblCellMar>
            <w:top w:w="15" w:type="dxa"/>
            <w:left w:w="15" w:type="dxa"/>
            <w:bottom w:w="15" w:type="dxa"/>
            <w:right w:w="15" w:type="dxa"/>
          </w:tblCellMar>
        </w:tblPrEx>
        <w:trPr>
          <w:trHeight w:val="1569"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10</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C08009A010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侵占、私分、挪用社会团体所接受的捐赠、资助的行为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《社会团体登记管理条例》第二十六条第一款、第三款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《社会团体登记管理条例》第三十条第一款第（七）项、第二款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侵占、私分社会团体所接受的捐赠、资助数额5万元以下；</w:t>
            </w:r>
            <w:r>
              <w:rPr>
                <w:rFonts w:hint="eastAsia" w:ascii="宋体" w:hAnsi="宋体" w:cs="宋体"/>
                <w:kern w:val="0"/>
                <w:sz w:val="20"/>
              </w:rPr>
              <w:br w:type="textWrapping"/>
            </w:r>
            <w:r>
              <w:rPr>
                <w:rFonts w:hint="eastAsia" w:ascii="宋体" w:hAnsi="宋体" w:cs="宋体"/>
                <w:kern w:val="0"/>
                <w:sz w:val="20"/>
              </w:rPr>
              <w:t>挪用社会团体所接受的捐赠、资助数额10万元以下；</w:t>
            </w:r>
            <w:r>
              <w:rPr>
                <w:rFonts w:hint="eastAsia" w:ascii="宋体" w:hAnsi="宋体" w:cs="宋体"/>
                <w:kern w:val="0"/>
                <w:sz w:val="20"/>
              </w:rPr>
              <w:br w:type="textWrapping"/>
            </w:r>
            <w:r>
              <w:rPr>
                <w:rFonts w:hint="eastAsia" w:ascii="宋体" w:hAnsi="宋体" w:cs="宋体"/>
                <w:kern w:val="0"/>
                <w:sz w:val="20"/>
              </w:rPr>
              <w:t>违法经营额或者违法所得5万元以下的；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tblPrEx>
          <w:tblCellMar>
            <w:top w:w="15" w:type="dxa"/>
            <w:left w:w="15" w:type="dxa"/>
            <w:bottom w:w="15" w:type="dxa"/>
            <w:right w:w="15" w:type="dxa"/>
          </w:tblCellMar>
        </w:tblPrEx>
        <w:trPr>
          <w:trHeight w:val="162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C08009A020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侵占、私分社会团体所接受的捐赠、资助数额5万元以上的；</w:t>
            </w:r>
            <w:r>
              <w:rPr>
                <w:rFonts w:hint="eastAsia" w:ascii="宋体" w:hAnsi="宋体" w:cs="宋体"/>
                <w:kern w:val="0"/>
                <w:sz w:val="20"/>
              </w:rPr>
              <w:br w:type="textWrapping"/>
            </w:r>
            <w:r>
              <w:rPr>
                <w:rFonts w:hint="eastAsia" w:ascii="宋体" w:hAnsi="宋体" w:cs="宋体"/>
                <w:kern w:val="0"/>
                <w:sz w:val="20"/>
              </w:rPr>
              <w:t>挪用社会团体所接受的捐赠、资助数额10万元以上的；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tblPrEx>
          <w:tblCellMar>
            <w:top w:w="15" w:type="dxa"/>
            <w:left w:w="15" w:type="dxa"/>
            <w:bottom w:w="15" w:type="dxa"/>
            <w:right w:w="15" w:type="dxa"/>
          </w:tblCellMar>
        </w:tblPrEx>
        <w:trPr>
          <w:trHeight w:val="117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C08009A030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tblPrEx>
          <w:tblCellMar>
            <w:top w:w="15" w:type="dxa"/>
            <w:left w:w="15" w:type="dxa"/>
            <w:bottom w:w="15" w:type="dxa"/>
            <w:right w:w="15" w:type="dxa"/>
          </w:tblCellMar>
        </w:tblPrEx>
        <w:trPr>
          <w:trHeight w:val="1097"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11</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C08010A010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社会团体违反国家有关规定收取费用、筹集资金的行为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《社会团体登记管理条例》第二十六条第一款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《社会团体登记管理条例》第三十条第一款第（八）项、第二款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按国家规定项目和标准收取费用，但未按规定出具相关票据或者履行有关手续的；</w:t>
            </w:r>
            <w:r>
              <w:rPr>
                <w:rFonts w:hint="eastAsia" w:ascii="宋体" w:hAnsi="宋体" w:cs="宋体"/>
                <w:kern w:val="0"/>
                <w:sz w:val="20"/>
              </w:rPr>
              <w:br w:type="textWrapping"/>
            </w:r>
            <w:r>
              <w:rPr>
                <w:rFonts w:hint="eastAsia" w:ascii="宋体" w:hAnsi="宋体" w:cs="宋体"/>
                <w:kern w:val="0"/>
                <w:sz w:val="20"/>
              </w:rPr>
              <w:t>违规收取费用或者筹集资金累计10万元以下的；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tblPrEx>
          <w:tblCellMar>
            <w:top w:w="15" w:type="dxa"/>
            <w:left w:w="15" w:type="dxa"/>
            <w:bottom w:w="15" w:type="dxa"/>
            <w:right w:w="15" w:type="dxa"/>
          </w:tblCellMar>
        </w:tblPrEx>
        <w:trPr>
          <w:trHeight w:val="125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C08010A020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违规收取费用或者筹集资金累计10万元以上的；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tblPrEx>
          <w:tblCellMar>
            <w:top w:w="15" w:type="dxa"/>
            <w:left w:w="15" w:type="dxa"/>
            <w:bottom w:w="15" w:type="dxa"/>
            <w:right w:w="15" w:type="dxa"/>
          </w:tblCellMar>
        </w:tblPrEx>
        <w:trPr>
          <w:trHeight w:val="131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C08010A030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tblPrEx>
          <w:tblCellMar>
            <w:top w:w="15" w:type="dxa"/>
            <w:left w:w="15" w:type="dxa"/>
            <w:bottom w:w="15" w:type="dxa"/>
            <w:right w:w="15" w:type="dxa"/>
          </w:tblCellMar>
        </w:tblPrEx>
        <w:trPr>
          <w:trHeight w:val="2206"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12</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C08011A010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社会团体违反国家有关规定接受、使用捐赠、资助的行为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《社会团体登记管理条例》第二十六条第三款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《社会团体登记管理条例》第三十条第一款第（八）项、第二款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违反国家有关规定接受捐赠、资助累计20万元以下的；</w:t>
            </w:r>
            <w:r>
              <w:rPr>
                <w:rFonts w:hint="eastAsia" w:ascii="宋体" w:hAnsi="宋体" w:cs="宋体"/>
                <w:kern w:val="0"/>
                <w:sz w:val="20"/>
              </w:rPr>
              <w:br w:type="textWrapping"/>
            </w:r>
            <w:r>
              <w:rPr>
                <w:rFonts w:hint="eastAsia" w:ascii="宋体" w:hAnsi="宋体" w:cs="宋体"/>
                <w:kern w:val="0"/>
                <w:sz w:val="20"/>
              </w:rPr>
              <w:t>违反国家有关规定接受捐赠、资助累计5人次以下的；</w:t>
            </w:r>
            <w:r>
              <w:rPr>
                <w:rFonts w:hint="eastAsia" w:ascii="宋体" w:hAnsi="宋体" w:cs="宋体"/>
                <w:kern w:val="0"/>
                <w:sz w:val="20"/>
              </w:rPr>
              <w:br w:type="textWrapping"/>
            </w:r>
            <w:r>
              <w:rPr>
                <w:rFonts w:hint="eastAsia" w:ascii="宋体" w:hAnsi="宋体" w:cs="宋体"/>
                <w:kern w:val="0"/>
                <w:sz w:val="20"/>
              </w:rPr>
              <w:t>违反国家有关规定使用捐赠、资助累计5万元以下的；</w:t>
            </w:r>
            <w:r>
              <w:rPr>
                <w:rFonts w:hint="eastAsia" w:ascii="宋体" w:hAnsi="宋体" w:cs="宋体"/>
                <w:kern w:val="0"/>
                <w:sz w:val="20"/>
              </w:rPr>
              <w:br w:type="textWrapping"/>
            </w:r>
            <w:r>
              <w:rPr>
                <w:rFonts w:hint="eastAsia" w:ascii="宋体" w:hAnsi="宋体" w:cs="宋体"/>
                <w:kern w:val="0"/>
                <w:sz w:val="20"/>
              </w:rPr>
              <w:t>违法经营额或者违法所得5万元以下的；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tblPrEx>
          <w:tblCellMar>
            <w:top w:w="15" w:type="dxa"/>
            <w:left w:w="15" w:type="dxa"/>
            <w:bottom w:w="15" w:type="dxa"/>
            <w:right w:w="15" w:type="dxa"/>
          </w:tblCellMar>
        </w:tblPrEx>
        <w:trPr>
          <w:trHeight w:val="2242"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C08011A020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违反国家有关规定接受捐赠、资助累计20万元以上的；</w:t>
            </w:r>
            <w:r>
              <w:rPr>
                <w:rFonts w:hint="eastAsia" w:ascii="宋体" w:hAnsi="宋体" w:cs="宋体"/>
                <w:kern w:val="0"/>
                <w:sz w:val="20"/>
              </w:rPr>
              <w:br w:type="textWrapping"/>
            </w:r>
            <w:r>
              <w:rPr>
                <w:rFonts w:hint="eastAsia" w:ascii="宋体" w:hAnsi="宋体" w:cs="宋体"/>
                <w:kern w:val="0"/>
                <w:sz w:val="20"/>
              </w:rPr>
              <w:t>违反国家有关规定接受捐赠、资助累计5人次以上的；</w:t>
            </w:r>
            <w:r>
              <w:rPr>
                <w:rFonts w:hint="eastAsia" w:ascii="宋体" w:hAnsi="宋体" w:cs="宋体"/>
                <w:kern w:val="0"/>
                <w:sz w:val="20"/>
              </w:rPr>
              <w:br w:type="textWrapping"/>
            </w:r>
            <w:r>
              <w:rPr>
                <w:rFonts w:hint="eastAsia" w:ascii="宋体" w:hAnsi="宋体" w:cs="宋体"/>
                <w:kern w:val="0"/>
                <w:sz w:val="20"/>
              </w:rPr>
              <w:t>违反国家有关规定使用捐赠、资助累计5万元以上的；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tblPrEx>
          <w:tblCellMar>
            <w:top w:w="15" w:type="dxa"/>
            <w:left w:w="15" w:type="dxa"/>
            <w:bottom w:w="15" w:type="dxa"/>
            <w:right w:w="15" w:type="dxa"/>
          </w:tblCellMar>
        </w:tblPrEx>
        <w:trPr>
          <w:trHeight w:val="137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C08011A030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tblPrEx>
          <w:tblCellMar>
            <w:top w:w="15" w:type="dxa"/>
            <w:left w:w="15" w:type="dxa"/>
            <w:bottom w:w="15" w:type="dxa"/>
            <w:right w:w="15" w:type="dxa"/>
          </w:tblCellMar>
        </w:tblPrEx>
        <w:trPr>
          <w:trHeight w:val="1690"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13</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C08012A000</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社会团体的活动违反其他法律、法规的行为</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《社会团体登记管理条例》第三十一条</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《社会团体登记管理条例》第三十一条</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社会团体违反《社会团体登记管理条例》以外的其他法律、法规，有关国家机关认为应当撤销登记，并出具明确书面意见的。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tblPrEx>
          <w:tblCellMar>
            <w:top w:w="15" w:type="dxa"/>
            <w:left w:w="15" w:type="dxa"/>
            <w:bottom w:w="15" w:type="dxa"/>
            <w:right w:w="15" w:type="dxa"/>
          </w:tblCellMar>
        </w:tblPrEx>
        <w:trPr>
          <w:trHeight w:val="1228"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14</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C08013A000</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筹备期间，开展筹备以外的活动的行为</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《社会团体登记管理条例》第九条第二款 </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《社会团体登记管理条例》第三十二条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筹备期间，开展筹备以外活动的。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没收非法财产。</w:t>
            </w:r>
          </w:p>
        </w:tc>
      </w:tr>
      <w:tr>
        <w:tblPrEx>
          <w:tblCellMar>
            <w:top w:w="15" w:type="dxa"/>
            <w:left w:w="15" w:type="dxa"/>
            <w:bottom w:w="15" w:type="dxa"/>
            <w:right w:w="15" w:type="dxa"/>
          </w:tblCellMar>
        </w:tblPrEx>
        <w:trPr>
          <w:trHeight w:val="1633"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15</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C08014A000</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未经登记，擅自以社会团体名义进行活动的行为</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《社会团体登记管理条例》第三条第一款 </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《社会团体登记管理条例》第三十二条、《取缔非法民间组织暂行办法》第三条</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未经登记，擅自以社会团体名义进行活动的。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没收非法财产。</w:t>
            </w:r>
          </w:p>
        </w:tc>
      </w:tr>
      <w:tr>
        <w:tblPrEx>
          <w:tblCellMar>
            <w:top w:w="15" w:type="dxa"/>
            <w:left w:w="15" w:type="dxa"/>
            <w:bottom w:w="15" w:type="dxa"/>
            <w:right w:w="15" w:type="dxa"/>
          </w:tblCellMar>
        </w:tblPrEx>
        <w:trPr>
          <w:trHeight w:val="1765"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16</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C08015A000</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被撤销登记的社会团体继续以社会团体名义进行活动的行为</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《社会团体登记管理条例》第三条第一款</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《社会团体登记管理条例》第三十二条、《取缔非法民间组织暂行办法》第三条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被撤销登记的社会团体继续以社会团体名义进行活动的。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没收非法财产。</w:t>
            </w:r>
          </w:p>
        </w:tc>
      </w:tr>
      <w:tr>
        <w:tblPrEx>
          <w:tblCellMar>
            <w:top w:w="15" w:type="dxa"/>
            <w:left w:w="15" w:type="dxa"/>
            <w:bottom w:w="15" w:type="dxa"/>
            <w:right w:w="15" w:type="dxa"/>
          </w:tblCellMar>
        </w:tblPrEx>
        <w:trPr>
          <w:trHeight w:val="1685"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17</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C08110A000</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行业协会组织本行业的经营者达成垄断协议情节严重的行为</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《中华人民共和国反垄断法》第十六条</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《中华人民共和国反垄断法》第四十六条第三款</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经反垄断执法机构认定，行业协会违反《中华人民共和国反垄断法》规定，组织本行业的经营者达成垄断协议，情节严重的。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tblPrEx>
          <w:tblCellMar>
            <w:top w:w="15" w:type="dxa"/>
            <w:left w:w="15" w:type="dxa"/>
            <w:bottom w:w="15" w:type="dxa"/>
            <w:right w:w="15" w:type="dxa"/>
          </w:tblCellMar>
        </w:tblPrEx>
        <w:trPr>
          <w:trHeight w:val="1687"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18</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C08111A000</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行业协会组织经营者相互串通，操纵市场价格，情节严重的行为</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《价格违法行为行政处罚规定》第五条第三款</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《价格违法行为行政处罚规定》第五条第三款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经价格主管部门认定行业协会组织经营者相互串通，操纵市场价格，情节严重的。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tblPrEx>
          <w:tblCellMar>
            <w:top w:w="15" w:type="dxa"/>
            <w:left w:w="15" w:type="dxa"/>
            <w:bottom w:w="15" w:type="dxa"/>
            <w:right w:w="15" w:type="dxa"/>
          </w:tblCellMar>
        </w:tblPrEx>
        <w:trPr>
          <w:trHeight w:val="1693"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19</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C08112A000</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行业协会捏造、散布涨价信息，扰乱市场价格秩序，情节严重的行为</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《价格违法行为行政处罚规定》第六条第一款第（一）项、第二款</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《价格违法行为行政处罚规定》第六条第一款第（一）项、第二款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经价格主管部门认定行业协会捏造、散布涨价信息，扰乱市场价格秩序，情节严重的。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tblPrEx>
          <w:tblCellMar>
            <w:top w:w="15" w:type="dxa"/>
            <w:left w:w="15" w:type="dxa"/>
            <w:bottom w:w="15" w:type="dxa"/>
            <w:right w:w="15" w:type="dxa"/>
          </w:tblCellMar>
        </w:tblPrEx>
        <w:trPr>
          <w:trHeight w:val="90"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20</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C08113A000</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行业协会除生产自用外，超出正常的存储数量或者存储周期，大量囤积市场供应紧张、价格发生异常波动的商品，经价格主管部门告诫仍继续囤积，情节严重的行为</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《价格违法行为行政处罚规定》第六条第一款第（二）项、第二款</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《价格违法行为行政处罚规定》第六条第一款第（二）项、第二款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经价格主管部门认定行业协会除生产自用外，超出正常的存储数量或者存储周期，大量囤积市场供应紧张、价格发生异常波动的商品，经价格主管部门告诫仍继续囤积，情节严重的。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tblPrEx>
          <w:tblCellMar>
            <w:top w:w="15" w:type="dxa"/>
            <w:left w:w="15" w:type="dxa"/>
            <w:bottom w:w="15" w:type="dxa"/>
            <w:right w:w="15" w:type="dxa"/>
          </w:tblCellMar>
        </w:tblPrEx>
        <w:trPr>
          <w:trHeight w:val="1782"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21</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C08114A000</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行业协会利用其它手段哄抬价格，推动商品价格上涨，情节严重的行为</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《价格违法行为行政处罚规定》第六条第一款第（三）项、第二款 </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《价格违法行为行政处罚规定》第六条第一款第（三）项、第二款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经价格主管部门认定行业协会利用其它手段哄抬价格，推动商品价格过快、过高上涨，情节严重的。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tblPrEx>
          <w:tblCellMar>
            <w:top w:w="15" w:type="dxa"/>
            <w:left w:w="15" w:type="dxa"/>
            <w:bottom w:w="15" w:type="dxa"/>
            <w:right w:w="15" w:type="dxa"/>
          </w:tblCellMar>
        </w:tblPrEx>
        <w:trPr>
          <w:trHeight w:val="2226"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22</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C08117A000</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宗教团体对在其主办大型宗教活动过程中发生危害国家安全、公共安全或者严重破坏社会秩序情况负有责任，且情节严重的行为</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《宗教事务条例》第六十四条第一款</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《宗教事务条例》第六十四条第一款</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宗教团体对其主办的大型宗教活动过程中发生危害国家安全、公共安全或者严重破坏社会秩序情况负有责任，且情节严重的。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tblPrEx>
          <w:tblCellMar>
            <w:top w:w="15" w:type="dxa"/>
            <w:left w:w="15" w:type="dxa"/>
            <w:bottom w:w="15" w:type="dxa"/>
            <w:right w:w="15" w:type="dxa"/>
          </w:tblCellMar>
        </w:tblPrEx>
        <w:trPr>
          <w:trHeight w:val="941"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23</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C08118A010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宗教团体未按规定办理变更登记或者备案手续，情节严重的行为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《宗教事务条例》第七条第一款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《宗教事务条例》第六十五条第（一）项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宗教团体未按规定办理变更登记或者备案手续，情节严重的。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tblPrEx>
          <w:tblCellMar>
            <w:top w:w="15" w:type="dxa"/>
            <w:left w:w="15" w:type="dxa"/>
            <w:bottom w:w="15" w:type="dxa"/>
            <w:right w:w="15" w:type="dxa"/>
          </w:tblCellMar>
        </w:tblPrEx>
        <w:trPr>
          <w:trHeight w:val="90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C08118A020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宗教团体未按规定办理变更登记或者备案手续，情节严重，且拒不整改的。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tblPrEx>
          <w:tblCellMar>
            <w:top w:w="15" w:type="dxa"/>
            <w:left w:w="15" w:type="dxa"/>
            <w:bottom w:w="15" w:type="dxa"/>
            <w:right w:w="15" w:type="dxa"/>
          </w:tblCellMar>
        </w:tblPrEx>
        <w:trPr>
          <w:trHeight w:val="1009"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24</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C08119A010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宗教团体违反本条例第五条规定，违背宗教的独立自主自办原则情节严重的行为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《宗教事务条例》第五条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《宗教事务条例》第六十五条第（六）项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宗教团体、宗教院校、宗教活动场所违背宗教的独立自主自办原则，情节严重的。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责令停止活动；有违法所得、非法财物的，予以没收。</w:t>
            </w:r>
          </w:p>
        </w:tc>
      </w:tr>
      <w:tr>
        <w:tblPrEx>
          <w:tblCellMar>
            <w:top w:w="15" w:type="dxa"/>
            <w:left w:w="15" w:type="dxa"/>
            <w:bottom w:w="15" w:type="dxa"/>
            <w:right w:w="15" w:type="dxa"/>
          </w:tblCellMar>
        </w:tblPrEx>
        <w:trPr>
          <w:trHeight w:val="103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C08119A020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宗教团体、宗教院校、宗教活动场所违背宗教的独立自主自办原则，情节严重，且拒不整改的。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吊销登记证书；有违法所得、非法财物的，予以没收。</w:t>
            </w:r>
          </w:p>
        </w:tc>
      </w:tr>
      <w:tr>
        <w:tblPrEx>
          <w:tblCellMar>
            <w:top w:w="15" w:type="dxa"/>
            <w:left w:w="15" w:type="dxa"/>
            <w:bottom w:w="15" w:type="dxa"/>
            <w:right w:w="15" w:type="dxa"/>
          </w:tblCellMar>
        </w:tblPrEx>
        <w:trPr>
          <w:trHeight w:val="900"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25</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C08120A010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宗教团体违反国家有关规定接受境内外捐赠情节严重的行为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《宗教事务条例》第五十七条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《宗教事务条例》第六十五条第（七）项</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宗教团体、宗教院校、宗教活动场所违反国家有关规定接受境内外捐赠，情节严重的。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责令停止活动；有违法所得、非法财物的，予以没收。</w:t>
            </w:r>
          </w:p>
        </w:tc>
      </w:tr>
      <w:tr>
        <w:tblPrEx>
          <w:tblCellMar>
            <w:top w:w="15" w:type="dxa"/>
            <w:left w:w="15" w:type="dxa"/>
            <w:bottom w:w="15" w:type="dxa"/>
            <w:right w:w="15" w:type="dxa"/>
          </w:tblCellMar>
        </w:tblPrEx>
        <w:trPr>
          <w:trHeight w:val="100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C08120A020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宗教团体、宗教院校、宗教活动场所违反国家有关规定接受境内外捐赠，情节严重，且拒不整改的。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吊销登记证书；有违法所得、非法财物的，予以没收。</w:t>
            </w:r>
          </w:p>
        </w:tc>
      </w:tr>
      <w:tr>
        <w:tblPrEx>
          <w:tblCellMar>
            <w:top w:w="15" w:type="dxa"/>
            <w:left w:w="15" w:type="dxa"/>
            <w:bottom w:w="15" w:type="dxa"/>
            <w:right w:w="15" w:type="dxa"/>
          </w:tblCellMar>
        </w:tblPrEx>
        <w:trPr>
          <w:trHeight w:val="948"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26</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C08121A010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宗教团体拒不接受登记管理机关依法实施的监督管理情节严重的行为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《宗教事务条例》第六条第二款、第三款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《宗教事务条例》第六十五条第（八）项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宗教团体、宗教院校、宗教活动场所拒不接受行政管理机关依法实施的监督管理的，情节严重的。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tblPrEx>
          <w:tblCellMar>
            <w:top w:w="15" w:type="dxa"/>
            <w:left w:w="15" w:type="dxa"/>
            <w:bottom w:w="15" w:type="dxa"/>
            <w:right w:w="15" w:type="dxa"/>
          </w:tblCellMar>
        </w:tblPrEx>
        <w:trPr>
          <w:trHeight w:val="1102"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C08121A020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宗教团体、宗教院校、宗教活动场所拒不接受行政管理机关依法实施的监督管理的，情节严重，且拒不整改的。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tblPrEx>
          <w:tblCellMar>
            <w:top w:w="15" w:type="dxa"/>
            <w:left w:w="15" w:type="dxa"/>
            <w:bottom w:w="15" w:type="dxa"/>
            <w:right w:w="15" w:type="dxa"/>
          </w:tblCellMar>
        </w:tblPrEx>
        <w:trPr>
          <w:trHeight w:val="3983"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27</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C08150A000</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社会组织</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宗教院校或者宗教活动场所有宣扬、支持、资助宗教极端主义，或者利用宗教进行危害国家安全、公共安全，破坏民族团结、分裂国家和恐怖活动，侵犯公民人身权利、民主权利，妨害社会管理秩序，侵犯公私财产等，情节严重且拒不接受整顿的行为</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《宗教事务条例》第四条第三款、第四款、第六十三条第一款</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《宗教事务条例》第六十三条</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宗教院校或者宗教活动场所有宣扬、支持、资助宗教极端主义，或者利用宗教进行危害国家安全、公共安全，破坏民族团结、分裂国家和恐怖活动，侵犯公民人身权利、民主权利，妨害社会管理秩序，侵犯公私财产等违法活动，情节严重，且拒不接受整顿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吊销其登记证书。</w:t>
            </w:r>
          </w:p>
        </w:tc>
      </w:tr>
      <w:tr>
        <w:tblPrEx>
          <w:tblCellMar>
            <w:top w:w="15" w:type="dxa"/>
            <w:left w:w="15" w:type="dxa"/>
            <w:bottom w:w="15" w:type="dxa"/>
            <w:right w:w="15" w:type="dxa"/>
          </w:tblCellMar>
        </w:tblPrEx>
        <w:trPr>
          <w:trHeight w:val="1169" w:hRule="atLeast"/>
          <w:jc w:val="center"/>
        </w:trPr>
        <w:tc>
          <w:tcPr>
            <w:tcW w:w="504" w:type="dxa"/>
            <w:vMerge w:val="restart"/>
            <w:tcBorders>
              <w:top w:val="single" w:color="000000" w:sz="4" w:space="0"/>
              <w:left w:val="single" w:color="000000" w:sz="4" w:space="0"/>
              <w:right w:val="single" w:color="000000" w:sz="4" w:space="0"/>
            </w:tcBorders>
            <w:vAlign w:val="center"/>
          </w:tcPr>
          <w:p>
            <w:pPr>
              <w:widowControl/>
              <w:spacing w:line="240" w:lineRule="exact"/>
              <w:jc w:val="center"/>
              <w:textAlignment w:val="center"/>
              <w:rPr>
                <w:rFonts w:hint="eastAsia" w:ascii="宋体" w:hAnsi="宋体" w:cs="宋体"/>
                <w:kern w:val="0"/>
                <w:sz w:val="20"/>
              </w:rPr>
            </w:pPr>
            <w:r>
              <w:rPr>
                <w:rFonts w:hint="eastAsia" w:ascii="宋体" w:hAnsi="宋体" w:cs="宋体"/>
                <w:kern w:val="0"/>
                <w:sz w:val="20"/>
              </w:rPr>
              <w:t>28</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kern w:val="0"/>
                <w:sz w:val="20"/>
              </w:rPr>
            </w:pPr>
            <w:r>
              <w:rPr>
                <w:rFonts w:hint="eastAsia" w:ascii="宋体" w:hAnsi="宋体" w:cs="宋体"/>
                <w:kern w:val="0"/>
                <w:sz w:val="20"/>
              </w:rPr>
              <w:t>C08152A010</w:t>
            </w:r>
          </w:p>
        </w:tc>
        <w:tc>
          <w:tcPr>
            <w:tcW w:w="585" w:type="dxa"/>
            <w:vMerge w:val="restart"/>
            <w:tcBorders>
              <w:top w:val="single" w:color="000000" w:sz="4" w:space="0"/>
              <w:left w:val="single" w:color="000000" w:sz="4" w:space="0"/>
              <w:right w:val="single" w:color="000000" w:sz="4" w:space="0"/>
            </w:tcBorders>
            <w:vAlign w:val="center"/>
          </w:tcPr>
          <w:p>
            <w:pPr>
              <w:widowControl/>
              <w:spacing w:line="240" w:lineRule="exact"/>
              <w:jc w:val="center"/>
              <w:textAlignment w:val="center"/>
              <w:rPr>
                <w:rFonts w:hint="eastAsia" w:ascii="宋体" w:hAnsi="宋体" w:cs="宋体"/>
                <w:kern w:val="0"/>
                <w:sz w:val="20"/>
              </w:rPr>
            </w:pPr>
            <w:r>
              <w:rPr>
                <w:rFonts w:hint="eastAsia" w:ascii="宋体" w:hAnsi="宋体" w:cs="宋体"/>
                <w:kern w:val="0"/>
                <w:sz w:val="20"/>
              </w:rPr>
              <w:t>社会组织</w:t>
            </w:r>
          </w:p>
        </w:tc>
        <w:tc>
          <w:tcPr>
            <w:tcW w:w="1545" w:type="dxa"/>
            <w:vMerge w:val="restart"/>
            <w:tcBorders>
              <w:top w:val="single" w:color="000000" w:sz="4" w:space="0"/>
              <w:left w:val="single" w:color="000000" w:sz="4" w:space="0"/>
              <w:right w:val="single" w:color="000000" w:sz="4" w:space="0"/>
            </w:tcBorders>
            <w:vAlign w:val="center"/>
          </w:tcPr>
          <w:p>
            <w:pPr>
              <w:widowControl/>
              <w:spacing w:line="240" w:lineRule="exact"/>
              <w:jc w:val="left"/>
              <w:textAlignment w:val="center"/>
              <w:rPr>
                <w:rFonts w:hint="eastAsia" w:ascii="宋体" w:hAnsi="宋体" w:cs="宋体"/>
                <w:kern w:val="0"/>
                <w:sz w:val="20"/>
              </w:rPr>
            </w:pPr>
            <w:r>
              <w:rPr>
                <w:rFonts w:hint="eastAsia" w:ascii="宋体" w:hAnsi="宋体" w:cs="宋体"/>
                <w:kern w:val="0"/>
                <w:sz w:val="20"/>
              </w:rPr>
              <w:t>对宗教活动场所违反《宗教事务条例》第二十六条规定，未建立有关管理制度或者管理制度不符合要求的行为</w:t>
            </w:r>
          </w:p>
        </w:tc>
        <w:tc>
          <w:tcPr>
            <w:tcW w:w="1501" w:type="dxa"/>
            <w:vMerge w:val="restart"/>
            <w:tcBorders>
              <w:top w:val="single" w:color="000000" w:sz="4" w:space="0"/>
              <w:left w:val="single" w:color="000000" w:sz="4" w:space="0"/>
              <w:right w:val="single" w:color="000000" w:sz="4" w:space="0"/>
            </w:tcBorders>
            <w:vAlign w:val="center"/>
          </w:tcPr>
          <w:p>
            <w:pPr>
              <w:widowControl/>
              <w:spacing w:line="240" w:lineRule="exact"/>
              <w:jc w:val="left"/>
              <w:textAlignment w:val="center"/>
              <w:rPr>
                <w:rFonts w:hint="eastAsia" w:ascii="宋体" w:hAnsi="宋体" w:cs="宋体"/>
                <w:kern w:val="0"/>
                <w:sz w:val="20"/>
              </w:rPr>
            </w:pPr>
            <w:r>
              <w:rPr>
                <w:rFonts w:hint="eastAsia" w:ascii="宋体" w:hAnsi="宋体" w:cs="宋体"/>
                <w:kern w:val="0"/>
                <w:sz w:val="20"/>
              </w:rPr>
              <w:t>《宗教事务条例》第二十六条</w:t>
            </w:r>
          </w:p>
        </w:tc>
        <w:tc>
          <w:tcPr>
            <w:tcW w:w="1501" w:type="dxa"/>
            <w:vMerge w:val="restart"/>
            <w:tcBorders>
              <w:top w:val="single" w:color="000000" w:sz="4" w:space="0"/>
              <w:left w:val="single" w:color="000000" w:sz="4" w:space="0"/>
              <w:right w:val="single" w:color="000000" w:sz="4" w:space="0"/>
            </w:tcBorders>
            <w:vAlign w:val="center"/>
          </w:tcPr>
          <w:p>
            <w:pPr>
              <w:widowControl/>
              <w:spacing w:line="240" w:lineRule="exact"/>
              <w:jc w:val="left"/>
              <w:textAlignment w:val="center"/>
              <w:rPr>
                <w:rFonts w:hint="eastAsia" w:ascii="宋体" w:hAnsi="宋体" w:cs="宋体"/>
                <w:kern w:val="0"/>
                <w:sz w:val="20"/>
              </w:rPr>
            </w:pPr>
            <w:r>
              <w:rPr>
                <w:rFonts w:hint="eastAsia" w:ascii="宋体" w:hAnsi="宋体" w:cs="宋体"/>
                <w:kern w:val="0"/>
                <w:sz w:val="20"/>
              </w:rPr>
              <w:t>《宗教事务条例》第六十五条第（三）项</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kern w:val="0"/>
                <w:sz w:val="20"/>
              </w:rPr>
            </w:pPr>
            <w:r>
              <w:rPr>
                <w:rFonts w:hint="eastAsia" w:ascii="宋体" w:hAnsi="宋体" w:cs="宋体"/>
                <w:kern w:val="0"/>
                <w:sz w:val="20"/>
              </w:rPr>
              <w:t>宗教活动场所违反本条例第二十六条规定，未建立有关管理制度或者管理制度不符合要求，情节严重的。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kern w:val="0"/>
                <w:sz w:val="20"/>
              </w:rPr>
            </w:pPr>
            <w:r>
              <w:rPr>
                <w:rFonts w:hint="eastAsia" w:ascii="宋体" w:hAnsi="宋体" w:cs="宋体"/>
                <w:kern w:val="0"/>
                <w:sz w:val="20"/>
              </w:rPr>
              <w:t>责令停止活动。</w:t>
            </w:r>
          </w:p>
        </w:tc>
      </w:tr>
      <w:tr>
        <w:tblPrEx>
          <w:tblCellMar>
            <w:top w:w="15" w:type="dxa"/>
            <w:left w:w="15" w:type="dxa"/>
            <w:bottom w:w="15" w:type="dxa"/>
            <w:right w:w="15" w:type="dxa"/>
          </w:tblCellMar>
        </w:tblPrEx>
        <w:trPr>
          <w:trHeight w:val="1259" w:hRule="atLeast"/>
          <w:jc w:val="center"/>
        </w:trPr>
        <w:tc>
          <w:tcPr>
            <w:tcW w:w="504" w:type="dxa"/>
            <w:vMerge w:val="continue"/>
            <w:tcBorders>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kern w:val="0"/>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kern w:val="0"/>
                <w:sz w:val="20"/>
              </w:rPr>
            </w:pPr>
            <w:r>
              <w:rPr>
                <w:rFonts w:hint="eastAsia" w:ascii="宋体" w:hAnsi="宋体" w:cs="宋体"/>
                <w:kern w:val="0"/>
                <w:sz w:val="20"/>
              </w:rPr>
              <w:t>C08152A020</w:t>
            </w:r>
          </w:p>
        </w:tc>
        <w:tc>
          <w:tcPr>
            <w:tcW w:w="585" w:type="dxa"/>
            <w:vMerge w:val="continue"/>
            <w:tcBorders>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kern w:val="0"/>
                <w:sz w:val="20"/>
              </w:rPr>
            </w:pPr>
          </w:p>
        </w:tc>
        <w:tc>
          <w:tcPr>
            <w:tcW w:w="1545" w:type="dxa"/>
            <w:vMerge w:val="continue"/>
            <w:tcBorders>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kern w:val="0"/>
                <w:sz w:val="20"/>
              </w:rPr>
            </w:pPr>
          </w:p>
        </w:tc>
        <w:tc>
          <w:tcPr>
            <w:tcW w:w="1501" w:type="dxa"/>
            <w:vMerge w:val="continue"/>
            <w:tcBorders>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kern w:val="0"/>
                <w:sz w:val="20"/>
              </w:rPr>
            </w:pPr>
          </w:p>
        </w:tc>
        <w:tc>
          <w:tcPr>
            <w:tcW w:w="1501" w:type="dxa"/>
            <w:vMerge w:val="continue"/>
            <w:tcBorders>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kern w:val="0"/>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kern w:val="0"/>
                <w:sz w:val="20"/>
              </w:rPr>
            </w:pPr>
            <w:r>
              <w:rPr>
                <w:rFonts w:hint="eastAsia" w:ascii="宋体" w:hAnsi="宋体" w:cs="宋体"/>
                <w:kern w:val="0"/>
                <w:sz w:val="20"/>
              </w:rPr>
              <w:t>宗教活动场所违反本条例第二十六条规定，未建立有关管理制度或者管理制度不符合要求，情节严重，且拒不整改的。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kern w:val="0"/>
                <w:sz w:val="20"/>
              </w:rPr>
            </w:pPr>
            <w:r>
              <w:rPr>
                <w:rFonts w:hint="eastAsia" w:ascii="宋体" w:hAnsi="宋体" w:cs="宋体"/>
                <w:kern w:val="0"/>
                <w:sz w:val="20"/>
              </w:rPr>
              <w:t>吊销登记证书。</w:t>
            </w:r>
          </w:p>
        </w:tc>
      </w:tr>
      <w:tr>
        <w:tblPrEx>
          <w:tblCellMar>
            <w:top w:w="15" w:type="dxa"/>
            <w:left w:w="15" w:type="dxa"/>
            <w:bottom w:w="15" w:type="dxa"/>
            <w:right w:w="15" w:type="dxa"/>
          </w:tblCellMar>
        </w:tblPrEx>
        <w:trPr>
          <w:trHeight w:val="902"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29</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C08153A010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社会组织</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宗教院校违反培养目标、办学章程和课程设置要求的行为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《宗教事务条例》第十三条第（一）项</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《宗教事务条例》第六十五条第（二）项</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宗教院校违反培养目标、办学章程和课程设置要求，情节严重的。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责令停止活动；有违法所得、非法财物的，予以没收。</w:t>
            </w:r>
          </w:p>
        </w:tc>
      </w:tr>
      <w:tr>
        <w:tblPrEx>
          <w:tblCellMar>
            <w:top w:w="15" w:type="dxa"/>
            <w:left w:w="15" w:type="dxa"/>
            <w:bottom w:w="15" w:type="dxa"/>
            <w:right w:w="15" w:type="dxa"/>
          </w:tblCellMar>
        </w:tblPrEx>
        <w:trPr>
          <w:trHeight w:val="77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C08153A020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宗教院校违反培养目标、办学章程和课程设置要求，情节严重，且拒不整改的。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吊销登记证书；有违法所得、非法财物的，予以没收。</w:t>
            </w:r>
          </w:p>
        </w:tc>
      </w:tr>
      <w:tr>
        <w:tblPrEx>
          <w:tblCellMar>
            <w:top w:w="15" w:type="dxa"/>
            <w:left w:w="15" w:type="dxa"/>
            <w:bottom w:w="15" w:type="dxa"/>
            <w:right w:w="15" w:type="dxa"/>
          </w:tblCellMar>
        </w:tblPrEx>
        <w:trPr>
          <w:trHeight w:val="1350"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30</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C08159A010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社会组织</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宗教活动场所违反《宗教事务条例》第五十四条规定，将用于宗教活动的房屋、构筑物及其附属的宗教教职人员生活用房转让、抵押或者作为实物投资的行为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《宗教事务条例》第五十四条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《宗教事务条例》第六十五条第（四）项</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宗教活动场所违反本条例第五十四条规定，将用于宗教活动的房屋、构筑物及其附属的宗教教职人员生活用房转让、抵押或者作为实物投资，情节严重的。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责令停止活动；有违法所得、非法财物的，予以没收。</w:t>
            </w:r>
          </w:p>
        </w:tc>
      </w:tr>
      <w:tr>
        <w:tblPrEx>
          <w:tblCellMar>
            <w:top w:w="15" w:type="dxa"/>
            <w:left w:w="15" w:type="dxa"/>
            <w:bottom w:w="15" w:type="dxa"/>
            <w:right w:w="15" w:type="dxa"/>
          </w:tblCellMar>
        </w:tblPrEx>
        <w:trPr>
          <w:trHeight w:val="145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C08159A020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宗教活动场所违反本条例第五十四条规定，将用于宗教活动的房屋、构筑物及其附属的宗教教职人员生活用房转让、抵押或者作为实物投资，情节严重，且拒不整改的。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吊销登记证书；有违法所得、非法财物的，予以没收。</w:t>
            </w:r>
          </w:p>
        </w:tc>
      </w:tr>
      <w:tr>
        <w:tblPrEx>
          <w:tblCellMar>
            <w:top w:w="15" w:type="dxa"/>
            <w:left w:w="15" w:type="dxa"/>
            <w:bottom w:w="15" w:type="dxa"/>
            <w:right w:w="15" w:type="dxa"/>
          </w:tblCellMar>
        </w:tblPrEx>
        <w:trPr>
          <w:trHeight w:val="1089"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31</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C08157A010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社会组织</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宗教活动场所内发生重大事故、重大事件未及时报告，造成严重后果的行为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《宗教事务条例》第二十九条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《宗教事务条例》第六十五条第(五)项</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宗教活动场所内发生重大事故、重大事件未及时报告，造成严重后果，情节严重的。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tblPrEx>
          <w:tblCellMar>
            <w:top w:w="15" w:type="dxa"/>
            <w:left w:w="15" w:type="dxa"/>
            <w:bottom w:w="15" w:type="dxa"/>
            <w:right w:w="15" w:type="dxa"/>
          </w:tblCellMar>
        </w:tblPrEx>
        <w:trPr>
          <w:trHeight w:val="97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C08157A020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宗教活动场所内发生重大事故、重大事件未及时报告，造成严重后果，情节严重，且拒不整改的。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tblPrEx>
          <w:tblCellMar>
            <w:top w:w="15" w:type="dxa"/>
            <w:left w:w="15" w:type="dxa"/>
            <w:bottom w:w="15" w:type="dxa"/>
            <w:right w:w="15" w:type="dxa"/>
          </w:tblCellMar>
        </w:tblPrEx>
        <w:trPr>
          <w:trHeight w:val="2895"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32</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C08149A000</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社会组织</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宗教团体、宗教院校、宗教活动场所违反国家有关财务、会计、资产、税收管理规定情节严重的行为，经财政、税务部门提出吊销其登记证书的</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《宗教事务条例》第六十七条</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《宗教事务条例》第六十七条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宗教团体、宗教院校、宗教活动场所违反国家有关财务、会计、资产、税收管理规定情节严重的行为，经财政、税务部门提出吊销其登记证书的。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tblPrEx>
          <w:tblCellMar>
            <w:top w:w="15" w:type="dxa"/>
            <w:left w:w="15" w:type="dxa"/>
            <w:bottom w:w="15" w:type="dxa"/>
            <w:right w:w="15" w:type="dxa"/>
          </w:tblCellMar>
        </w:tblPrEx>
        <w:trPr>
          <w:trHeight w:val="1738"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33</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C08016B010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民办非企业单位涂改、出租、出借民办非企业单位登记证书的行为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《民办非企业单位登记管理暂行条例》第二十五条第一款第（一）项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《民办非企业单位登记管理暂行条例》第二十五条第一款第（一）项、第二款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涂改《民办非企业单位法人登记证书》非关键信息的；</w:t>
            </w:r>
            <w:r>
              <w:rPr>
                <w:rFonts w:hint="eastAsia" w:ascii="宋体" w:hAnsi="宋体" w:cs="宋体"/>
                <w:kern w:val="0"/>
                <w:sz w:val="20"/>
              </w:rPr>
              <w:br w:type="textWrapping"/>
            </w:r>
            <w:r>
              <w:rPr>
                <w:rFonts w:hint="eastAsia" w:ascii="宋体" w:hAnsi="宋体" w:cs="宋体"/>
                <w:kern w:val="0"/>
                <w:sz w:val="20"/>
              </w:rPr>
              <w:t>初次出租、出借《民办非企业单位法人登记证书》的；</w:t>
            </w:r>
            <w:r>
              <w:rPr>
                <w:rFonts w:hint="eastAsia" w:ascii="宋体" w:hAnsi="宋体" w:cs="宋体"/>
                <w:kern w:val="0"/>
                <w:sz w:val="20"/>
              </w:rPr>
              <w:br w:type="textWrapping"/>
            </w:r>
            <w:r>
              <w:rPr>
                <w:rFonts w:hint="eastAsia" w:ascii="宋体" w:hAnsi="宋体" w:cs="宋体"/>
                <w:kern w:val="0"/>
                <w:sz w:val="20"/>
              </w:rPr>
              <w:t>违法行为持续时间6个月以下的；</w:t>
            </w:r>
            <w:r>
              <w:rPr>
                <w:rFonts w:hint="eastAsia" w:ascii="宋体" w:hAnsi="宋体" w:cs="宋体"/>
                <w:kern w:val="0"/>
                <w:sz w:val="20"/>
              </w:rPr>
              <w:br w:type="textWrapping"/>
            </w:r>
            <w:r>
              <w:rPr>
                <w:rFonts w:hint="eastAsia" w:ascii="宋体" w:hAnsi="宋体" w:cs="宋体"/>
                <w:kern w:val="0"/>
                <w:sz w:val="20"/>
              </w:rPr>
              <w:t>违法经营额或者违法所得5万元以下；</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tblPrEx>
          <w:tblCellMar>
            <w:top w:w="15" w:type="dxa"/>
            <w:left w:w="15" w:type="dxa"/>
            <w:bottom w:w="15" w:type="dxa"/>
            <w:right w:w="15" w:type="dxa"/>
          </w:tblCellMar>
        </w:tblPrEx>
        <w:trPr>
          <w:trHeight w:val="218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C08016B020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涂改《民办非企业单位法人登记证书》关键信息如法定代表人、统一社会信用代码、住所、宗旨、业务范围、业务主管单位或涂改多项信息的；</w:t>
            </w:r>
            <w:r>
              <w:rPr>
                <w:rFonts w:hint="eastAsia" w:ascii="宋体" w:hAnsi="宋体" w:cs="宋体"/>
                <w:kern w:val="0"/>
                <w:sz w:val="20"/>
              </w:rPr>
              <w:br w:type="textWrapping"/>
            </w:r>
            <w:r>
              <w:rPr>
                <w:rFonts w:hint="eastAsia" w:ascii="宋体" w:hAnsi="宋体" w:cs="宋体"/>
                <w:kern w:val="0"/>
                <w:sz w:val="20"/>
              </w:rPr>
              <w:t>违法行为持续时间6个月以上的；</w:t>
            </w:r>
            <w:r>
              <w:rPr>
                <w:rFonts w:hint="eastAsia" w:ascii="宋体" w:hAnsi="宋体" w:cs="宋体"/>
                <w:kern w:val="0"/>
                <w:sz w:val="20"/>
              </w:rPr>
              <w:br w:type="textWrapping"/>
            </w:r>
            <w:r>
              <w:rPr>
                <w:rFonts w:hint="eastAsia" w:ascii="宋体" w:hAnsi="宋体" w:cs="宋体"/>
                <w:kern w:val="0"/>
                <w:sz w:val="20"/>
              </w:rPr>
              <w:t>多次出租、出借《民办非企业单位法人登记证书》的；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tblPrEx>
          <w:tblCellMar>
            <w:top w:w="15" w:type="dxa"/>
            <w:left w:w="15" w:type="dxa"/>
            <w:bottom w:w="15" w:type="dxa"/>
            <w:right w:w="15" w:type="dxa"/>
          </w:tblCellMar>
        </w:tblPrEx>
        <w:trPr>
          <w:trHeight w:val="108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C08016B030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tblPrEx>
          <w:tblCellMar>
            <w:top w:w="15" w:type="dxa"/>
            <w:left w:w="15" w:type="dxa"/>
            <w:bottom w:w="15" w:type="dxa"/>
            <w:right w:w="15" w:type="dxa"/>
          </w:tblCellMar>
        </w:tblPrEx>
        <w:trPr>
          <w:trHeight w:val="1569"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34</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C08017B010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民办非企业单位出租、出借民办非企业单位印章的行为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《民办非企业单位登记管理暂行条例》第二十五条第一款第（一）项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《民办非企业单位登记管理暂行条例》第二十五条第一款第（一）项 、第二款</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出租、出借民办非企业单位印章持续时间6个月以下的；</w:t>
            </w:r>
            <w:r>
              <w:rPr>
                <w:rFonts w:hint="eastAsia" w:ascii="宋体" w:hAnsi="宋体" w:cs="宋体"/>
                <w:kern w:val="0"/>
                <w:sz w:val="20"/>
              </w:rPr>
              <w:br w:type="textWrapping"/>
            </w:r>
            <w:r>
              <w:rPr>
                <w:rFonts w:hint="eastAsia" w:ascii="宋体" w:hAnsi="宋体" w:cs="宋体"/>
                <w:kern w:val="0"/>
                <w:sz w:val="20"/>
              </w:rPr>
              <w:t>初次出租、出借民办非企业单位印章的；</w:t>
            </w:r>
            <w:r>
              <w:rPr>
                <w:rFonts w:hint="eastAsia" w:ascii="宋体" w:hAnsi="宋体" w:cs="宋体"/>
                <w:kern w:val="0"/>
                <w:sz w:val="20"/>
              </w:rPr>
              <w:br w:type="textWrapping"/>
            </w:r>
            <w:r>
              <w:rPr>
                <w:rFonts w:hint="eastAsia" w:ascii="宋体" w:hAnsi="宋体" w:cs="宋体"/>
                <w:kern w:val="0"/>
                <w:sz w:val="20"/>
              </w:rPr>
              <w:t>违法经营额或者违法所得5万元以下的；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tblPrEx>
          <w:tblCellMar>
            <w:top w:w="15" w:type="dxa"/>
            <w:left w:w="15" w:type="dxa"/>
            <w:bottom w:w="15" w:type="dxa"/>
            <w:right w:w="15" w:type="dxa"/>
          </w:tblCellMar>
        </w:tblPrEx>
        <w:trPr>
          <w:trHeight w:val="148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C08017B020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出租、出借民办非企业单位印章持续时间6个月以上的；</w:t>
            </w:r>
            <w:r>
              <w:rPr>
                <w:rFonts w:hint="eastAsia" w:ascii="宋体" w:hAnsi="宋体" w:cs="宋体"/>
                <w:kern w:val="0"/>
                <w:sz w:val="20"/>
              </w:rPr>
              <w:br w:type="textWrapping"/>
            </w:r>
            <w:r>
              <w:rPr>
                <w:rFonts w:hint="eastAsia" w:ascii="宋体" w:hAnsi="宋体" w:cs="宋体"/>
                <w:kern w:val="0"/>
                <w:sz w:val="20"/>
              </w:rPr>
              <w:t>出租、出借民办非企业单位印章2次以上的；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tblPrEx>
          <w:tblCellMar>
            <w:top w:w="15" w:type="dxa"/>
            <w:left w:w="15" w:type="dxa"/>
            <w:bottom w:w="15" w:type="dxa"/>
            <w:right w:w="15" w:type="dxa"/>
          </w:tblCellMar>
        </w:tblPrEx>
        <w:trPr>
          <w:trHeight w:val="106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C08017B030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tblPrEx>
          <w:tblCellMar>
            <w:top w:w="15" w:type="dxa"/>
            <w:left w:w="15" w:type="dxa"/>
            <w:bottom w:w="15" w:type="dxa"/>
            <w:right w:w="15" w:type="dxa"/>
          </w:tblCellMar>
        </w:tblPrEx>
        <w:trPr>
          <w:trHeight w:val="1086"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35</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C08018A010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民办非企业单位超出其章程规定的宗旨和业务范围进行活动的行为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《民办非企业单位登记管理暂行条例》第二十一条第二款、第二十五条第一款第（二）项</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《民办非企业单位登记管理暂行条例》第二十五条第一款第（二）项、第二款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初次超出章程规定的宗旨和业务范围进行活动的；</w:t>
            </w:r>
            <w:r>
              <w:rPr>
                <w:rFonts w:hint="eastAsia" w:ascii="宋体" w:hAnsi="宋体" w:cs="宋体"/>
                <w:kern w:val="0"/>
                <w:sz w:val="20"/>
              </w:rPr>
              <w:br w:type="textWrapping"/>
            </w:r>
            <w:r>
              <w:rPr>
                <w:rFonts w:hint="eastAsia" w:ascii="宋体" w:hAnsi="宋体" w:cs="宋体"/>
                <w:kern w:val="0"/>
                <w:sz w:val="20"/>
              </w:rPr>
              <w:t>违法经营额或者违法所得5万元以下的；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tblPrEx>
          <w:tblCellMar>
            <w:top w:w="15" w:type="dxa"/>
            <w:left w:w="15" w:type="dxa"/>
            <w:bottom w:w="15" w:type="dxa"/>
            <w:right w:w="15" w:type="dxa"/>
          </w:tblCellMar>
        </w:tblPrEx>
        <w:trPr>
          <w:trHeight w:val="120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C08018A020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超出章程规定的宗旨和业务范围进行活动2次以上的；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tblPrEx>
          <w:tblCellMar>
            <w:top w:w="15" w:type="dxa"/>
            <w:left w:w="15" w:type="dxa"/>
            <w:bottom w:w="15" w:type="dxa"/>
            <w:right w:w="15" w:type="dxa"/>
          </w:tblCellMar>
        </w:tblPrEx>
        <w:trPr>
          <w:trHeight w:val="110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C08018A030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tblPrEx>
          <w:tblCellMar>
            <w:top w:w="15" w:type="dxa"/>
            <w:left w:w="15" w:type="dxa"/>
            <w:bottom w:w="15" w:type="dxa"/>
            <w:right w:w="15" w:type="dxa"/>
          </w:tblCellMar>
        </w:tblPrEx>
        <w:trPr>
          <w:trHeight w:val="1103"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36</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C08019A010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民办非企业单位拒不接受或不按照规定接受监督检查的行为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《民办非企业单位登记管理暂行条例》第十九条第（三）项 、第二十三条第一款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《民办非企业单位登记管理暂行条例》第二十五条第一款第（三）项、第二款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一年不参加年度检查的；                                                  拒绝接受监督检查，情节轻微的；</w:t>
            </w:r>
            <w:r>
              <w:rPr>
                <w:rFonts w:hint="eastAsia" w:ascii="宋体" w:hAnsi="宋体" w:cs="宋体"/>
                <w:kern w:val="0"/>
                <w:sz w:val="20"/>
              </w:rPr>
              <w:br w:type="textWrapping"/>
            </w:r>
            <w:r>
              <w:rPr>
                <w:rFonts w:hint="eastAsia" w:ascii="宋体" w:hAnsi="宋体" w:cs="宋体"/>
                <w:kern w:val="0"/>
                <w:sz w:val="20"/>
              </w:rPr>
              <w:t>不按照规定接受监督检查，情节轻微的。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tblPrEx>
          <w:tblCellMar>
            <w:top w:w="15" w:type="dxa"/>
            <w:left w:w="15" w:type="dxa"/>
            <w:bottom w:w="15" w:type="dxa"/>
            <w:right w:w="15" w:type="dxa"/>
          </w:tblCellMar>
        </w:tblPrEx>
        <w:trPr>
          <w:trHeight w:val="110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C08019A020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累计两年不参加年度检查的；                                              拒绝接受监督检查，情节较重的；</w:t>
            </w:r>
            <w:r>
              <w:rPr>
                <w:rFonts w:hint="eastAsia" w:ascii="宋体" w:hAnsi="宋体" w:cs="宋体"/>
                <w:kern w:val="0"/>
                <w:sz w:val="20"/>
              </w:rPr>
              <w:br w:type="textWrapping"/>
            </w:r>
            <w:r>
              <w:rPr>
                <w:rFonts w:hint="eastAsia" w:ascii="宋体" w:hAnsi="宋体" w:cs="宋体"/>
                <w:kern w:val="0"/>
                <w:sz w:val="20"/>
              </w:rPr>
              <w:t>不按规定接受监督检查，情节较重的。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tblPrEx>
          <w:tblCellMar>
            <w:top w:w="15" w:type="dxa"/>
            <w:left w:w="15" w:type="dxa"/>
            <w:bottom w:w="15" w:type="dxa"/>
            <w:right w:w="15" w:type="dxa"/>
          </w:tblCellMar>
        </w:tblPrEx>
        <w:trPr>
          <w:trHeight w:val="110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C08019A030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连续两年以上不参加年度检查的；                                           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tblPrEx>
          <w:tblCellMar>
            <w:top w:w="15" w:type="dxa"/>
            <w:left w:w="15" w:type="dxa"/>
            <w:bottom w:w="15" w:type="dxa"/>
            <w:right w:w="15" w:type="dxa"/>
          </w:tblCellMar>
        </w:tblPrEx>
        <w:trPr>
          <w:trHeight w:val="1478"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37</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C08020A000</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民办非企业单位连续两年不参加年检，或连续两年“年检不合格”的行为</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《民办非企业单位年度检查办法》第三条第一款 </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《民办非企业单位年度检查办法》第十条</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连续两年不参加年检，或连续两年“年检不合格”的。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tblPrEx>
          <w:tblCellMar>
            <w:top w:w="15" w:type="dxa"/>
            <w:left w:w="15" w:type="dxa"/>
            <w:bottom w:w="15" w:type="dxa"/>
            <w:right w:w="15" w:type="dxa"/>
          </w:tblCellMar>
        </w:tblPrEx>
        <w:trPr>
          <w:trHeight w:val="704"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38</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C08021B010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民办非企业单位不按照规定办理变更登记的行为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《民办非企业单位登记管理暂行条例》第十五条第一款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《民办非企业单位登记管理暂行条例》第二十五条第一款第（四）项、第二款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不按照规定变更登记事项，情节轻微的。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tblPrEx>
          <w:tblCellMar>
            <w:top w:w="15" w:type="dxa"/>
            <w:left w:w="15" w:type="dxa"/>
            <w:bottom w:w="15" w:type="dxa"/>
            <w:right w:w="15" w:type="dxa"/>
          </w:tblCellMar>
        </w:tblPrEx>
        <w:trPr>
          <w:trHeight w:val="70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C08021B020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br w:type="textWrapping"/>
            </w:r>
            <w:r>
              <w:rPr>
                <w:rFonts w:hint="eastAsia" w:ascii="宋体" w:hAnsi="宋体" w:cs="宋体"/>
                <w:kern w:val="0"/>
                <w:sz w:val="20"/>
              </w:rPr>
              <w:t>不按照规定变更登记事项，情节较重的。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tblPrEx>
          <w:tblCellMar>
            <w:top w:w="15" w:type="dxa"/>
            <w:left w:w="15" w:type="dxa"/>
            <w:bottom w:w="15" w:type="dxa"/>
            <w:right w:w="15" w:type="dxa"/>
          </w:tblCellMar>
        </w:tblPrEx>
        <w:trPr>
          <w:trHeight w:val="69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C08021B030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tblPrEx>
          <w:tblCellMar>
            <w:top w:w="15" w:type="dxa"/>
            <w:left w:w="15" w:type="dxa"/>
            <w:bottom w:w="15" w:type="dxa"/>
            <w:right w:w="15" w:type="dxa"/>
          </w:tblCellMar>
        </w:tblPrEx>
        <w:trPr>
          <w:trHeight w:val="1186"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39</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C08022A010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民办非企业单位设立分支机构的行为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《民办非企业单位登记管理暂行条例》第十三条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《民办非企业单位登记管理暂行条例》第二十五条第一款第（五）项、第二款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擅自设立分支机构，情节轻微的。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tblPrEx>
          <w:tblCellMar>
            <w:top w:w="15" w:type="dxa"/>
            <w:left w:w="15" w:type="dxa"/>
            <w:bottom w:w="15" w:type="dxa"/>
            <w:right w:w="15" w:type="dxa"/>
          </w:tblCellMar>
        </w:tblPrEx>
        <w:trPr>
          <w:trHeight w:val="152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C08022A020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擅自设立分支机构，情节较重的。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tblPrEx>
          <w:tblCellMar>
            <w:top w:w="15" w:type="dxa"/>
            <w:left w:w="15" w:type="dxa"/>
            <w:bottom w:w="15" w:type="dxa"/>
            <w:right w:w="15" w:type="dxa"/>
          </w:tblCellMar>
        </w:tblPrEx>
        <w:trPr>
          <w:trHeight w:val="157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C08022A030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tblPrEx>
          <w:tblCellMar>
            <w:top w:w="15" w:type="dxa"/>
            <w:left w:w="15" w:type="dxa"/>
            <w:bottom w:w="15" w:type="dxa"/>
            <w:right w:w="15" w:type="dxa"/>
          </w:tblCellMar>
        </w:tblPrEx>
        <w:trPr>
          <w:trHeight w:val="861"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40</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C08023A010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民办非企业单位从事营利性经营活动的行为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《民办非企业单位登记管理暂行条例》第四条第二款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《民办非企业单位登记管理暂行条例》第二十五条第一款第（六）项、第二款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违法经营额或者违法所得20万元以下的；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tblPrEx>
          <w:tblCellMar>
            <w:top w:w="15" w:type="dxa"/>
            <w:left w:w="15" w:type="dxa"/>
            <w:bottom w:w="15" w:type="dxa"/>
            <w:right w:w="15" w:type="dxa"/>
          </w:tblCellMar>
        </w:tblPrEx>
        <w:trPr>
          <w:trHeight w:val="177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C08023A020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违法经营额或者违法所得数额20万元以上的；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tblPrEx>
          <w:tblCellMar>
            <w:top w:w="15" w:type="dxa"/>
            <w:left w:w="15" w:type="dxa"/>
            <w:bottom w:w="15" w:type="dxa"/>
            <w:right w:w="15" w:type="dxa"/>
          </w:tblCellMar>
        </w:tblPrEx>
        <w:trPr>
          <w:trHeight w:val="1632"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C08023A030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tblPrEx>
          <w:tblCellMar>
            <w:top w:w="15" w:type="dxa"/>
            <w:left w:w="15" w:type="dxa"/>
            <w:bottom w:w="15" w:type="dxa"/>
            <w:right w:w="15" w:type="dxa"/>
          </w:tblCellMar>
        </w:tblPrEx>
        <w:trPr>
          <w:trHeight w:val="1560"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41</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C08024A010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侵占、私分、挪用民办非企业单位的资产的行为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《民办非企业单位登记管理暂行条例》第二十一条第一款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《民办非企业单位登记管理暂行条例》第二十五条第一款第（七）项、第二款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侵占、私分民办非企业单位资产数额5万元以下的；</w:t>
            </w:r>
            <w:r>
              <w:rPr>
                <w:rFonts w:hint="eastAsia" w:ascii="宋体" w:hAnsi="宋体" w:cs="宋体"/>
                <w:kern w:val="0"/>
                <w:sz w:val="20"/>
              </w:rPr>
              <w:br w:type="textWrapping"/>
            </w:r>
            <w:r>
              <w:rPr>
                <w:rFonts w:hint="eastAsia" w:ascii="宋体" w:hAnsi="宋体" w:cs="宋体"/>
                <w:kern w:val="0"/>
                <w:sz w:val="20"/>
              </w:rPr>
              <w:t>挪用民办非企业单位资产数额20万元以下的；</w:t>
            </w:r>
            <w:r>
              <w:rPr>
                <w:rFonts w:hint="eastAsia" w:ascii="宋体" w:hAnsi="宋体" w:cs="宋体"/>
                <w:kern w:val="0"/>
                <w:sz w:val="20"/>
              </w:rPr>
              <w:br w:type="textWrapping"/>
            </w:r>
            <w:r>
              <w:rPr>
                <w:rFonts w:hint="eastAsia" w:ascii="宋体" w:hAnsi="宋体" w:cs="宋体"/>
                <w:kern w:val="0"/>
                <w:sz w:val="20"/>
              </w:rPr>
              <w:t>违法经营额或者违法所得5万元以下的；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tblPrEx>
          <w:tblCellMar>
            <w:top w:w="15" w:type="dxa"/>
            <w:left w:w="15" w:type="dxa"/>
            <w:bottom w:w="15" w:type="dxa"/>
            <w:right w:w="15" w:type="dxa"/>
          </w:tblCellMar>
        </w:tblPrEx>
        <w:trPr>
          <w:trHeight w:val="194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C08024A020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侵占、私分民办非企业单位资产数额5万元以上的；</w:t>
            </w:r>
            <w:r>
              <w:rPr>
                <w:rFonts w:hint="eastAsia" w:ascii="宋体" w:hAnsi="宋体" w:cs="宋体"/>
                <w:kern w:val="0"/>
                <w:sz w:val="20"/>
              </w:rPr>
              <w:br w:type="textWrapping"/>
            </w:r>
            <w:r>
              <w:rPr>
                <w:rFonts w:hint="eastAsia" w:ascii="宋体" w:hAnsi="宋体" w:cs="宋体"/>
                <w:kern w:val="0"/>
                <w:sz w:val="20"/>
              </w:rPr>
              <w:t>挪用民办非企业单位资产数额20万元以上的；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tblPrEx>
          <w:tblCellMar>
            <w:top w:w="15" w:type="dxa"/>
            <w:left w:w="15" w:type="dxa"/>
            <w:bottom w:w="15" w:type="dxa"/>
            <w:right w:w="15" w:type="dxa"/>
          </w:tblCellMar>
        </w:tblPrEx>
        <w:trPr>
          <w:trHeight w:val="162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C08024A030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tblPrEx>
          <w:tblCellMar>
            <w:top w:w="15" w:type="dxa"/>
            <w:left w:w="15" w:type="dxa"/>
            <w:bottom w:w="15" w:type="dxa"/>
            <w:right w:w="15" w:type="dxa"/>
          </w:tblCellMar>
        </w:tblPrEx>
        <w:trPr>
          <w:trHeight w:val="214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42</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C08025A010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侵占、私分、挪用民办非企业单位所接受的捐赠、资助的行为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《民办非企业单位登记管理暂行条例》第二十一条第一款、第三款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《民办非企业单位登记管理暂行条例》第二十五条第一款第（七）项、第二款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侵占、私分民办非企业单位所接受的捐赠、资助数额5万元以下的；</w:t>
            </w:r>
            <w:r>
              <w:rPr>
                <w:rFonts w:hint="eastAsia" w:ascii="宋体" w:hAnsi="宋体" w:cs="宋体"/>
                <w:kern w:val="0"/>
                <w:sz w:val="20"/>
              </w:rPr>
              <w:br w:type="textWrapping"/>
            </w:r>
            <w:r>
              <w:rPr>
                <w:rFonts w:hint="eastAsia" w:ascii="宋体" w:hAnsi="宋体" w:cs="宋体"/>
                <w:kern w:val="0"/>
                <w:sz w:val="20"/>
              </w:rPr>
              <w:t>挪用民办非企业单位所接受的捐赠、资助数额10万元以下的；</w:t>
            </w:r>
            <w:r>
              <w:rPr>
                <w:rFonts w:hint="eastAsia" w:ascii="宋体" w:hAnsi="宋体" w:cs="宋体"/>
                <w:kern w:val="0"/>
                <w:sz w:val="20"/>
              </w:rPr>
              <w:br w:type="textWrapping"/>
            </w:r>
            <w:r>
              <w:rPr>
                <w:rFonts w:hint="eastAsia" w:ascii="宋体" w:hAnsi="宋体" w:cs="宋体"/>
                <w:kern w:val="0"/>
                <w:sz w:val="20"/>
              </w:rPr>
              <w:t>违法经营额或者违法所得5万元以下的；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tblPrEx>
          <w:tblCellMar>
            <w:top w:w="15" w:type="dxa"/>
            <w:left w:w="15" w:type="dxa"/>
            <w:bottom w:w="15" w:type="dxa"/>
            <w:right w:w="15" w:type="dxa"/>
          </w:tblCellMar>
        </w:tblPrEx>
        <w:trPr>
          <w:trHeight w:val="2082"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C08025A020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侵占、私分民办非企业单位所接受的捐赠、资助数额5万元以上的；</w:t>
            </w:r>
            <w:r>
              <w:rPr>
                <w:rFonts w:hint="eastAsia" w:ascii="宋体" w:hAnsi="宋体" w:cs="宋体"/>
                <w:kern w:val="0"/>
                <w:sz w:val="20"/>
              </w:rPr>
              <w:br w:type="textWrapping"/>
            </w:r>
            <w:r>
              <w:rPr>
                <w:rFonts w:hint="eastAsia" w:ascii="宋体" w:hAnsi="宋体" w:cs="宋体"/>
                <w:kern w:val="0"/>
                <w:sz w:val="20"/>
              </w:rPr>
              <w:t>挪用民办非企业单位所接受的捐赠、资助数额10万元以上的；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tblPrEx>
          <w:tblCellMar>
            <w:top w:w="15" w:type="dxa"/>
            <w:left w:w="15" w:type="dxa"/>
            <w:bottom w:w="15" w:type="dxa"/>
            <w:right w:w="15" w:type="dxa"/>
          </w:tblCellMar>
        </w:tblPrEx>
        <w:trPr>
          <w:trHeight w:val="210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C08025A030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tblPrEx>
          <w:tblCellMar>
            <w:top w:w="15" w:type="dxa"/>
            <w:left w:w="15" w:type="dxa"/>
            <w:bottom w:w="15" w:type="dxa"/>
            <w:right w:w="15" w:type="dxa"/>
          </w:tblCellMar>
        </w:tblPrEx>
        <w:trPr>
          <w:trHeight w:val="1220"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43</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C08026A010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民办非企业单位违反国家规定收取费用、筹集资金的行为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《民办非企业单位登记管理暂行条例》第二十一条第一款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《民办非企业单位登记管理暂行条例》第二十五条第一款第（八）项、第二款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按国家规定项目和标准收取费用，但未按规定出具相关票据或者履行有关手续的；</w:t>
            </w:r>
            <w:r>
              <w:rPr>
                <w:rFonts w:hint="eastAsia" w:ascii="宋体" w:hAnsi="宋体" w:cs="宋体"/>
                <w:kern w:val="0"/>
                <w:sz w:val="20"/>
              </w:rPr>
              <w:br w:type="textWrapping"/>
            </w:r>
            <w:r>
              <w:rPr>
                <w:rFonts w:hint="eastAsia" w:ascii="宋体" w:hAnsi="宋体" w:cs="宋体"/>
                <w:kern w:val="0"/>
                <w:sz w:val="20"/>
              </w:rPr>
              <w:t>违规收取费用或者筹集资金累计10万元以下的；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tblPrEx>
          <w:tblCellMar>
            <w:top w:w="15" w:type="dxa"/>
            <w:left w:w="15" w:type="dxa"/>
            <w:bottom w:w="15" w:type="dxa"/>
            <w:right w:w="15" w:type="dxa"/>
          </w:tblCellMar>
        </w:tblPrEx>
        <w:trPr>
          <w:trHeight w:val="126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C08026A020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违规收取费用或者筹集资金累计10万元以上的；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tblPrEx>
          <w:tblCellMar>
            <w:top w:w="15" w:type="dxa"/>
            <w:left w:w="15" w:type="dxa"/>
            <w:bottom w:w="15" w:type="dxa"/>
            <w:right w:w="15" w:type="dxa"/>
          </w:tblCellMar>
        </w:tblPrEx>
        <w:trPr>
          <w:trHeight w:val="129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C08026A030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tblPrEx>
          <w:tblCellMar>
            <w:top w:w="15" w:type="dxa"/>
            <w:left w:w="15" w:type="dxa"/>
            <w:bottom w:w="15" w:type="dxa"/>
            <w:right w:w="15" w:type="dxa"/>
          </w:tblCellMar>
        </w:tblPrEx>
        <w:trPr>
          <w:trHeight w:val="2167"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44</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C08027A010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民办非企业单位违反国家规定接受、使用捐赠、资助的行为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《民办非企业单位登记管理暂行条例》第二十一条第三款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《民办非企业单位登记管理暂行条例》第二十五条第一款第（八）项、第二款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违反国家有关规定接受捐赠、资助累计20万元以下的；</w:t>
            </w:r>
            <w:r>
              <w:rPr>
                <w:rFonts w:hint="eastAsia" w:ascii="宋体" w:hAnsi="宋体" w:cs="宋体"/>
                <w:kern w:val="0"/>
                <w:sz w:val="20"/>
              </w:rPr>
              <w:br w:type="textWrapping"/>
            </w:r>
            <w:r>
              <w:rPr>
                <w:rFonts w:hint="eastAsia" w:ascii="宋体" w:hAnsi="宋体" w:cs="宋体"/>
                <w:kern w:val="0"/>
                <w:sz w:val="20"/>
              </w:rPr>
              <w:t>违反国家有关规定接受捐赠、资助累计5人次以下的；</w:t>
            </w:r>
            <w:r>
              <w:rPr>
                <w:rFonts w:hint="eastAsia" w:ascii="宋体" w:hAnsi="宋体" w:cs="宋体"/>
                <w:kern w:val="0"/>
                <w:sz w:val="20"/>
              </w:rPr>
              <w:br w:type="textWrapping"/>
            </w:r>
            <w:r>
              <w:rPr>
                <w:rFonts w:hint="eastAsia" w:ascii="宋体" w:hAnsi="宋体" w:cs="宋体"/>
                <w:kern w:val="0"/>
                <w:sz w:val="20"/>
              </w:rPr>
              <w:t>违反国家有关规定使用捐赠、资助累计5万元以下的；</w:t>
            </w:r>
            <w:r>
              <w:rPr>
                <w:rFonts w:hint="eastAsia" w:ascii="宋体" w:hAnsi="宋体" w:cs="宋体"/>
                <w:kern w:val="0"/>
                <w:sz w:val="20"/>
              </w:rPr>
              <w:br w:type="textWrapping"/>
            </w:r>
            <w:r>
              <w:rPr>
                <w:rFonts w:hint="eastAsia" w:ascii="宋体" w:hAnsi="宋体" w:cs="宋体"/>
                <w:kern w:val="0"/>
                <w:sz w:val="20"/>
              </w:rPr>
              <w:t>违法经营额或者违法所得5万元以下的；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tblPrEx>
          <w:tblCellMar>
            <w:top w:w="15" w:type="dxa"/>
            <w:left w:w="15" w:type="dxa"/>
            <w:bottom w:w="15" w:type="dxa"/>
            <w:right w:w="15" w:type="dxa"/>
          </w:tblCellMar>
        </w:tblPrEx>
        <w:trPr>
          <w:trHeight w:val="212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C08027A020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违反国家有关规定接受捐赠、资助累计20万元以上的；</w:t>
            </w:r>
            <w:r>
              <w:rPr>
                <w:rFonts w:hint="eastAsia" w:ascii="宋体" w:hAnsi="宋体" w:cs="宋体"/>
                <w:kern w:val="0"/>
                <w:sz w:val="20"/>
              </w:rPr>
              <w:br w:type="textWrapping"/>
            </w:r>
            <w:r>
              <w:rPr>
                <w:rFonts w:hint="eastAsia" w:ascii="宋体" w:hAnsi="宋体" w:cs="宋体"/>
                <w:kern w:val="0"/>
                <w:sz w:val="20"/>
              </w:rPr>
              <w:t>违反国家有关规定接受捐赠、资助累计资助5人次以上的；</w:t>
            </w:r>
            <w:r>
              <w:rPr>
                <w:rFonts w:hint="eastAsia" w:ascii="宋体" w:hAnsi="宋体" w:cs="宋体"/>
                <w:kern w:val="0"/>
                <w:sz w:val="20"/>
              </w:rPr>
              <w:br w:type="textWrapping"/>
            </w:r>
            <w:r>
              <w:rPr>
                <w:rFonts w:hint="eastAsia" w:ascii="宋体" w:hAnsi="宋体" w:cs="宋体"/>
                <w:kern w:val="0"/>
                <w:sz w:val="20"/>
              </w:rPr>
              <w:t>违反国家有关规定使用捐赠、资助累计5万元以上的；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tblPrEx>
          <w:tblCellMar>
            <w:top w:w="15" w:type="dxa"/>
            <w:left w:w="15" w:type="dxa"/>
            <w:bottom w:w="15" w:type="dxa"/>
            <w:right w:w="15" w:type="dxa"/>
          </w:tblCellMar>
        </w:tblPrEx>
        <w:trPr>
          <w:trHeight w:val="122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C08027A030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tblPrEx>
          <w:tblCellMar>
            <w:top w:w="15" w:type="dxa"/>
            <w:left w:w="15" w:type="dxa"/>
            <w:bottom w:w="15" w:type="dxa"/>
            <w:right w:w="15" w:type="dxa"/>
          </w:tblCellMar>
        </w:tblPrEx>
        <w:trPr>
          <w:trHeight w:val="1556"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45</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C08028A000</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民办非企业单位的活动违反其他法律、法规的行为</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《民办非企业单位登记管理暂行条例》第二十六条 </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《民办非企业单位登记管理暂行条例》第二十六条</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民办非企业单位违反《民办非企业单位登记管理暂行条例》以外的其他法律、法规，有关国家机关认为应当撤销登记，并出具明确书面意见的。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tblPrEx>
          <w:tblCellMar>
            <w:top w:w="15" w:type="dxa"/>
            <w:left w:w="15" w:type="dxa"/>
            <w:bottom w:w="15" w:type="dxa"/>
            <w:right w:w="15" w:type="dxa"/>
          </w:tblCellMar>
        </w:tblPrEx>
        <w:trPr>
          <w:trHeight w:val="1783"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46</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C08029A000</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未经登记，擅自以民办非企业单位名义进行活动的行为</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《民办非企业单位登记管理暂行条例》第三条</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《民办非企业单位登记管理暂行条例》第二十七条、《取缔非法民间组织暂行办法》第三条</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未经登记，擅自以民办非企业单位名义进行活动的。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没收非法财产。</w:t>
            </w:r>
          </w:p>
        </w:tc>
      </w:tr>
      <w:tr>
        <w:tblPrEx>
          <w:tblCellMar>
            <w:top w:w="15" w:type="dxa"/>
            <w:left w:w="15" w:type="dxa"/>
            <w:bottom w:w="15" w:type="dxa"/>
            <w:right w:w="15" w:type="dxa"/>
          </w:tblCellMar>
        </w:tblPrEx>
        <w:trPr>
          <w:trHeight w:val="1651"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47</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C08030A000</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被撤销登记的民办非企业单位继续以民办非企业单位名义进行活动的行为</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《民办非企业单位登记管理暂行条例》第三条 </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《民办非企业单位登记管理暂行条例》第二十七条、《取缔非法民间组织暂行办法》第三条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被撤销登记的民办非企业单位继续以民办非企业单位名义进行活动的。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没收非法财产。</w:t>
            </w:r>
          </w:p>
        </w:tc>
      </w:tr>
      <w:tr>
        <w:tblPrEx>
          <w:tblCellMar>
            <w:top w:w="15" w:type="dxa"/>
            <w:left w:w="15" w:type="dxa"/>
            <w:bottom w:w="15" w:type="dxa"/>
            <w:right w:w="15" w:type="dxa"/>
          </w:tblCellMar>
        </w:tblPrEx>
        <w:trPr>
          <w:trHeight w:val="1849"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48</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C08115A000</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民办非企业单位使用童工，经责令限期改正，逾期仍不将童工送交其父母或者其他监护人的行为</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《禁止使用童工规定》第二条第一款</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《禁止使用童工规定》第六条第二款</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民办非企业单位招用童工，经劳动保障行政部门责令限期改正，逾期仍不将童工送交其父母或者其他监护人的。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tblPrEx>
          <w:tblCellMar>
            <w:top w:w="15" w:type="dxa"/>
            <w:left w:w="15" w:type="dxa"/>
            <w:bottom w:w="15" w:type="dxa"/>
            <w:right w:w="15" w:type="dxa"/>
          </w:tblCellMar>
        </w:tblPrEx>
        <w:trPr>
          <w:trHeight w:val="1330"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49</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C08116A000</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民办非企业单位使用童工伤残或者死亡的行为</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《禁止使用童工规定》第十条第二款</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《禁止使用童工规定》第十条第二款</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民办非企业单位使用童工，童工伤残或者死亡的。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tblPrEx>
          <w:tblCellMar>
            <w:top w:w="15" w:type="dxa"/>
            <w:left w:w="15" w:type="dxa"/>
            <w:bottom w:w="15" w:type="dxa"/>
            <w:right w:w="15" w:type="dxa"/>
          </w:tblCellMar>
        </w:tblPrEx>
        <w:trPr>
          <w:trHeight w:val="1792"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50</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C08031A000</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基金会</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未经登记以基金会、基金会分支机构、基金会代表机构名义开展活动的行为</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《基金会管理条例》第四十条</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《基金会管理条例》第四十条</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未经登记以基金会、基金会分支机构、基金会代表机构名义开展活动的。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没收非法财产。</w:t>
            </w:r>
          </w:p>
        </w:tc>
      </w:tr>
      <w:tr>
        <w:tblPrEx>
          <w:tblCellMar>
            <w:top w:w="15" w:type="dxa"/>
            <w:left w:w="15" w:type="dxa"/>
            <w:bottom w:w="15" w:type="dxa"/>
            <w:right w:w="15" w:type="dxa"/>
          </w:tblCellMar>
        </w:tblPrEx>
        <w:trPr>
          <w:trHeight w:val="1755"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51</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C08034A000</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基金会</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被撤销登记后以基金会、基金会分支机构、基金会代表机构名义开展活动的行为</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《基金会管理条例》第四十条</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《基金会管理条例》第四十条</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被撤销登记后以基金会、基金会分支机构、基金会代表机构名义开展活动的。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没收非法财产。</w:t>
            </w:r>
          </w:p>
        </w:tc>
      </w:tr>
      <w:tr>
        <w:tblPrEx>
          <w:tblCellMar>
            <w:top w:w="15" w:type="dxa"/>
            <w:left w:w="15" w:type="dxa"/>
            <w:bottom w:w="15" w:type="dxa"/>
            <w:right w:w="15" w:type="dxa"/>
          </w:tblCellMar>
        </w:tblPrEx>
        <w:trPr>
          <w:trHeight w:val="1102"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52</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C08037A010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基金会</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基金会未按照章程规定的宗旨和公益活动的业务范围进行活动的行为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《基金会管理条例》第二十五条第一款、第二十七条第二款 </w:t>
            </w:r>
          </w:p>
        </w:tc>
        <w:tc>
          <w:tcPr>
            <w:tcW w:w="1501" w:type="dxa"/>
            <w:vMerge w:val="restart"/>
            <w:tcBorders>
              <w:top w:val="single" w:color="000000" w:sz="4" w:space="0"/>
              <w:left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《基金会管理条例》第四十二条第一款第（一）项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初次超出章程规定的宗旨和公益活动范围开展活动的；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tblPrEx>
          <w:tblCellMar>
            <w:top w:w="15" w:type="dxa"/>
            <w:left w:w="15" w:type="dxa"/>
            <w:bottom w:w="15" w:type="dxa"/>
            <w:right w:w="15" w:type="dxa"/>
          </w:tblCellMar>
        </w:tblPrEx>
        <w:trPr>
          <w:trHeight w:val="1082"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C08037A020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left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超出章程规定的宗旨和公益活动范围开展活动2次以上的；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tblPrEx>
          <w:tblCellMar>
            <w:top w:w="15" w:type="dxa"/>
            <w:left w:w="15" w:type="dxa"/>
            <w:bottom w:w="15" w:type="dxa"/>
            <w:right w:w="15" w:type="dxa"/>
          </w:tblCellMar>
        </w:tblPrEx>
        <w:trPr>
          <w:trHeight w:val="94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C08037A030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tblPrEx>
          <w:tblCellMar>
            <w:top w:w="15" w:type="dxa"/>
            <w:left w:w="15" w:type="dxa"/>
            <w:bottom w:w="15" w:type="dxa"/>
            <w:right w:w="15" w:type="dxa"/>
          </w:tblCellMar>
        </w:tblPrEx>
        <w:trPr>
          <w:trHeight w:val="951"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53</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C08038A010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基金会</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基金会分支机构未按照章程规定的宗旨和公益活动的业务范围进行活动的行为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《基金会管理条例》第二十五条第一款、第二十七条第二款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《基金会管理条例》第四十二条第一款第（一）项</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初次超出章程规定的宗旨和公益活动范围开展活动的；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tblPrEx>
          <w:tblCellMar>
            <w:top w:w="15" w:type="dxa"/>
            <w:left w:w="15" w:type="dxa"/>
            <w:bottom w:w="15" w:type="dxa"/>
            <w:right w:w="15" w:type="dxa"/>
          </w:tblCellMar>
        </w:tblPrEx>
        <w:trPr>
          <w:trHeight w:val="95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C08038A020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超出章程规定的宗旨和公益活动范围开展活动2次以上的； </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tblPrEx>
          <w:tblCellMar>
            <w:top w:w="15" w:type="dxa"/>
            <w:left w:w="15" w:type="dxa"/>
            <w:bottom w:w="15" w:type="dxa"/>
            <w:right w:w="15" w:type="dxa"/>
          </w:tblCellMar>
        </w:tblPrEx>
        <w:trPr>
          <w:trHeight w:val="82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C08038A030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tblPrEx>
          <w:tblCellMar>
            <w:top w:w="15" w:type="dxa"/>
            <w:left w:w="15" w:type="dxa"/>
            <w:bottom w:w="15" w:type="dxa"/>
            <w:right w:w="15" w:type="dxa"/>
          </w:tblCellMar>
        </w:tblPrEx>
        <w:trPr>
          <w:trHeight w:val="947"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54</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C08039A010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基金会</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基金会代表机构未按照章程规定的宗旨和公益活动的业务范围进行活动的行为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《基金会管理条例》第二十五条第一款、第二十七条第二款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《基金会管理条例》第四十二条第一款第（一）项</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初次超出章程规定的宗旨和公益活动范围开展活动的；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tblPrEx>
          <w:tblCellMar>
            <w:top w:w="15" w:type="dxa"/>
            <w:left w:w="15" w:type="dxa"/>
            <w:bottom w:w="15" w:type="dxa"/>
            <w:right w:w="15" w:type="dxa"/>
          </w:tblCellMar>
        </w:tblPrEx>
        <w:trPr>
          <w:trHeight w:val="96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C08039A020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超出章程规定的宗旨和公益活动范围开展活动2次以上的；</w:t>
            </w:r>
            <w:r>
              <w:rPr>
                <w:rFonts w:hint="eastAsia" w:ascii="宋体" w:hAnsi="宋体" w:cs="宋体"/>
                <w:kern w:val="0"/>
                <w:sz w:val="20"/>
              </w:rPr>
              <w:br w:type="textWrapping"/>
            </w:r>
            <w:r>
              <w:rPr>
                <w:rFonts w:hint="eastAsia" w:ascii="宋体" w:hAnsi="宋体" w:cs="宋体"/>
                <w:kern w:val="0"/>
                <w:sz w:val="20"/>
              </w:rPr>
              <w:t>情节较重的。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tblPrEx>
          <w:tblCellMar>
            <w:top w:w="15" w:type="dxa"/>
            <w:left w:w="15" w:type="dxa"/>
            <w:bottom w:w="15" w:type="dxa"/>
            <w:right w:w="15" w:type="dxa"/>
          </w:tblCellMar>
        </w:tblPrEx>
        <w:trPr>
          <w:trHeight w:val="76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C08039A030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tblPrEx>
          <w:tblCellMar>
            <w:top w:w="15" w:type="dxa"/>
            <w:left w:w="15" w:type="dxa"/>
            <w:bottom w:w="15" w:type="dxa"/>
            <w:right w:w="15" w:type="dxa"/>
          </w:tblCellMar>
        </w:tblPrEx>
        <w:trPr>
          <w:trHeight w:val="832"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55</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C08040A010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基金会</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基金会在填制会计凭证、登记会计账簿、编制财务会计报告中弄虚作假的行为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《基金会管理条例》第三十二条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《基金会管理条例》第四十二条第一款第（二）项</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经济差额20万元以下的；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tblPrEx>
          <w:tblCellMar>
            <w:top w:w="15" w:type="dxa"/>
            <w:left w:w="15" w:type="dxa"/>
            <w:bottom w:w="15" w:type="dxa"/>
            <w:right w:w="15" w:type="dxa"/>
          </w:tblCellMar>
        </w:tblPrEx>
        <w:trPr>
          <w:trHeight w:val="84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C08040A020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经济差额20万元以上的；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tblPrEx>
          <w:tblCellMar>
            <w:top w:w="15" w:type="dxa"/>
            <w:left w:w="15" w:type="dxa"/>
            <w:bottom w:w="15" w:type="dxa"/>
            <w:right w:w="15" w:type="dxa"/>
          </w:tblCellMar>
        </w:tblPrEx>
        <w:trPr>
          <w:trHeight w:val="70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C08040A030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tblPrEx>
          <w:tblCellMar>
            <w:top w:w="15" w:type="dxa"/>
            <w:left w:w="15" w:type="dxa"/>
            <w:bottom w:w="15" w:type="dxa"/>
            <w:right w:w="15" w:type="dxa"/>
          </w:tblCellMar>
        </w:tblPrEx>
        <w:trPr>
          <w:trHeight w:val="922"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56</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C08041A010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基金会</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基金会分支机构在填制会计凭证、登记会计账簿、编制财务会计报告中弄虚作假的行为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《基金会管理条例》第三十二条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《基金会管理条例》第四十二条第一款第（二）项</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经济差额20万元以下的；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tblPrEx>
          <w:tblCellMar>
            <w:top w:w="15" w:type="dxa"/>
            <w:left w:w="15" w:type="dxa"/>
            <w:bottom w:w="15" w:type="dxa"/>
            <w:right w:w="15" w:type="dxa"/>
          </w:tblCellMar>
        </w:tblPrEx>
        <w:trPr>
          <w:trHeight w:val="86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C08041A020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经济差额20万元以上的；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tblPrEx>
          <w:tblCellMar>
            <w:top w:w="15" w:type="dxa"/>
            <w:left w:w="15" w:type="dxa"/>
            <w:bottom w:w="15" w:type="dxa"/>
            <w:right w:w="15" w:type="dxa"/>
          </w:tblCellMar>
        </w:tblPrEx>
        <w:trPr>
          <w:trHeight w:val="86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C08041A030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tblPrEx>
          <w:tblCellMar>
            <w:top w:w="15" w:type="dxa"/>
            <w:left w:w="15" w:type="dxa"/>
            <w:bottom w:w="15" w:type="dxa"/>
            <w:right w:w="15" w:type="dxa"/>
          </w:tblCellMar>
        </w:tblPrEx>
        <w:trPr>
          <w:trHeight w:val="887"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57</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C08042A010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基金会</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基金会代表机构在填制会计凭证、登记会计账簿、编制财务会计报告中弄虚作假的行为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《基金会管理条例》第三十二条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《基金会管理条例》第四十二条第一款第（二）项</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经济差额20万元以下的；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tblPrEx>
          <w:tblCellMar>
            <w:top w:w="15" w:type="dxa"/>
            <w:left w:w="15" w:type="dxa"/>
            <w:bottom w:w="15" w:type="dxa"/>
            <w:right w:w="15" w:type="dxa"/>
          </w:tblCellMar>
        </w:tblPrEx>
        <w:trPr>
          <w:trHeight w:val="92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C08042A020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经济差额20万元以上的；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tblPrEx>
          <w:tblCellMar>
            <w:top w:w="15" w:type="dxa"/>
            <w:left w:w="15" w:type="dxa"/>
            <w:bottom w:w="15" w:type="dxa"/>
            <w:right w:w="15" w:type="dxa"/>
          </w:tblCellMar>
        </w:tblPrEx>
        <w:trPr>
          <w:trHeight w:val="78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C08042A030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tblPrEx>
          <w:tblCellMar>
            <w:top w:w="15" w:type="dxa"/>
            <w:left w:w="15" w:type="dxa"/>
            <w:bottom w:w="15" w:type="dxa"/>
            <w:right w:w="15" w:type="dxa"/>
          </w:tblCellMar>
        </w:tblPrEx>
        <w:trPr>
          <w:trHeight w:val="768"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58</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C08043B010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基金会</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基金会不按照规定办理变更登记的行为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《基金会管理条例》第十一条第二款、第十五条第一款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《基金会管理条例》第四十二条第一款第（三）项</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不按照规定变更登记事项，情节轻微的。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tblPrEx>
          <w:tblCellMar>
            <w:top w:w="15" w:type="dxa"/>
            <w:left w:w="15" w:type="dxa"/>
            <w:bottom w:w="15" w:type="dxa"/>
            <w:right w:w="15" w:type="dxa"/>
          </w:tblCellMar>
        </w:tblPrEx>
        <w:trPr>
          <w:trHeight w:val="83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C08043B020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不按照规定变更登记事项，情节较重的。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tblPrEx>
          <w:tblCellMar>
            <w:top w:w="15" w:type="dxa"/>
            <w:left w:w="15" w:type="dxa"/>
            <w:bottom w:w="15" w:type="dxa"/>
            <w:right w:w="15" w:type="dxa"/>
          </w:tblCellMar>
        </w:tblPrEx>
        <w:trPr>
          <w:trHeight w:val="76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C08043B030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tblPrEx>
          <w:tblCellMar>
            <w:top w:w="15" w:type="dxa"/>
            <w:left w:w="15" w:type="dxa"/>
            <w:bottom w:w="15" w:type="dxa"/>
            <w:right w:w="15" w:type="dxa"/>
          </w:tblCellMar>
        </w:tblPrEx>
        <w:trPr>
          <w:trHeight w:val="1219"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59</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C08046A010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基金会</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基金会未按照《基金会管理条例》的规定完成公益事业支出额度的行为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《基金会管理条例》第二十九条第一款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《基金会管理条例》第四十二条第一款第（四）项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一年未按照《基金会管理条例》规定完成公益事业支出额度的；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tblPrEx>
          <w:tblCellMar>
            <w:top w:w="15" w:type="dxa"/>
            <w:left w:w="15" w:type="dxa"/>
            <w:bottom w:w="15" w:type="dxa"/>
            <w:right w:w="15" w:type="dxa"/>
          </w:tblCellMar>
        </w:tblPrEx>
        <w:trPr>
          <w:trHeight w:val="115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C08046A020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连续两年以上未按照《基金会管理条例》规定完成公益事业支出额度的；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tblPrEx>
          <w:tblCellMar>
            <w:top w:w="15" w:type="dxa"/>
            <w:left w:w="15" w:type="dxa"/>
            <w:bottom w:w="15" w:type="dxa"/>
            <w:right w:w="15" w:type="dxa"/>
          </w:tblCellMar>
        </w:tblPrEx>
        <w:trPr>
          <w:trHeight w:val="103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C08046A030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tblPrEx>
          <w:tblCellMar>
            <w:top w:w="15" w:type="dxa"/>
            <w:left w:w="15" w:type="dxa"/>
            <w:bottom w:w="15" w:type="dxa"/>
            <w:right w:w="15" w:type="dxa"/>
          </w:tblCellMar>
        </w:tblPrEx>
        <w:trPr>
          <w:trHeight w:val="1234"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60</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C08047A010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基金会</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基金会未按照《基金会管理条例》的规定接受年度检查的行为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《基金会管理条例》第三十六条第一款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《基金会管理条例》第四十二条第一款第（五）项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一年未按照《基金会管理条例》的规定接受年度检查的；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tblPrEx>
          <w:tblCellMar>
            <w:top w:w="15" w:type="dxa"/>
            <w:left w:w="15" w:type="dxa"/>
            <w:bottom w:w="15" w:type="dxa"/>
            <w:right w:w="15" w:type="dxa"/>
          </w:tblCellMar>
        </w:tblPrEx>
        <w:trPr>
          <w:trHeight w:val="103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C08047A020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累计两年未按照《基金会管理条例》的规定接受年度检查的；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tblPrEx>
          <w:tblCellMar>
            <w:top w:w="15" w:type="dxa"/>
            <w:left w:w="15" w:type="dxa"/>
            <w:bottom w:w="15" w:type="dxa"/>
            <w:right w:w="15" w:type="dxa"/>
          </w:tblCellMar>
        </w:tblPrEx>
        <w:trPr>
          <w:trHeight w:val="118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C08047A030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连续两年以上未按照《基金会管理条例》的规定接受年度检查的；</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tblPrEx>
          <w:tblCellMar>
            <w:top w:w="15" w:type="dxa"/>
            <w:left w:w="15" w:type="dxa"/>
            <w:bottom w:w="15" w:type="dxa"/>
            <w:right w:w="15" w:type="dxa"/>
          </w:tblCellMar>
        </w:tblPrEx>
        <w:trPr>
          <w:trHeight w:val="1033"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61</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C08048A000</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基金会</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基金会连续两年不接受年检的行为</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《基金会年度检查办法》第三条</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《基金会年度检查办法》第十一条</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连续两年不接受年检的。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tblPrEx>
          <w:tblCellMar>
            <w:top w:w="15" w:type="dxa"/>
            <w:left w:w="15" w:type="dxa"/>
            <w:bottom w:w="15" w:type="dxa"/>
            <w:right w:w="15" w:type="dxa"/>
          </w:tblCellMar>
        </w:tblPrEx>
        <w:trPr>
          <w:trHeight w:val="793"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62</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C08049A010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基金会</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基金会年度检查不合格的行为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《基金会管理条例》第四十二条第一款第（五）项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《基金会管理条例》第四十二条第一款第（五）项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一年年检不合格的。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tblPrEx>
          <w:tblCellMar>
            <w:top w:w="15" w:type="dxa"/>
            <w:left w:w="15" w:type="dxa"/>
            <w:bottom w:w="15" w:type="dxa"/>
            <w:right w:w="15" w:type="dxa"/>
          </w:tblCellMar>
        </w:tblPrEx>
        <w:trPr>
          <w:trHeight w:val="88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C08049A020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连续两年以上年检不合格的；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tblPrEx>
          <w:tblCellMar>
            <w:top w:w="15" w:type="dxa"/>
            <w:left w:w="15" w:type="dxa"/>
            <w:bottom w:w="15" w:type="dxa"/>
            <w:right w:w="15" w:type="dxa"/>
          </w:tblCellMar>
        </w:tblPrEx>
        <w:trPr>
          <w:trHeight w:val="73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C08049A030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tblPrEx>
          <w:tblCellMar>
            <w:top w:w="15" w:type="dxa"/>
            <w:left w:w="15" w:type="dxa"/>
            <w:bottom w:w="15" w:type="dxa"/>
            <w:right w:w="15" w:type="dxa"/>
          </w:tblCellMar>
        </w:tblPrEx>
        <w:trPr>
          <w:trHeight w:val="1371"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63</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C08050A010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基金会</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基金会不履行信息公布义务的行为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《基金会管理条例》第二十五条第二款、第三十条 、第三十八条、《基金会信息公布办法》第四条 、第五条第一款、第六条、第七条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《基金会管理条例》第四十二条第一款第（六）项、《基金会信息公布办法》第十四条第二款</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信息公布有遗漏，不履行信息公布义务5项以下的；</w:t>
            </w:r>
            <w:r>
              <w:rPr>
                <w:rFonts w:hint="eastAsia" w:ascii="宋体" w:hAnsi="宋体" w:cs="宋体"/>
                <w:kern w:val="0"/>
                <w:sz w:val="20"/>
              </w:rPr>
              <w:br w:type="textWrapping"/>
            </w:r>
            <w:r>
              <w:rPr>
                <w:rFonts w:hint="eastAsia" w:ascii="宋体" w:hAnsi="宋体" w:cs="宋体"/>
                <w:kern w:val="0"/>
                <w:sz w:val="20"/>
              </w:rPr>
              <w:t>公布范围不能覆盖信息公布义务人的活动地域的；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tblPrEx>
          <w:tblCellMar>
            <w:top w:w="15" w:type="dxa"/>
            <w:left w:w="15" w:type="dxa"/>
            <w:bottom w:w="15" w:type="dxa"/>
            <w:right w:w="15" w:type="dxa"/>
          </w:tblCellMar>
        </w:tblPrEx>
        <w:trPr>
          <w:trHeight w:val="87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C08050A020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不履行信息公布义务5项以上的；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tblPrEx>
          <w:tblCellMar>
            <w:top w:w="15" w:type="dxa"/>
            <w:left w:w="15" w:type="dxa"/>
            <w:bottom w:w="15" w:type="dxa"/>
            <w:right w:w="15" w:type="dxa"/>
          </w:tblCellMar>
        </w:tblPrEx>
        <w:trPr>
          <w:trHeight w:val="72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C08050A030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tblPrEx>
          <w:tblCellMar>
            <w:top w:w="15" w:type="dxa"/>
            <w:left w:w="15" w:type="dxa"/>
            <w:bottom w:w="15" w:type="dxa"/>
            <w:right w:w="15" w:type="dxa"/>
          </w:tblCellMar>
        </w:tblPrEx>
        <w:trPr>
          <w:trHeight w:val="886"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64</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C08051A010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基金会</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基金会公布虚假信息的行为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《基金会管理条例》第二十五条第二款、第三十条 、第三十八条、《基金会信息公布办法》第三条第一款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《基金会管理条例》第四十二条第一款第（六）项、《基金会信息公布办法》第十四条第二款</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初次被发现公布虚假信息的；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tblPrEx>
          <w:tblCellMar>
            <w:top w:w="15" w:type="dxa"/>
            <w:left w:w="15" w:type="dxa"/>
            <w:bottom w:w="15" w:type="dxa"/>
            <w:right w:w="15" w:type="dxa"/>
          </w:tblCellMar>
        </w:tblPrEx>
        <w:trPr>
          <w:trHeight w:val="90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C08051A020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公布虚假信息2次以上的；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tblPrEx>
          <w:tblCellMar>
            <w:top w:w="15" w:type="dxa"/>
            <w:left w:w="15" w:type="dxa"/>
            <w:bottom w:w="15" w:type="dxa"/>
            <w:right w:w="15" w:type="dxa"/>
          </w:tblCellMar>
        </w:tblPrEx>
        <w:trPr>
          <w:trHeight w:val="73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C08051A030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tblPrEx>
          <w:tblCellMar>
            <w:top w:w="15" w:type="dxa"/>
            <w:left w:w="15" w:type="dxa"/>
            <w:bottom w:w="15" w:type="dxa"/>
            <w:right w:w="15" w:type="dxa"/>
          </w:tblCellMar>
        </w:tblPrEx>
        <w:trPr>
          <w:trHeight w:val="1887"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65</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C08142A000</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社会组织</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境外非政府组织的中方合作单位未按照规定备案相关事项，情节严重的行为</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《中华人民共和国境外非政府组织境内活动管理法》第十六条、第十七条第一款</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《中华人民共和国境外非政府组织境内活动管理法》第四十五条第一款第（一）项</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中方合作单位未按照规定备案相关事项，情节严重的。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tblPrEx>
          <w:tblCellMar>
            <w:top w:w="15" w:type="dxa"/>
            <w:left w:w="15" w:type="dxa"/>
            <w:bottom w:w="15" w:type="dxa"/>
            <w:right w:w="15" w:type="dxa"/>
          </w:tblCellMar>
        </w:tblPrEx>
        <w:trPr>
          <w:trHeight w:val="2176"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66</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C08131A000</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社会组织</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境外非政府组织的中方合作单位未按照备案的名称、业务范围、活动地域开展活动，情节严重的行为</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《中华人民共和国境外非政府组织境内活动管理法》第十六条、第十七条第一款 </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《中华人民共和国境外非政府组织境内活动管理法》第四十五条第一款第（二）项</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中方合作单位未按照备案的名称、业务范围、活动地域开展活动，情节严重的。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tblPrEx>
          <w:tblCellMar>
            <w:top w:w="15" w:type="dxa"/>
            <w:left w:w="15" w:type="dxa"/>
            <w:bottom w:w="15" w:type="dxa"/>
            <w:right w:w="15" w:type="dxa"/>
          </w:tblCellMar>
        </w:tblPrEx>
        <w:trPr>
          <w:trHeight w:val="1949"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67</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C08136A000</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社会组织</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境外非政府组织的中方合作单位，违反规定取得、使用资金，情节严重的行为</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《中华人民共和国境外非政府组织境内活动管理法》第二十一条第一款、第二款 </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《中华人民共和国境外非政府组织境内活动管理法》第四十五条第一款第（四）项</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中方合作单位违反规定取得、使用资金，情节严重的。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tblPrEx>
          <w:tblCellMar>
            <w:top w:w="15" w:type="dxa"/>
            <w:left w:w="15" w:type="dxa"/>
            <w:bottom w:w="15" w:type="dxa"/>
            <w:right w:w="15" w:type="dxa"/>
          </w:tblCellMar>
        </w:tblPrEx>
        <w:trPr>
          <w:trHeight w:val="2000"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68</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C08146A000</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社会组织</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境外非政府组织的中方合作单位，未按照规定开立、使用银行账户，情节严重的行为</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《中华人民共和国境外非政府组织境内活动管理法》第二十二条第二款、第三款</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《中华人民共和国境外非政府组织境内活动管理法》第四十五条第一款第（四）项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中方合作单位未按照规定开立、使用银行账户或者进行会计核算，情节严重的。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tblPrEx>
          <w:tblCellMar>
            <w:top w:w="15" w:type="dxa"/>
            <w:left w:w="15" w:type="dxa"/>
            <w:bottom w:w="15" w:type="dxa"/>
            <w:right w:w="15" w:type="dxa"/>
          </w:tblCellMar>
        </w:tblPrEx>
        <w:trPr>
          <w:trHeight w:val="2084"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69</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C08123B010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慈善信托的受托人将信托财产及其收益用于非慈善目的的行为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《中华人民共和国慈善法》第四十四条、第四十八条第一款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《中华人民共和国慈善法》第一百零五条第（一）项</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将信托财产及其收益用于非慈善目的，情节轻微的。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警告；没收违法所得；对直接负责的主管人员和其他直接责任人员处2万元以上、10万元以下罚款。</w:t>
            </w:r>
          </w:p>
        </w:tc>
      </w:tr>
      <w:tr>
        <w:tblPrEx>
          <w:tblCellMar>
            <w:top w:w="15" w:type="dxa"/>
            <w:left w:w="15" w:type="dxa"/>
            <w:bottom w:w="15" w:type="dxa"/>
            <w:right w:w="15" w:type="dxa"/>
          </w:tblCellMar>
        </w:tblPrEx>
        <w:trPr>
          <w:trHeight w:val="190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C08123B020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将信托财产及其收益用于非慈善目的，情节较重的。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警告；没收违法所得；对直接负责的主管人员和其他直接责任人员处10万元以上、20万元以下罚款。</w:t>
            </w:r>
          </w:p>
        </w:tc>
      </w:tr>
      <w:tr>
        <w:tblPrEx>
          <w:tblCellMar>
            <w:top w:w="15" w:type="dxa"/>
            <w:left w:w="15" w:type="dxa"/>
            <w:bottom w:w="15" w:type="dxa"/>
            <w:right w:w="15" w:type="dxa"/>
          </w:tblCellMar>
        </w:tblPrEx>
        <w:trPr>
          <w:trHeight w:val="2033"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70</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C08124B010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慈善信托的受托人未按照规定将信托事务处理情况及财务状况向民政部门报告或者向社会公开的行为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《中华人民共和国慈善法》第四十八条第二款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《中华人民共和国慈善法》第一百零五条第（二）项</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未及时、全面报告或公开的。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警告；没收违法所得；对直接负责的主管人员和其他直接责任人员处2万元以上、10万元以下罚款。</w:t>
            </w:r>
          </w:p>
        </w:tc>
      </w:tr>
      <w:tr>
        <w:tblPrEx>
          <w:tblCellMar>
            <w:top w:w="15" w:type="dxa"/>
            <w:left w:w="15" w:type="dxa"/>
            <w:bottom w:w="15" w:type="dxa"/>
            <w:right w:w="15" w:type="dxa"/>
          </w:tblCellMar>
        </w:tblPrEx>
        <w:trPr>
          <w:trHeight w:val="185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C08124B020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进行虚假报告或公开的。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警告；没收违法所得；对直接负责的主管人员和其他直接责任人员处10万元以上、20万元以下罚款。</w:t>
            </w:r>
          </w:p>
        </w:tc>
      </w:tr>
      <w:tr>
        <w:tblPrEx>
          <w:tblCellMar>
            <w:top w:w="15" w:type="dxa"/>
            <w:left w:w="15" w:type="dxa"/>
            <w:bottom w:w="15" w:type="dxa"/>
            <w:right w:w="15" w:type="dxa"/>
          </w:tblCellMar>
        </w:tblPrEx>
        <w:trPr>
          <w:trHeight w:val="1837"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71</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C08125A010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慈善组织的发起人、主要捐赠人以及管理人员利用其关联关系损害慈善组织、受益人的利益和社会公共利益，或者参与和慈善组织发生的交易行为的决策，未向社会公开有关交易情况，并造成财产损失的行为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《中华人民共和国慈善法》第十四条、《北京市促进慈善事业若干规定》第十八条第(十)项</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《中华人民共和国慈善法》第九十九条第一款第（一）项、第三款、第一百条、《北京市促进慈善事业若干规定》第二十三条第二款</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违反十四条规定并造成慈善财产损失的。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警告；没收违法所得；对直接负责的主管人员和其他直接责任人员处2万元以上、8万元以下罚款。</w:t>
            </w:r>
          </w:p>
        </w:tc>
      </w:tr>
      <w:tr>
        <w:tblPrEx>
          <w:tblCellMar>
            <w:top w:w="15" w:type="dxa"/>
            <w:left w:w="15" w:type="dxa"/>
            <w:bottom w:w="15" w:type="dxa"/>
            <w:right w:w="15" w:type="dxa"/>
          </w:tblCellMar>
        </w:tblPrEx>
        <w:trPr>
          <w:trHeight w:val="173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C08125A020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违反十四条规定并造成慈善财产损失，经责令限期改正后逾期不改正的。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责令停止活动；没收违法所得；对直接负责的主管人员和其他直接责任人员处8万元以上、14万元以下罚款。</w:t>
            </w:r>
          </w:p>
        </w:tc>
      </w:tr>
      <w:tr>
        <w:tblPrEx>
          <w:tblCellMar>
            <w:top w:w="15" w:type="dxa"/>
            <w:left w:w="15" w:type="dxa"/>
            <w:bottom w:w="15" w:type="dxa"/>
            <w:right w:w="15" w:type="dxa"/>
          </w:tblCellMar>
        </w:tblPrEx>
        <w:trPr>
          <w:trHeight w:val="171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C08125A030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违反十四条规定并造成慈善财产损失，经依法处理后一年内再出现相关情形或者有其他情节严重情形的。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吊销登记证书；没收违法所得。对直接负责的主管人员和其他直接责任人员处14万元以上、20万元以下罚款。</w:t>
            </w:r>
          </w:p>
        </w:tc>
      </w:tr>
      <w:tr>
        <w:tblPrEx>
          <w:tblCellMar>
            <w:top w:w="15" w:type="dxa"/>
            <w:left w:w="15" w:type="dxa"/>
            <w:bottom w:w="15" w:type="dxa"/>
            <w:right w:w="15" w:type="dxa"/>
          </w:tblCellMar>
        </w:tblPrEx>
        <w:trPr>
          <w:trHeight w:val="1311"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72</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C08126A010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不具有公开募捐资格的组织或者个人开展公开募捐的行为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《中华人民共和国慈善法》第二十二条第一款、第二十六条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《中华人民共和国慈善法》第一百零一条第一款第（一）项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初次被发现开展公开募捐的；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警告；对有关组织或者个人处2万元以上、10万元以下罚款。</w:t>
            </w:r>
          </w:p>
        </w:tc>
      </w:tr>
      <w:tr>
        <w:tblPrEx>
          <w:tblCellMar>
            <w:top w:w="15" w:type="dxa"/>
            <w:left w:w="15" w:type="dxa"/>
            <w:bottom w:w="15" w:type="dxa"/>
            <w:right w:w="15" w:type="dxa"/>
          </w:tblCellMar>
        </w:tblPrEx>
        <w:trPr>
          <w:trHeight w:val="129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C08126A020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多次开展公开募捐的；</w:t>
            </w:r>
            <w:r>
              <w:rPr>
                <w:rFonts w:hint="eastAsia" w:ascii="宋体" w:hAnsi="宋体" w:cs="宋体"/>
                <w:kern w:val="0"/>
                <w:sz w:val="20"/>
              </w:rPr>
              <w:br w:type="textWrapping"/>
            </w:r>
            <w:r>
              <w:rPr>
                <w:rFonts w:hint="eastAsia" w:ascii="宋体" w:hAnsi="宋体" w:cs="宋体"/>
                <w:kern w:val="0"/>
                <w:sz w:val="20"/>
              </w:rPr>
              <w:t xml:space="preserve">具有其他情节较重情形的。 </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警告；对有关组织或者个人处10万元以上、20万元以下罚款。</w:t>
            </w:r>
          </w:p>
        </w:tc>
      </w:tr>
      <w:tr>
        <w:tblPrEx>
          <w:tblCellMar>
            <w:top w:w="15" w:type="dxa"/>
            <w:left w:w="15" w:type="dxa"/>
            <w:bottom w:w="15" w:type="dxa"/>
            <w:right w:w="15" w:type="dxa"/>
          </w:tblCellMar>
        </w:tblPrEx>
        <w:trPr>
          <w:trHeight w:val="1026"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73</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C08127B010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慈善组织不及时主动向捐赠人反馈有关情况的行为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《中华人民共和国慈善法》第四十二条第一款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《中华人民共和国慈善法》第一百零二条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不及时主动或拒绝向捐赠人反馈有关情况的。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tblPrEx>
          <w:tblCellMar>
            <w:top w:w="15" w:type="dxa"/>
            <w:left w:w="15" w:type="dxa"/>
            <w:bottom w:w="15" w:type="dxa"/>
            <w:right w:w="15" w:type="dxa"/>
          </w:tblCellMar>
        </w:tblPrEx>
        <w:trPr>
          <w:trHeight w:val="104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C08127B020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不及时主动向捐赠人反馈有关情况，经责令限期改正后，逾期不改正的。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tblPrEx>
          <w:tblCellMar>
            <w:top w:w="15" w:type="dxa"/>
            <w:left w:w="15" w:type="dxa"/>
            <w:bottom w:w="15" w:type="dxa"/>
            <w:right w:w="15" w:type="dxa"/>
          </w:tblCellMar>
        </w:tblPrEx>
        <w:trPr>
          <w:trHeight w:val="1256"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74</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C08128B010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慈善组织不依法向志愿者出具志愿服务记录证明的行为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《中华人民共和国慈善法》第六十五条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《中华人民共和国慈善法》第一百零二条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不如实出具志愿服务记录证明或有偿出具志愿服务证明的； </w:t>
            </w:r>
            <w:r>
              <w:rPr>
                <w:rFonts w:hint="eastAsia" w:ascii="宋体" w:hAnsi="宋体" w:cs="宋体"/>
                <w:kern w:val="0"/>
                <w:sz w:val="20"/>
              </w:rPr>
              <w:br w:type="textWrapping"/>
            </w:r>
            <w:r>
              <w:rPr>
                <w:rFonts w:hint="eastAsia" w:ascii="宋体" w:hAnsi="宋体" w:cs="宋体"/>
                <w:kern w:val="0"/>
                <w:sz w:val="20"/>
              </w:rPr>
              <w:t>拒绝向志愿者出具志愿服务记录证明或在合理期限内不出具志愿服务证明的。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tblPrEx>
          <w:tblCellMar>
            <w:top w:w="15" w:type="dxa"/>
            <w:left w:w="15" w:type="dxa"/>
            <w:bottom w:w="15" w:type="dxa"/>
            <w:right w:w="15" w:type="dxa"/>
          </w:tblCellMar>
        </w:tblPrEx>
        <w:trPr>
          <w:trHeight w:val="115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C08128B020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不如实出具志愿服务记录证明或有偿出具志愿服务证明，经责令限期改正后，逾期不改正的。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tblPrEx>
          <w:tblCellMar>
            <w:top w:w="15" w:type="dxa"/>
            <w:left w:w="15" w:type="dxa"/>
            <w:bottom w:w="15" w:type="dxa"/>
            <w:right w:w="15" w:type="dxa"/>
          </w:tblCellMar>
        </w:tblPrEx>
        <w:trPr>
          <w:trHeight w:val="1784"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75</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C08129B010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慈善组织不依法向捐赠人开具捐赠票据的行为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《中华人民共和国慈善法》第三十八条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《中华人民共和国慈善法》第一百零二条</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未依法向捐赠人开具由财政部门统一监（印）制捐赠票据的；</w:t>
            </w:r>
            <w:r>
              <w:rPr>
                <w:rFonts w:hint="eastAsia" w:ascii="宋体" w:hAnsi="宋体" w:cs="宋体"/>
                <w:kern w:val="0"/>
                <w:sz w:val="20"/>
              </w:rPr>
              <w:br w:type="textWrapping"/>
            </w:r>
            <w:r>
              <w:rPr>
                <w:rFonts w:hint="eastAsia" w:ascii="宋体" w:hAnsi="宋体" w:cs="宋体"/>
                <w:kern w:val="0"/>
                <w:sz w:val="20"/>
              </w:rPr>
              <w:t>捐赠票据未载明捐赠人、捐赠财产的种类及数量、慈善组织名称和经办人姓名、票据日期等信息的；</w:t>
            </w:r>
            <w:r>
              <w:rPr>
                <w:rFonts w:hint="eastAsia" w:ascii="宋体" w:hAnsi="宋体" w:cs="宋体"/>
                <w:kern w:val="0"/>
                <w:sz w:val="20"/>
              </w:rPr>
              <w:br w:type="textWrapping"/>
            </w:r>
            <w:r>
              <w:rPr>
                <w:rFonts w:hint="eastAsia" w:ascii="宋体" w:hAnsi="宋体" w:cs="宋体"/>
                <w:kern w:val="0"/>
                <w:sz w:val="20"/>
              </w:rPr>
              <w:t>不给捐赠人开具捐赠票据的。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tblPrEx>
          <w:tblCellMar>
            <w:top w:w="15" w:type="dxa"/>
            <w:left w:w="15" w:type="dxa"/>
            <w:bottom w:w="15" w:type="dxa"/>
            <w:right w:w="15" w:type="dxa"/>
          </w:tblCellMar>
        </w:tblPrEx>
        <w:trPr>
          <w:trHeight w:val="178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C08129B020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未依法向捐赠人开具由财政部门统一监（印）制捐赠票据，或捐赠票据未载明捐赠人、捐赠财产的种类及数量、慈善组织名称和经办人姓名、票据日期等信息或不给开具捐赠票据，经责令限期改正后，逾期不改正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tblPrEx>
          <w:tblCellMar>
            <w:top w:w="15" w:type="dxa"/>
            <w:left w:w="15" w:type="dxa"/>
            <w:bottom w:w="15" w:type="dxa"/>
            <w:right w:w="15" w:type="dxa"/>
          </w:tblCellMar>
        </w:tblPrEx>
        <w:trPr>
          <w:trHeight w:val="1034"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76</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C08130A010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慈善组织通过虚构事实等方式欺骗、诱导募捐对象实施捐赠的行为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《中华人民共和国慈善法》第三十一条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《中华人民共和国慈善法》第一百零一条第一款第（二）项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初次被发现通过虚构事实等方式欺骗、诱导募捐对象实施捐赠的；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警告；对有关组织或者个人处2万元以上、10万元以下罚款。</w:t>
            </w:r>
          </w:p>
        </w:tc>
      </w:tr>
      <w:tr>
        <w:tblPrEx>
          <w:tblCellMar>
            <w:top w:w="15" w:type="dxa"/>
            <w:left w:w="15" w:type="dxa"/>
            <w:bottom w:w="15" w:type="dxa"/>
            <w:right w:w="15" w:type="dxa"/>
          </w:tblCellMar>
        </w:tblPrEx>
        <w:trPr>
          <w:trHeight w:val="100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C08130A020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多次通过虚构事实等方式欺骗、诱导募捐对象实施捐赠；                                  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警告；对有关组织或者个人处10万元以上、20万元以下罚款。</w:t>
            </w:r>
          </w:p>
        </w:tc>
      </w:tr>
      <w:tr>
        <w:tblPrEx>
          <w:tblCellMar>
            <w:top w:w="15" w:type="dxa"/>
            <w:left w:w="15" w:type="dxa"/>
            <w:bottom w:w="15" w:type="dxa"/>
            <w:right w:w="15" w:type="dxa"/>
          </w:tblCellMar>
        </w:tblPrEx>
        <w:trPr>
          <w:trHeight w:val="2582"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77</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C08132A000</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慈善组织未按照慈善宗旨开展活动的行为</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《中华人民共和国慈善法》第三条、第九条第(一)项 、《北京市促进慈善事业若干规定》第十八条第（一）项 </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《中华人民共和国慈善法》第九十八条第（一）项 、第一百条、《北京市促进慈善事业若干规定》第二十三条第一款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经责令限期改正，逾期不改正的。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吊销登记证书；没收违法所得；对直接负责的主管人员和其他直接责任人员处2万元以上、20万元以下罚款。</w:t>
            </w:r>
          </w:p>
        </w:tc>
      </w:tr>
      <w:tr>
        <w:tblPrEx>
          <w:tblCellMar>
            <w:top w:w="15" w:type="dxa"/>
            <w:left w:w="15" w:type="dxa"/>
            <w:bottom w:w="15" w:type="dxa"/>
            <w:right w:w="15" w:type="dxa"/>
          </w:tblCellMar>
        </w:tblPrEx>
        <w:trPr>
          <w:trHeight w:val="91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78</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C08133B010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慈善组织未依法履行信息公开义务的行为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《中华人民共和国慈善法》第七十一条、第七十二条 、第七十三条 、第七十四条、第七十五条、《北京市促进慈善事业若干规定》第十八条第(六)项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《中华人民共和国慈善法》第九十九条第一款第（五）项、第三款、第一百条、《北京市促进慈善事业若干规定》第二十三条第二款</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未依法履行信息公开义务的。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tblPrEx>
          <w:tblCellMar>
            <w:top w:w="15" w:type="dxa"/>
            <w:left w:w="15" w:type="dxa"/>
            <w:bottom w:w="15" w:type="dxa"/>
            <w:right w:w="15" w:type="dxa"/>
          </w:tblCellMar>
        </w:tblPrEx>
        <w:trPr>
          <w:trHeight w:val="110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C08133B020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未依法履行信息公开义务，经责令限期改正后逾期不改正。</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tblPrEx>
          <w:tblCellMar>
            <w:top w:w="15" w:type="dxa"/>
            <w:left w:w="15" w:type="dxa"/>
            <w:bottom w:w="15" w:type="dxa"/>
            <w:right w:w="15" w:type="dxa"/>
          </w:tblCellMar>
        </w:tblPrEx>
        <w:trPr>
          <w:trHeight w:val="129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C08133B030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未依法履行信息公开义务，经依法处理后一年内再出现相关情形或者有其他情节严重情形的。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tblPrEx>
          <w:tblCellMar>
            <w:top w:w="15" w:type="dxa"/>
            <w:left w:w="15" w:type="dxa"/>
            <w:bottom w:w="15" w:type="dxa"/>
            <w:right w:w="15" w:type="dxa"/>
          </w:tblCellMar>
        </w:tblPrEx>
        <w:trPr>
          <w:trHeight w:val="1086"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79</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C08134A010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慈善组织在开展募捐活动中，向单位或者个人摊派或者变相摊派的行为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《中华人民共和国慈善法》第三十二条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《中华人民共和国慈善法》第一百零一条第一款第（三）项</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初次被发现向单位或者个人摊派或者变相摊派的；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警告；对有关组织或者个人处2万元以上、10万元以下罚款。</w:t>
            </w:r>
          </w:p>
        </w:tc>
      </w:tr>
      <w:tr>
        <w:tblPrEx>
          <w:tblCellMar>
            <w:top w:w="15" w:type="dxa"/>
            <w:left w:w="15" w:type="dxa"/>
            <w:bottom w:w="15" w:type="dxa"/>
            <w:right w:w="15" w:type="dxa"/>
          </w:tblCellMar>
        </w:tblPrEx>
        <w:trPr>
          <w:trHeight w:val="95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C08134A020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多次向单位或者个人摊派或者变相摊派的；</w:t>
            </w:r>
            <w:r>
              <w:rPr>
                <w:rFonts w:hint="eastAsia" w:ascii="宋体" w:hAnsi="宋体" w:cs="宋体"/>
                <w:kern w:val="0"/>
                <w:sz w:val="20"/>
              </w:rPr>
              <w:br w:type="textWrapping"/>
            </w:r>
            <w:r>
              <w:rPr>
                <w:rFonts w:hint="eastAsia" w:ascii="宋体" w:hAnsi="宋体" w:cs="宋体"/>
                <w:kern w:val="0"/>
                <w:sz w:val="20"/>
              </w:rPr>
              <w:t xml:space="preserve">具有其他情节较重情形的。 </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警告；对有关组织或者个人处10万元以上、20万元以下罚款。</w:t>
            </w:r>
          </w:p>
        </w:tc>
      </w:tr>
      <w:tr>
        <w:tblPrEx>
          <w:tblCellMar>
            <w:top w:w="15" w:type="dxa"/>
            <w:left w:w="15" w:type="dxa"/>
            <w:bottom w:w="15" w:type="dxa"/>
            <w:right w:w="15" w:type="dxa"/>
          </w:tblCellMar>
        </w:tblPrEx>
        <w:trPr>
          <w:trHeight w:val="2468"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80</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C08135A000</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慈善组织私分、挪用、截留或者侵占慈善财产的行为</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《中华人民共和国慈善法》第五十二条第二款、《北京市促进慈善事业若干规定》第十八条第（二）项</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《中华人民共和国慈善法》第九十八条第（二）项、第一百条、《北京市促进慈善事业若干规定》第二十三条第一款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经责令限期改正，逾期不改正的。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吊销登记证书；没收违法所得；对直接负责的主管人员和其他直接责任人员处2万元以上、20万元以下罚款。</w:t>
            </w:r>
          </w:p>
        </w:tc>
      </w:tr>
      <w:tr>
        <w:tblPrEx>
          <w:tblCellMar>
            <w:top w:w="15" w:type="dxa"/>
            <w:left w:w="15" w:type="dxa"/>
            <w:bottom w:w="15" w:type="dxa"/>
            <w:right w:w="15" w:type="dxa"/>
          </w:tblCellMar>
        </w:tblPrEx>
        <w:trPr>
          <w:trHeight w:val="1181"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81</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C08137B010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慈善组织未依法报送年度工作报告、财务会计报告或者报备募捐方案的行为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《中华人民共和国慈善法》第十三条、第二十三条第二款、第二十四条第二款、《北京市促进慈善事业若干规定》第十八条第(五)项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《中华人民共和国慈善法》第九十九条第一款第（六）项、第三款、第一百条、《北京市促进慈善事业若干规定》第二十三条第二款</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未依法报送年度工作报告、财务会计报告或者报备募捐方案的。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tblPrEx>
          <w:tblCellMar>
            <w:top w:w="15" w:type="dxa"/>
            <w:left w:w="15" w:type="dxa"/>
            <w:bottom w:w="15" w:type="dxa"/>
            <w:right w:w="15" w:type="dxa"/>
          </w:tblCellMar>
        </w:tblPrEx>
        <w:trPr>
          <w:trHeight w:val="98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C08137B020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未依法报送年度工作报告、财务会计报告或者报备募捐方案，经责令限期改正后逾期不改正的。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tblPrEx>
          <w:tblCellMar>
            <w:top w:w="15" w:type="dxa"/>
            <w:left w:w="15" w:type="dxa"/>
            <w:bottom w:w="15" w:type="dxa"/>
            <w:right w:w="15" w:type="dxa"/>
          </w:tblCellMar>
        </w:tblPrEx>
        <w:trPr>
          <w:trHeight w:val="115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C08137B030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未依法报送年度工作报告、财务会计报告或者报备募捐方案，经依法处理后一年内再出现相关情形或者有其他情节严重情形的。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tblPrEx>
          <w:tblCellMar>
            <w:top w:w="15" w:type="dxa"/>
            <w:left w:w="15" w:type="dxa"/>
            <w:bottom w:w="15" w:type="dxa"/>
            <w:right w:w="15" w:type="dxa"/>
          </w:tblCellMar>
        </w:tblPrEx>
        <w:trPr>
          <w:trHeight w:val="1193"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82</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C08138A010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慈善组织擅自改变捐赠财产用途的行为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《中华人民共和国慈善法》第五十二条第一款、第五十五条、第五十七条、《北京市促进慈善事业若干规定》第十八条第(八)项</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《中华人民共和国慈善法》第九十九条第一款第（三）项、第三款、第一百条、《北京市促进慈善事业若干规定》第二十三条第二款</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擅自改变捐赠财产用途。</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警告；没收违法所得；对直接负责的主管人员和其他直接责任人员处2万元以上、8万元以下罚款。</w:t>
            </w:r>
          </w:p>
        </w:tc>
      </w:tr>
      <w:tr>
        <w:tblPrEx>
          <w:tblCellMar>
            <w:top w:w="15" w:type="dxa"/>
            <w:left w:w="15" w:type="dxa"/>
            <w:bottom w:w="15" w:type="dxa"/>
            <w:right w:w="15" w:type="dxa"/>
          </w:tblCellMar>
        </w:tblPrEx>
        <w:trPr>
          <w:trHeight w:val="130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C08138A020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擅自改变捐赠财产用途，经责令限期改正后逾期不改正的。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责令停止活动；没收违法所得；对直接负责的主管人员和其他直接责任人员处8万元以上、14万元以下罚款。</w:t>
            </w:r>
          </w:p>
        </w:tc>
      </w:tr>
      <w:tr>
        <w:tblPrEx>
          <w:tblCellMar>
            <w:top w:w="15" w:type="dxa"/>
            <w:left w:w="15" w:type="dxa"/>
            <w:bottom w:w="15" w:type="dxa"/>
            <w:right w:w="15" w:type="dxa"/>
          </w:tblCellMar>
        </w:tblPrEx>
        <w:trPr>
          <w:trHeight w:val="1212"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C08138A030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擅自改变捐赠财产用途，经依法处理后一年内再出现相关情形或者有其他情节严重情形的。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吊销登记证书；没收违法所得；对直接负责的主管人员和其他直接责任人员处14万元以上、20万元以下罚款。</w:t>
            </w:r>
          </w:p>
        </w:tc>
      </w:tr>
      <w:tr>
        <w:tblPrEx>
          <w:tblCellMar>
            <w:top w:w="15" w:type="dxa"/>
            <w:left w:w="15" w:type="dxa"/>
            <w:bottom w:w="15" w:type="dxa"/>
            <w:right w:w="15" w:type="dxa"/>
          </w:tblCellMar>
        </w:tblPrEx>
        <w:trPr>
          <w:trHeight w:val="2329"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83</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C08139A000</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慈善组织对受益人附加违反法律法规或者违背社会公德的条件的行为</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《中华人民共和国慈善法》第十五条、《北京市促进慈善事业若干规定》第十八条第（三）项</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《中华人民共和国慈善法》第九十八条第（三）项、第一百条、《北京市促进慈善事业若干规定》第二十三条第一款</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经责令限期改正，逾期不改正的。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吊销登记证书；没收违法所得；对直接负责的主管人员和其他直接责任人员处2万元以上、20万元以下罚款。</w:t>
            </w:r>
          </w:p>
        </w:tc>
      </w:tr>
      <w:tr>
        <w:tblPrEx>
          <w:tblCellMar>
            <w:top w:w="15" w:type="dxa"/>
            <w:left w:w="15" w:type="dxa"/>
            <w:bottom w:w="15" w:type="dxa"/>
            <w:right w:w="15" w:type="dxa"/>
          </w:tblCellMar>
        </w:tblPrEx>
        <w:trPr>
          <w:trHeight w:val="1726"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84</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C08140A000</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慈善组织弄虚作假骗取税收优惠、情节严重的行为</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《中华人民共和国慈善法》第一百零三条</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《中华人民共和国慈善法》第一百零三条</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慈善组织弄虚作假骗取税收优惠，情节严重的。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tblPrEx>
          <w:tblCellMar>
            <w:top w:w="15" w:type="dxa"/>
            <w:left w:w="15" w:type="dxa"/>
            <w:bottom w:w="15" w:type="dxa"/>
            <w:right w:w="15" w:type="dxa"/>
          </w:tblCellMar>
        </w:tblPrEx>
        <w:trPr>
          <w:trHeight w:val="135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85</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C08141B010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慈善组织开展慈善活动的年度支出或者管理费用不符合法定标准的行为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《中华人民共和国慈善法》第六十条、《北京市促进慈善事业若干规定》第十八条第(四)项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《中华人民共和国慈善法》第九十九条第一款第（四）项、第三款、第一百条、《北京市促进慈善事业若干规定》第二十三条第二款</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开展慈善活动的年度支出或者管理费用不符合法定标准的。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tblPrEx>
          <w:tblCellMar>
            <w:top w:w="15" w:type="dxa"/>
            <w:left w:w="15" w:type="dxa"/>
            <w:bottom w:w="15" w:type="dxa"/>
            <w:right w:w="15" w:type="dxa"/>
          </w:tblCellMar>
        </w:tblPrEx>
        <w:trPr>
          <w:trHeight w:val="106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C08141B020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开展慈善活动的年度支出或者管理费用不符合法定标准的，经责令限期改正，逾期不改的。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tblPrEx>
          <w:tblCellMar>
            <w:top w:w="15" w:type="dxa"/>
            <w:left w:w="15" w:type="dxa"/>
            <w:bottom w:w="15" w:type="dxa"/>
            <w:right w:w="15" w:type="dxa"/>
          </w:tblCellMar>
        </w:tblPrEx>
        <w:trPr>
          <w:trHeight w:val="116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C08141B030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开展慈善活动的年度支出或者管理费用不符合法定标准的，经依法处理后一年内再出现相关情形或者有其他情节严重情形的。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tblPrEx>
          <w:tblCellMar>
            <w:top w:w="15" w:type="dxa"/>
            <w:left w:w="15" w:type="dxa"/>
            <w:bottom w:w="15" w:type="dxa"/>
            <w:right w:w="15" w:type="dxa"/>
          </w:tblCellMar>
        </w:tblPrEx>
        <w:trPr>
          <w:trHeight w:val="1277"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86</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C08143A010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慈善组织在开展募捐活动中，妨碍公共秩序、企业生产经营或者居民生活的行为</w:t>
            </w:r>
          </w:p>
        </w:tc>
        <w:tc>
          <w:tcPr>
            <w:tcW w:w="1501" w:type="dxa"/>
            <w:vMerge w:val="restart"/>
            <w:tcBorders>
              <w:top w:val="single" w:color="000000" w:sz="4" w:space="0"/>
              <w:left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《中华人民共和国慈善法》第三十二条</w:t>
            </w:r>
          </w:p>
        </w:tc>
        <w:tc>
          <w:tcPr>
            <w:tcW w:w="1501" w:type="dxa"/>
            <w:vMerge w:val="restart"/>
            <w:tcBorders>
              <w:top w:val="single" w:color="000000" w:sz="4" w:space="0"/>
              <w:left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《中华人民共和国慈善法》第一百零一条第一款第（四）项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妨碍公共秩序、企业生产经营或居民生活，情节轻微的。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警告；对有关组织或个人处2万元以上、10万元以下罚款。</w:t>
            </w:r>
          </w:p>
        </w:tc>
      </w:tr>
      <w:tr>
        <w:tblPrEx>
          <w:tblCellMar>
            <w:top w:w="15" w:type="dxa"/>
            <w:left w:w="15" w:type="dxa"/>
            <w:bottom w:w="15" w:type="dxa"/>
            <w:right w:w="15" w:type="dxa"/>
          </w:tblCellMar>
        </w:tblPrEx>
        <w:trPr>
          <w:trHeight w:val="131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C08143A020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妨碍公共秩序、企业生产经营或居民生活，情节较重的。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警告；对有关组织或者个人处10万元以上、20万元以下罚款。</w:t>
            </w:r>
          </w:p>
        </w:tc>
      </w:tr>
      <w:tr>
        <w:tblPrEx>
          <w:tblCellMar>
            <w:top w:w="15" w:type="dxa"/>
            <w:left w:w="15" w:type="dxa"/>
            <w:bottom w:w="15" w:type="dxa"/>
            <w:right w:w="15" w:type="dxa"/>
          </w:tblCellMar>
        </w:tblPrEx>
        <w:trPr>
          <w:trHeight w:val="1720"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87</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C08144A000</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慈善组织从事、资助危害国家安全或者社会公共利益活动的行为</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《中华人民共和国慈善法》第四条</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《中华人民共和国慈善法》第一百零四条</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从事、资助危害国家安全或者社会公共利益活动的。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tblPrEx>
          <w:tblCellMar>
            <w:top w:w="15" w:type="dxa"/>
            <w:left w:w="15" w:type="dxa"/>
            <w:bottom w:w="15" w:type="dxa"/>
            <w:right w:w="15" w:type="dxa"/>
          </w:tblCellMar>
        </w:tblPrEx>
        <w:trPr>
          <w:trHeight w:val="175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88</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C08145A010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慈善组织将不得用于投资的财产用于投资的行为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《中华人民共和国慈善法》第五十四条第一款、第九十九条第一款第（二)项、《北京市促进慈善事业若干规定》第十八条第(七)项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《中华人民共和国慈善法》第九十九条第一款第（二）项、第三款、第一百条、《北京市促进慈善事业若干规定》第二十三条第二款</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将不得用于投资的财产用于投资的。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警告；没收违法所得；对直接负责的主管人员和其他直接责任人员处2万元以上、8万元以下罚款。</w:t>
            </w:r>
          </w:p>
        </w:tc>
      </w:tr>
      <w:tr>
        <w:tblPrEx>
          <w:tblCellMar>
            <w:top w:w="15" w:type="dxa"/>
            <w:left w:w="15" w:type="dxa"/>
            <w:bottom w:w="15" w:type="dxa"/>
            <w:right w:w="15" w:type="dxa"/>
          </w:tblCellMar>
        </w:tblPrEx>
        <w:trPr>
          <w:trHeight w:val="175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C08145A020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将不得用于投资的财产用于投资，经责令限期改正后逾期不改正的。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责令停止活动；没收违法所得；对直接负责的主管人员和其他直接责任人员处8万元以上、14万元以下罚款。</w:t>
            </w:r>
          </w:p>
        </w:tc>
      </w:tr>
      <w:tr>
        <w:tblPrEx>
          <w:tblCellMar>
            <w:top w:w="15" w:type="dxa"/>
            <w:left w:w="15" w:type="dxa"/>
            <w:bottom w:w="15" w:type="dxa"/>
            <w:right w:w="15" w:type="dxa"/>
          </w:tblCellMar>
        </w:tblPrEx>
        <w:trPr>
          <w:trHeight w:val="175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C08145A030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将不得用于投资的财产用于投资，经依法处理后一年内再出现相关情形或者有其他情节严重情形的。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吊销登记证书；没收违法所得；对直接负责的主管人员和其他直接责任人员处14万元以上、20万元以下罚款。</w:t>
            </w:r>
          </w:p>
        </w:tc>
      </w:tr>
      <w:tr>
        <w:tblPrEx>
          <w:tblCellMar>
            <w:top w:w="15" w:type="dxa"/>
            <w:left w:w="15" w:type="dxa"/>
            <w:bottom w:w="15" w:type="dxa"/>
            <w:right w:w="15" w:type="dxa"/>
          </w:tblCellMar>
        </w:tblPrEx>
        <w:trPr>
          <w:trHeight w:val="2549"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89</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C08147A000</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慈善组织接受附加违反法律法规或者违背社会公德条件的捐赠的行为</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《中华人民共和国慈善法》第十五条、《北京市促进慈善事业若干规定》第十八条第（三）项</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《中华人民共和国慈善法》第九十八条第（三）项、第一百条、《北京市促进慈善事业若干规定》第二十三条第一款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经责令限期改正，逾期不改正的。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吊销登记证书；没收违法所得；对直接负责的主管人员和其他直接责任人员处2万元以上、20万元以下罚款。</w:t>
            </w:r>
          </w:p>
        </w:tc>
      </w:tr>
      <w:tr>
        <w:tblPrEx>
          <w:tblCellMar>
            <w:top w:w="15" w:type="dxa"/>
            <w:left w:w="15" w:type="dxa"/>
            <w:bottom w:w="15" w:type="dxa"/>
            <w:right w:w="15" w:type="dxa"/>
          </w:tblCellMar>
        </w:tblPrEx>
        <w:trPr>
          <w:trHeight w:val="1531"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90</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C08148A010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慈善组织泄露捐赠人、志愿者、受益人个人隐私以及捐赠人、慈善信托的委托人不同意公开的姓名、名称、住所、通讯方式等信息的行为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《中华人民共和国慈善法》第六十二条、第七十六条、《北京市促进慈善事业若干规定》第十八条第(九)项</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《中华人民共和国慈善法》第九十九条第一款第（七）项、第三款、第一百条、《北京市促进慈善事业若干规定》第二十三条第二款</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泄露、侵害捐赠人、志愿者、受益人个人隐私以及泄露捐赠人、慈善信托的委托人不同意公开的姓名、名称、住所、通讯方式等信息的。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警告；没收违法所得；对直接负责的主管人员和其他直接责任人员处2万元以上、8万元以下罚款。</w:t>
            </w:r>
          </w:p>
        </w:tc>
      </w:tr>
      <w:tr>
        <w:tblPrEx>
          <w:tblCellMar>
            <w:top w:w="15" w:type="dxa"/>
            <w:left w:w="15" w:type="dxa"/>
            <w:bottom w:w="15" w:type="dxa"/>
            <w:right w:w="15" w:type="dxa"/>
          </w:tblCellMar>
        </w:tblPrEx>
        <w:trPr>
          <w:trHeight w:val="152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C08148A020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泄露、侵害捐赠人、志愿者、受益人个人隐私以及泄露捐赠人、慈善信托的委托人不同意公开的姓名、名称、住所、通讯方式等信息，经责令限期改正后逾期不改正的。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责令停止活动；没收违法所得；对直接负责的主管人员和其他直接责任人员处8万元以上、14万元以下罚款。</w:t>
            </w:r>
          </w:p>
        </w:tc>
      </w:tr>
      <w:tr>
        <w:tblPrEx>
          <w:tblCellMar>
            <w:top w:w="15" w:type="dxa"/>
            <w:left w:w="15" w:type="dxa"/>
            <w:bottom w:w="15" w:type="dxa"/>
            <w:right w:w="15" w:type="dxa"/>
          </w:tblCellMar>
        </w:tblPrEx>
        <w:trPr>
          <w:trHeight w:val="201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C08148A030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泄露、侵害捐赠人、志愿者、受益人个人隐私以及泄露捐赠人、慈善信托的委托人不同意公开的姓名、名称、住所、通讯方式等信息，经依法处理后一年内再出现相关情形或者有其他情节严重情形的。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吊销登记证书；没收违法所得；对直接负责的主管人员和其他直接责任人员处14万元以上、20万元以下罚款。</w:t>
            </w:r>
          </w:p>
        </w:tc>
      </w:tr>
      <w:tr>
        <w:tblPrEx>
          <w:tblCellMar>
            <w:top w:w="15" w:type="dxa"/>
            <w:left w:w="15" w:type="dxa"/>
            <w:bottom w:w="15" w:type="dxa"/>
            <w:right w:w="15" w:type="dxa"/>
          </w:tblCellMar>
        </w:tblPrEx>
        <w:trPr>
          <w:trHeight w:val="2754"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91</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C08162C010</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慈善组织违反《慈善组织保值增值投资活动管理暂行办法》规定进行投资活动的行为</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《慈善组织保值增值投资活动管理暂行办法》第七条</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  《慈善组织保值增值投资活动管理暂行办法》第十七条</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直接买卖股票的；</w:t>
            </w:r>
            <w:r>
              <w:rPr>
                <w:rFonts w:hint="eastAsia" w:ascii="宋体" w:hAnsi="宋体" w:cs="宋体"/>
                <w:kern w:val="0"/>
                <w:sz w:val="20"/>
              </w:rPr>
              <w:br w:type="textWrapping"/>
            </w:r>
            <w:r>
              <w:rPr>
                <w:rFonts w:hint="eastAsia" w:ascii="宋体" w:hAnsi="宋体" w:cs="宋体"/>
                <w:kern w:val="0"/>
                <w:sz w:val="20"/>
              </w:rPr>
              <w:t>直接购买商品及金融衍生品类产品的；</w:t>
            </w:r>
            <w:r>
              <w:rPr>
                <w:rFonts w:hint="eastAsia" w:ascii="宋体" w:hAnsi="宋体" w:cs="宋体"/>
                <w:kern w:val="0"/>
                <w:sz w:val="20"/>
              </w:rPr>
              <w:br w:type="textWrapping"/>
            </w:r>
            <w:r>
              <w:rPr>
                <w:rFonts w:hint="eastAsia" w:ascii="宋体" w:hAnsi="宋体" w:cs="宋体"/>
                <w:kern w:val="0"/>
                <w:sz w:val="20"/>
              </w:rPr>
              <w:t>投资人身保险产品的；</w:t>
            </w:r>
            <w:r>
              <w:rPr>
                <w:rFonts w:hint="eastAsia" w:ascii="宋体" w:hAnsi="宋体" w:cs="宋体"/>
                <w:kern w:val="0"/>
                <w:sz w:val="20"/>
              </w:rPr>
              <w:br w:type="textWrapping"/>
            </w:r>
            <w:r>
              <w:rPr>
                <w:rFonts w:hint="eastAsia" w:ascii="宋体" w:hAnsi="宋体" w:cs="宋体"/>
                <w:kern w:val="0"/>
                <w:sz w:val="20"/>
              </w:rPr>
              <w:t>以投资名义向个人、企业提供借款的；</w:t>
            </w:r>
            <w:r>
              <w:rPr>
                <w:rFonts w:hint="eastAsia" w:ascii="宋体" w:hAnsi="宋体" w:cs="宋体"/>
                <w:kern w:val="0"/>
                <w:sz w:val="20"/>
              </w:rPr>
              <w:br w:type="textWrapping"/>
            </w:r>
            <w:r>
              <w:rPr>
                <w:rFonts w:hint="eastAsia" w:ascii="宋体" w:hAnsi="宋体" w:cs="宋体"/>
                <w:kern w:val="0"/>
                <w:sz w:val="20"/>
              </w:rPr>
              <w:t>不符合国家产业政策的投资的；</w:t>
            </w:r>
            <w:r>
              <w:rPr>
                <w:rFonts w:hint="eastAsia" w:ascii="宋体" w:hAnsi="宋体" w:cs="宋体"/>
                <w:kern w:val="0"/>
                <w:sz w:val="20"/>
              </w:rPr>
              <w:br w:type="textWrapping"/>
            </w:r>
            <w:r>
              <w:rPr>
                <w:rFonts w:hint="eastAsia" w:ascii="宋体" w:hAnsi="宋体" w:cs="宋体"/>
                <w:kern w:val="0"/>
                <w:sz w:val="20"/>
              </w:rPr>
              <w:t>可能使本组织承担无限责任的投资的；</w:t>
            </w:r>
            <w:r>
              <w:rPr>
                <w:rFonts w:hint="eastAsia" w:ascii="宋体" w:hAnsi="宋体" w:cs="宋体"/>
                <w:kern w:val="0"/>
                <w:sz w:val="20"/>
              </w:rPr>
              <w:br w:type="textWrapping"/>
            </w:r>
            <w:r>
              <w:rPr>
                <w:rFonts w:hint="eastAsia" w:ascii="宋体" w:hAnsi="宋体" w:cs="宋体"/>
                <w:kern w:val="0"/>
                <w:sz w:val="20"/>
              </w:rPr>
              <w:t>违背本组织宗旨、可能损害信誉的投资的；</w:t>
            </w:r>
            <w:r>
              <w:rPr>
                <w:rFonts w:hint="eastAsia" w:ascii="宋体" w:hAnsi="宋体" w:cs="宋体"/>
                <w:kern w:val="0"/>
                <w:sz w:val="20"/>
              </w:rPr>
              <w:br w:type="textWrapping"/>
            </w:r>
            <w:r>
              <w:rPr>
                <w:rFonts w:hint="eastAsia" w:ascii="宋体" w:hAnsi="宋体" w:cs="宋体"/>
                <w:kern w:val="0"/>
                <w:sz w:val="20"/>
              </w:rPr>
              <w:t>非法集资等国家法律法规禁止的其他活动的。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tblPrEx>
          <w:tblCellMar>
            <w:top w:w="15" w:type="dxa"/>
            <w:left w:w="15" w:type="dxa"/>
            <w:bottom w:w="15" w:type="dxa"/>
            <w:right w:w="15" w:type="dxa"/>
          </w:tblCellMar>
        </w:tblPrEx>
        <w:trPr>
          <w:trHeight w:val="1018"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92</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C08151A010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志愿服务</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对志愿服务组织侵害志愿服务对象个人隐私的行为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《志愿服务条例》第二十一条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《志愿服务条例》第三十六条</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未经本人许可，公开志愿服务对象姓名、肖像、住所、电话号码、身份证号、财产状况等个人隐私信息或有其他侵犯个人隐私情节的。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tblPrEx>
          <w:tblCellMar>
            <w:top w:w="15" w:type="dxa"/>
            <w:left w:w="15" w:type="dxa"/>
            <w:bottom w:w="15" w:type="dxa"/>
            <w:right w:w="15" w:type="dxa"/>
          </w:tblCellMar>
        </w:tblPrEx>
        <w:trPr>
          <w:trHeight w:val="1152"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C08151A020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存在未经本人许可，公开志愿服务对象姓名、肖像、住所、通讯方式、身份证号、财产情况等个人隐私信息或有其他侵犯个人隐私情节经责令限期改正逾期不改正的。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tblPrEx>
          <w:tblCellMar>
            <w:top w:w="15" w:type="dxa"/>
            <w:left w:w="15" w:type="dxa"/>
            <w:bottom w:w="15" w:type="dxa"/>
            <w:right w:w="15" w:type="dxa"/>
          </w:tblCellMar>
        </w:tblPrEx>
        <w:trPr>
          <w:trHeight w:val="60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C08151A030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tblPrEx>
          <w:tblCellMar>
            <w:top w:w="15" w:type="dxa"/>
            <w:left w:w="15" w:type="dxa"/>
            <w:bottom w:w="15" w:type="dxa"/>
            <w:right w:w="15" w:type="dxa"/>
          </w:tblCellMar>
        </w:tblPrEx>
        <w:trPr>
          <w:trHeight w:val="1833"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93</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C08154B010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志愿服务</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志愿服务组织不依法记录志愿服务信息的行为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《志愿服务条例》第十九条第一款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《志愿服务条例》第三十八条</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志愿者个人基本信息、志愿服务情况、培训情况、表彰奖励情况等记录信息有缺失的；                                                     志愿服务信息未录入国务院民政部门指定的志愿服务信息系统的；                                                      篡改志愿者个人基本信息、志愿服务情况、培训情况、表彰奖励情况、评价情况等记录信息的；                                         有偿为志愿者记录志愿服务时长的。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tblPrEx>
          <w:tblCellMar>
            <w:top w:w="15" w:type="dxa"/>
            <w:left w:w="15" w:type="dxa"/>
            <w:bottom w:w="15" w:type="dxa"/>
            <w:right w:w="15" w:type="dxa"/>
          </w:tblCellMar>
        </w:tblPrEx>
        <w:trPr>
          <w:trHeight w:val="115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C08154B020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信息缺失、志愿服务信息未录入国务院民政部门指定的志愿服务信息系统、篡改记录信息或有偿为志愿者记录志愿服务时长的，经责令限期改正逾期不改正的。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tblPrEx>
          <w:tblCellMar>
            <w:top w:w="15" w:type="dxa"/>
            <w:left w:w="15" w:type="dxa"/>
            <w:bottom w:w="15" w:type="dxa"/>
            <w:right w:w="15" w:type="dxa"/>
          </w:tblCellMar>
        </w:tblPrEx>
        <w:trPr>
          <w:trHeight w:val="782"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94</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C08155A010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志愿服务</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志愿服务组织泄露志愿者有关信息的行为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《志愿服务条例》第二十条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《志愿服务条例》第三十六条</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泄露志愿者个人基本信息、志愿服务情况、培训情况、表彰奖励情况、评价情况等信息。</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tblPrEx>
          <w:tblCellMar>
            <w:top w:w="15" w:type="dxa"/>
            <w:left w:w="15" w:type="dxa"/>
            <w:bottom w:w="15" w:type="dxa"/>
            <w:right w:w="15" w:type="dxa"/>
          </w:tblCellMar>
        </w:tblPrEx>
        <w:trPr>
          <w:trHeight w:val="71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C08155A020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泄露志愿者有关信息经责令限期改正逾期不改正。</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tblPrEx>
          <w:tblCellMar>
            <w:top w:w="15" w:type="dxa"/>
            <w:left w:w="15" w:type="dxa"/>
            <w:bottom w:w="15" w:type="dxa"/>
            <w:right w:w="15" w:type="dxa"/>
          </w:tblCellMar>
        </w:tblPrEx>
        <w:trPr>
          <w:trHeight w:val="64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C08155A030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tblPrEx>
          <w:tblCellMar>
            <w:top w:w="15" w:type="dxa"/>
            <w:left w:w="15" w:type="dxa"/>
            <w:bottom w:w="15" w:type="dxa"/>
            <w:right w:w="15" w:type="dxa"/>
          </w:tblCellMar>
        </w:tblPrEx>
        <w:trPr>
          <w:trHeight w:val="1181"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95</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C08156B010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志愿服务</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志愿服务组织不依法出具志愿服务记录证明的行为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《志愿服务条例》第十九条第二款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《志愿服务条例》第三十八条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不如实出具志愿服务记录证明或有偿出具志愿服务证明的； </w:t>
            </w:r>
            <w:r>
              <w:rPr>
                <w:rFonts w:hint="eastAsia" w:ascii="宋体" w:hAnsi="宋体" w:cs="宋体"/>
                <w:kern w:val="0"/>
                <w:sz w:val="20"/>
              </w:rPr>
              <w:br w:type="textWrapping"/>
            </w:r>
            <w:r>
              <w:rPr>
                <w:rFonts w:hint="eastAsia" w:ascii="宋体" w:hAnsi="宋体" w:cs="宋体"/>
                <w:kern w:val="0"/>
                <w:sz w:val="20"/>
              </w:rPr>
              <w:t>拒绝向志愿者出具志愿服务记录证明或在合理期限内不出具志愿服务证明的。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tblPrEx>
          <w:tblCellMar>
            <w:top w:w="15" w:type="dxa"/>
            <w:left w:w="15" w:type="dxa"/>
            <w:bottom w:w="15" w:type="dxa"/>
            <w:right w:w="15" w:type="dxa"/>
          </w:tblCellMar>
        </w:tblPrEx>
        <w:trPr>
          <w:trHeight w:val="90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C08156B020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不如实出具志愿服务记录证明或有偿出具志愿服务证明，经责令限期改正后，逾期不改正的。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tblPrEx>
          <w:tblCellMar>
            <w:top w:w="15" w:type="dxa"/>
            <w:left w:w="15" w:type="dxa"/>
            <w:bottom w:w="15" w:type="dxa"/>
            <w:right w:w="15" w:type="dxa"/>
          </w:tblCellMar>
        </w:tblPrEx>
        <w:trPr>
          <w:trHeight w:val="1092"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96</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C08160B010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志愿服务</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志愿服务组织向志愿服务对象收取或者变相收取报酬的行为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《志愿服务条例》第二十一条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《志愿服务条例》第三十七条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初次被发现向志愿服务对象收取或变相收取报酬的；                                      收取或变相收取报酬5000元以下的；</w:t>
            </w:r>
            <w:r>
              <w:rPr>
                <w:rFonts w:hint="eastAsia" w:ascii="宋体" w:hAnsi="宋体" w:cs="宋体"/>
                <w:kern w:val="0"/>
                <w:sz w:val="20"/>
              </w:rPr>
              <w:br w:type="textWrapping"/>
            </w:r>
            <w:r>
              <w:rPr>
                <w:rFonts w:hint="eastAsia" w:ascii="宋体" w:hAnsi="宋体" w:cs="宋体"/>
                <w:kern w:val="0"/>
                <w:sz w:val="20"/>
              </w:rPr>
              <w:t xml:space="preserve">具有其他情节轻微情形的。 </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tblPrEx>
          <w:tblCellMar>
            <w:top w:w="15" w:type="dxa"/>
            <w:left w:w="15" w:type="dxa"/>
            <w:bottom w:w="15" w:type="dxa"/>
            <w:right w:w="15" w:type="dxa"/>
          </w:tblCellMar>
        </w:tblPrEx>
        <w:trPr>
          <w:trHeight w:val="103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C08160B020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多次向志愿服务对象收取或变相收取报酬的；               </w:t>
            </w:r>
            <w:r>
              <w:rPr>
                <w:rFonts w:hint="eastAsia" w:ascii="宋体" w:hAnsi="宋体" w:cs="宋体"/>
                <w:kern w:val="0"/>
                <w:sz w:val="20"/>
              </w:rPr>
              <w:br w:type="textWrapping"/>
            </w:r>
            <w:r>
              <w:rPr>
                <w:rFonts w:hint="eastAsia" w:ascii="宋体" w:hAnsi="宋体" w:cs="宋体"/>
                <w:kern w:val="0"/>
                <w:sz w:val="20"/>
              </w:rPr>
              <w:t>收取或变相收取报酬5000元以上、1万元以下的；                                    具有其他较重情形的。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警告；处所收取报酬1倍以上、3倍以下罚款。</w:t>
            </w:r>
          </w:p>
        </w:tc>
      </w:tr>
      <w:tr>
        <w:tblPrEx>
          <w:tblCellMar>
            <w:top w:w="15" w:type="dxa"/>
            <w:left w:w="15" w:type="dxa"/>
            <w:bottom w:w="15" w:type="dxa"/>
            <w:right w:w="15" w:type="dxa"/>
          </w:tblCellMar>
        </w:tblPrEx>
        <w:trPr>
          <w:trHeight w:val="71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C08160B030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警告；处所收取报酬3倍以上、5倍以下罚款。</w:t>
            </w:r>
          </w:p>
        </w:tc>
      </w:tr>
      <w:tr>
        <w:tblPrEx>
          <w:tblCellMar>
            <w:top w:w="15" w:type="dxa"/>
            <w:left w:w="15" w:type="dxa"/>
            <w:bottom w:w="15" w:type="dxa"/>
            <w:right w:w="15" w:type="dxa"/>
          </w:tblCellMar>
        </w:tblPrEx>
        <w:trPr>
          <w:trHeight w:val="1031"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97</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C08161B010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志愿服务</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志愿者向志愿服务对象收取或者变相收取报酬的行为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《志愿服务条例》第二十一条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《志愿服务条例》第三十七条</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初次被发现向志愿服务对象收取或变相收取报酬的；                                        收取或变相收取报酬5000元以下的；</w:t>
            </w:r>
            <w:r>
              <w:rPr>
                <w:rFonts w:hint="eastAsia" w:ascii="宋体" w:hAnsi="宋体" w:cs="宋体"/>
                <w:kern w:val="0"/>
                <w:sz w:val="20"/>
              </w:rPr>
              <w:br w:type="textWrapping"/>
            </w:r>
            <w:r>
              <w:rPr>
                <w:rFonts w:hint="eastAsia" w:ascii="宋体" w:hAnsi="宋体" w:cs="宋体"/>
                <w:kern w:val="0"/>
                <w:sz w:val="20"/>
              </w:rPr>
              <w:t xml:space="preserve">具有其他情节轻微情形的。 </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tblPrEx>
          <w:tblCellMar>
            <w:top w:w="15" w:type="dxa"/>
            <w:left w:w="15" w:type="dxa"/>
            <w:bottom w:w="15" w:type="dxa"/>
            <w:right w:w="15" w:type="dxa"/>
          </w:tblCellMar>
        </w:tblPrEx>
        <w:trPr>
          <w:trHeight w:val="99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C08161B020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多次向志愿服务对象收取或变相收取报酬的；               </w:t>
            </w:r>
            <w:r>
              <w:rPr>
                <w:rFonts w:hint="eastAsia" w:ascii="宋体" w:hAnsi="宋体" w:cs="宋体"/>
                <w:kern w:val="0"/>
                <w:sz w:val="20"/>
              </w:rPr>
              <w:br w:type="textWrapping"/>
            </w:r>
            <w:r>
              <w:rPr>
                <w:rFonts w:hint="eastAsia" w:ascii="宋体" w:hAnsi="宋体" w:cs="宋体"/>
                <w:kern w:val="0"/>
                <w:sz w:val="20"/>
              </w:rPr>
              <w:t>收取或变相收取报酬5000元以上、1万元以下的；                                   具有其他较重情形的。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警告；处所收取报酬1倍以上、3倍以下罚款。</w:t>
            </w:r>
          </w:p>
        </w:tc>
      </w:tr>
      <w:tr>
        <w:tblPrEx>
          <w:tblCellMar>
            <w:top w:w="15" w:type="dxa"/>
            <w:left w:w="15" w:type="dxa"/>
            <w:bottom w:w="15" w:type="dxa"/>
            <w:right w:w="15" w:type="dxa"/>
          </w:tblCellMar>
        </w:tblPrEx>
        <w:trPr>
          <w:trHeight w:val="91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C08161B030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警告。处所收取报酬3倍以上、5倍以下罚款。</w:t>
            </w:r>
          </w:p>
        </w:tc>
      </w:tr>
      <w:tr>
        <w:tblPrEx>
          <w:tblCellMar>
            <w:top w:w="15" w:type="dxa"/>
            <w:left w:w="15" w:type="dxa"/>
            <w:bottom w:w="15" w:type="dxa"/>
            <w:right w:w="15" w:type="dxa"/>
          </w:tblCellMar>
        </w:tblPrEx>
        <w:trPr>
          <w:trHeight w:val="849"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98</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C08052A010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殡葬</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未经批准，擅自兴建殡葬设施的行为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《殡葬管理条例》第八条第一款、第九条第一款 、《北京市殡葬管理条例》第六条、第十八条第一款、第二款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《殡葬管理条例》第十八条、《北京市殡葬管理条例》第二十五条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殡葬设施已投入使用的，违法所得10万元以下的；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没收违法所得。</w:t>
            </w:r>
          </w:p>
        </w:tc>
      </w:tr>
      <w:tr>
        <w:tblPrEx>
          <w:tblCellMar>
            <w:top w:w="15" w:type="dxa"/>
            <w:left w:w="15" w:type="dxa"/>
            <w:bottom w:w="15" w:type="dxa"/>
            <w:right w:w="15" w:type="dxa"/>
          </w:tblCellMar>
        </w:tblPrEx>
        <w:trPr>
          <w:trHeight w:val="93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C08052A020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殡葬设施已投入使用的，违法所得10万元以上、50万元以下的；</w:t>
            </w:r>
            <w:r>
              <w:rPr>
                <w:rFonts w:hint="eastAsia" w:ascii="宋体" w:hAnsi="宋体" w:cs="宋体"/>
                <w:kern w:val="0"/>
                <w:sz w:val="20"/>
              </w:rPr>
              <w:br w:type="textWrapping"/>
            </w:r>
            <w:r>
              <w:rPr>
                <w:rFonts w:hint="eastAsia" w:ascii="宋体" w:hAnsi="宋体" w:cs="宋体"/>
                <w:kern w:val="0"/>
                <w:sz w:val="20"/>
              </w:rPr>
              <w:t>具有其他情节较重重情形的。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没收违法所得，可以并处违法所得1倍以上、2倍以下的罚款。</w:t>
            </w:r>
          </w:p>
        </w:tc>
      </w:tr>
      <w:tr>
        <w:tblPrEx>
          <w:tblCellMar>
            <w:top w:w="15" w:type="dxa"/>
            <w:left w:w="15" w:type="dxa"/>
            <w:bottom w:w="15" w:type="dxa"/>
            <w:right w:w="15" w:type="dxa"/>
          </w:tblCellMar>
        </w:tblPrEx>
        <w:trPr>
          <w:trHeight w:val="95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C08052A030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殡葬设施已投入使用的，违法所得50万元以上的；</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没收违法所得，可以并处违法所得2倍以上、3倍以下的罚款。</w:t>
            </w:r>
          </w:p>
        </w:tc>
      </w:tr>
      <w:tr>
        <w:tblPrEx>
          <w:tblCellMar>
            <w:top w:w="15" w:type="dxa"/>
            <w:left w:w="15" w:type="dxa"/>
            <w:bottom w:w="15" w:type="dxa"/>
            <w:right w:w="15" w:type="dxa"/>
          </w:tblCellMar>
        </w:tblPrEx>
        <w:trPr>
          <w:trHeight w:val="1799"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99</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C08053B010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殡葬</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墓穴占地面积超过省、自治区、直辖市人民政府规定的标准的行为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《殡葬管理条例》第十一条、《北京市殡葬管理条例》第二十条第一款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《殡葬管理条例》第十九条、《北京市殡葬管理条例》第三十一条</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占地面积超过政府规定的墓穴，未投入使用的；</w:t>
            </w:r>
            <w:r>
              <w:rPr>
                <w:rFonts w:hint="eastAsia" w:ascii="宋体" w:hAnsi="宋体" w:cs="宋体"/>
                <w:kern w:val="0"/>
                <w:sz w:val="20"/>
              </w:rPr>
              <w:br w:type="textWrapping"/>
            </w:r>
            <w:r>
              <w:rPr>
                <w:rFonts w:hint="eastAsia" w:ascii="宋体" w:hAnsi="宋体" w:cs="宋体"/>
                <w:kern w:val="0"/>
                <w:sz w:val="20"/>
              </w:rPr>
              <w:t>违法所得30万元以下的；</w:t>
            </w:r>
            <w:r>
              <w:rPr>
                <w:rFonts w:hint="eastAsia" w:ascii="宋体" w:hAnsi="宋体" w:cs="宋体"/>
                <w:kern w:val="0"/>
                <w:sz w:val="20"/>
              </w:rPr>
              <w:br w:type="textWrapping"/>
            </w:r>
            <w:r>
              <w:rPr>
                <w:rFonts w:hint="eastAsia" w:ascii="宋体" w:hAnsi="宋体" w:cs="宋体"/>
                <w:kern w:val="0"/>
                <w:sz w:val="20"/>
              </w:rPr>
              <w:t>占地面积超过政府规定的墓穴3个以下的；</w:t>
            </w:r>
            <w:r>
              <w:rPr>
                <w:rFonts w:hint="eastAsia" w:ascii="宋体" w:hAnsi="宋体" w:cs="宋体"/>
                <w:kern w:val="0"/>
                <w:sz w:val="20"/>
              </w:rPr>
              <w:br w:type="textWrapping"/>
            </w:r>
            <w:r>
              <w:rPr>
                <w:rFonts w:hint="eastAsia" w:ascii="宋体" w:hAnsi="宋体" w:cs="宋体"/>
                <w:kern w:val="0"/>
                <w:sz w:val="20"/>
              </w:rPr>
              <w:t>墓穴占地面积超标（单人墓超过1平米，多人墓超过3平米）1倍以下的；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没收违法所得。</w:t>
            </w:r>
          </w:p>
        </w:tc>
      </w:tr>
      <w:tr>
        <w:tblPrEx>
          <w:tblCellMar>
            <w:top w:w="15" w:type="dxa"/>
            <w:left w:w="15" w:type="dxa"/>
            <w:bottom w:w="15" w:type="dxa"/>
            <w:right w:w="15" w:type="dxa"/>
          </w:tblCellMar>
        </w:tblPrEx>
        <w:trPr>
          <w:trHeight w:val="185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C08053B020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违法所得30万元以上、100万元以下的；</w:t>
            </w:r>
            <w:r>
              <w:rPr>
                <w:rFonts w:hint="eastAsia" w:ascii="宋体" w:hAnsi="宋体" w:cs="宋体"/>
                <w:kern w:val="0"/>
                <w:sz w:val="20"/>
              </w:rPr>
              <w:br w:type="textWrapping"/>
            </w:r>
            <w:r>
              <w:rPr>
                <w:rFonts w:hint="eastAsia" w:ascii="宋体" w:hAnsi="宋体" w:cs="宋体"/>
                <w:kern w:val="0"/>
                <w:sz w:val="20"/>
              </w:rPr>
              <w:t>占地面积超过政府规定的墓穴4个以上、10个以下的；</w:t>
            </w:r>
            <w:r>
              <w:rPr>
                <w:rFonts w:hint="eastAsia" w:ascii="宋体" w:hAnsi="宋体" w:cs="宋体"/>
                <w:kern w:val="0"/>
                <w:sz w:val="20"/>
              </w:rPr>
              <w:br w:type="textWrapping"/>
            </w:r>
            <w:r>
              <w:rPr>
                <w:rFonts w:hint="eastAsia" w:ascii="宋体" w:hAnsi="宋体" w:cs="宋体"/>
                <w:kern w:val="0"/>
                <w:sz w:val="20"/>
              </w:rPr>
              <w:t>墓穴占地面积超标（单人墓超过1平米，多人墓超过3平米）1倍以上2倍以下的；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没收违法所得，可以并处违法所得1倍以上、2倍以下的罚款。</w:t>
            </w:r>
          </w:p>
        </w:tc>
      </w:tr>
      <w:tr>
        <w:tblPrEx>
          <w:tblCellMar>
            <w:top w:w="15" w:type="dxa"/>
            <w:left w:w="15" w:type="dxa"/>
            <w:bottom w:w="15" w:type="dxa"/>
            <w:right w:w="15" w:type="dxa"/>
          </w:tblCellMar>
        </w:tblPrEx>
        <w:trPr>
          <w:trHeight w:val="162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C08053B030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违法所得100万元以上的；</w:t>
            </w:r>
            <w:r>
              <w:rPr>
                <w:rFonts w:hint="eastAsia" w:ascii="宋体" w:hAnsi="宋体" w:cs="宋体"/>
                <w:kern w:val="0"/>
                <w:sz w:val="20"/>
              </w:rPr>
              <w:br w:type="textWrapping"/>
            </w:r>
            <w:r>
              <w:rPr>
                <w:rFonts w:hint="eastAsia" w:ascii="宋体" w:hAnsi="宋体" w:cs="宋体"/>
                <w:kern w:val="0"/>
                <w:sz w:val="20"/>
              </w:rPr>
              <w:t>占地面积超过政府规定的墓穴10个以上的；</w:t>
            </w:r>
            <w:r>
              <w:rPr>
                <w:rFonts w:hint="eastAsia" w:ascii="宋体" w:hAnsi="宋体" w:cs="宋体"/>
                <w:kern w:val="0"/>
                <w:sz w:val="20"/>
              </w:rPr>
              <w:br w:type="textWrapping"/>
            </w:r>
            <w:r>
              <w:rPr>
                <w:rFonts w:hint="eastAsia" w:ascii="宋体" w:hAnsi="宋体" w:cs="宋体"/>
                <w:kern w:val="0"/>
                <w:sz w:val="20"/>
              </w:rPr>
              <w:t>墓穴占地面积超标（单人墓超过1平米，多人墓超过3平米）2倍以上的；</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没收违法所得，可以并处违法所得2倍以上、3倍以下的罚款。</w:t>
            </w:r>
          </w:p>
        </w:tc>
      </w:tr>
      <w:tr>
        <w:tblPrEx>
          <w:tblCellMar>
            <w:top w:w="15" w:type="dxa"/>
            <w:left w:w="15" w:type="dxa"/>
            <w:bottom w:w="15" w:type="dxa"/>
            <w:right w:w="15" w:type="dxa"/>
          </w:tblCellMar>
        </w:tblPrEx>
        <w:trPr>
          <w:trHeight w:val="686"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100</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C08054A010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殡葬</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制造、销售不符合国家技术标准的殡葬设备的行为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《殡葬管理条例》第十六条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《殡葬管理条例》第二十二条第一款</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制造、销售不符合国家技术标准的殡葬设备，情节轻微的。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处制造、销售金额1倍的罚款。</w:t>
            </w:r>
          </w:p>
        </w:tc>
      </w:tr>
      <w:tr>
        <w:tblPrEx>
          <w:tblCellMar>
            <w:top w:w="15" w:type="dxa"/>
            <w:left w:w="15" w:type="dxa"/>
            <w:bottom w:w="15" w:type="dxa"/>
            <w:right w:w="15" w:type="dxa"/>
          </w:tblCellMar>
        </w:tblPrEx>
        <w:trPr>
          <w:trHeight w:val="62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C08054A020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制造、销售不符合国家技术标准的殡葬设备，情节较重的。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处制造、销售金额2倍的罚款。</w:t>
            </w:r>
          </w:p>
        </w:tc>
      </w:tr>
      <w:tr>
        <w:tblPrEx>
          <w:tblCellMar>
            <w:top w:w="15" w:type="dxa"/>
            <w:left w:w="15" w:type="dxa"/>
            <w:bottom w:w="15" w:type="dxa"/>
            <w:right w:w="15" w:type="dxa"/>
          </w:tblCellMar>
        </w:tblPrEx>
        <w:trPr>
          <w:trHeight w:val="63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C08054A030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处制造、销售金额3倍的罚款。</w:t>
            </w:r>
          </w:p>
        </w:tc>
      </w:tr>
      <w:tr>
        <w:tblPrEx>
          <w:tblCellMar>
            <w:top w:w="15" w:type="dxa"/>
            <w:left w:w="15" w:type="dxa"/>
            <w:bottom w:w="15" w:type="dxa"/>
            <w:right w:w="15" w:type="dxa"/>
          </w:tblCellMar>
        </w:tblPrEx>
        <w:trPr>
          <w:trHeight w:val="74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101</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C08055C010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殡葬</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制造、销售封建迷信殡葬用品的行为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《殡葬管理条例》第十七条、《北京市殡葬管理条例》第二十三条第一款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《殡葬管理条例》第二十二条第二款、《北京市殡葬管理条例》第三十四条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制造、销售封建迷信殡葬用品，情节轻微的。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没收封建迷信殡葬用品。</w:t>
            </w:r>
          </w:p>
        </w:tc>
      </w:tr>
      <w:tr>
        <w:tblPrEx>
          <w:tblCellMar>
            <w:top w:w="15" w:type="dxa"/>
            <w:left w:w="15" w:type="dxa"/>
            <w:bottom w:w="15" w:type="dxa"/>
            <w:right w:w="15" w:type="dxa"/>
          </w:tblCellMar>
        </w:tblPrEx>
        <w:trPr>
          <w:trHeight w:val="87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C08055C020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制造、销售封建迷信殡葬用品，情节较重的。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没收封建迷信殡葬用品，可以并处销售金额1倍以上、2倍以下的罚款。</w:t>
            </w:r>
          </w:p>
        </w:tc>
      </w:tr>
      <w:tr>
        <w:tblPrEx>
          <w:tblCellMar>
            <w:top w:w="15" w:type="dxa"/>
            <w:left w:w="15" w:type="dxa"/>
            <w:bottom w:w="15" w:type="dxa"/>
            <w:right w:w="15" w:type="dxa"/>
          </w:tblCellMar>
        </w:tblPrEx>
        <w:trPr>
          <w:trHeight w:val="80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C08055C030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没收封建迷信殡葬用品，可以并处制造、销售金额2倍以上、3倍以下的罚款。</w:t>
            </w:r>
          </w:p>
        </w:tc>
      </w:tr>
      <w:tr>
        <w:tblPrEx>
          <w:tblCellMar>
            <w:top w:w="15" w:type="dxa"/>
            <w:left w:w="15" w:type="dxa"/>
            <w:bottom w:w="15" w:type="dxa"/>
            <w:right w:w="15" w:type="dxa"/>
          </w:tblCellMar>
        </w:tblPrEx>
        <w:trPr>
          <w:trHeight w:val="843"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102</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C08056C010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殡葬</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擅自放行未获外运批准的遗体的行为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《北京市殡葬管理条例》第十条第二款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《北京市殡葬管理条例》第二十七条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初次被发现擅自放行未获外运批准的遗体的；</w:t>
            </w:r>
            <w:r>
              <w:rPr>
                <w:rFonts w:hint="eastAsia" w:ascii="宋体" w:hAnsi="宋体" w:cs="宋体"/>
                <w:kern w:val="0"/>
                <w:sz w:val="20"/>
              </w:rPr>
              <w:br w:type="textWrapping"/>
            </w:r>
            <w:r>
              <w:rPr>
                <w:rFonts w:hint="eastAsia" w:ascii="宋体" w:hAnsi="宋体" w:cs="宋体"/>
                <w:kern w:val="0"/>
                <w:sz w:val="20"/>
              </w:rPr>
              <w:t xml:space="preserve">具有其他情节轻微情形的。 </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处以500元以上、2000元以下罚款。</w:t>
            </w:r>
          </w:p>
        </w:tc>
      </w:tr>
      <w:tr>
        <w:tblPrEx>
          <w:tblCellMar>
            <w:top w:w="15" w:type="dxa"/>
            <w:left w:w="15" w:type="dxa"/>
            <w:bottom w:w="15" w:type="dxa"/>
            <w:right w:w="15" w:type="dxa"/>
          </w:tblCellMar>
        </w:tblPrEx>
        <w:trPr>
          <w:trHeight w:val="76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C08056C020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擅自放行未获外运批准遗体2次以上的；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处以2000元以上、3000元以下罚款。</w:t>
            </w:r>
          </w:p>
        </w:tc>
      </w:tr>
      <w:tr>
        <w:tblPrEx>
          <w:tblCellMar>
            <w:top w:w="15" w:type="dxa"/>
            <w:left w:w="15" w:type="dxa"/>
            <w:bottom w:w="15" w:type="dxa"/>
            <w:right w:w="15" w:type="dxa"/>
          </w:tblCellMar>
        </w:tblPrEx>
        <w:trPr>
          <w:trHeight w:val="944"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103</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C08057B010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殡葬</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未经批准开展殡仪服务业务的行为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《北京市殡葬管理条例》第十三条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《北京市殡葬管理条例》第二十九条</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初次被发现未经批准开展殡仪服务业务的；</w:t>
            </w:r>
            <w:r>
              <w:rPr>
                <w:rFonts w:hint="eastAsia" w:ascii="宋体" w:hAnsi="宋体" w:cs="宋体"/>
                <w:kern w:val="0"/>
                <w:sz w:val="20"/>
              </w:rPr>
              <w:br w:type="textWrapping"/>
            </w:r>
            <w:r>
              <w:rPr>
                <w:rFonts w:hint="eastAsia" w:ascii="宋体" w:hAnsi="宋体" w:cs="宋体"/>
                <w:kern w:val="0"/>
                <w:sz w:val="20"/>
              </w:rPr>
              <w:t xml:space="preserve">具有其他情节轻微情形的。 </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没收违法所得，并处1000元以上、3000元以下罚款。</w:t>
            </w:r>
          </w:p>
        </w:tc>
      </w:tr>
      <w:tr>
        <w:tblPrEx>
          <w:tblCellMar>
            <w:top w:w="15" w:type="dxa"/>
            <w:left w:w="15" w:type="dxa"/>
            <w:bottom w:w="15" w:type="dxa"/>
            <w:right w:w="15" w:type="dxa"/>
          </w:tblCellMar>
        </w:tblPrEx>
        <w:trPr>
          <w:trHeight w:val="82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C08057B020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未经批准开展殡仪服务业务2次以上的；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没收违法所得，并处3000元以上、5000元以下罚款。</w:t>
            </w:r>
          </w:p>
        </w:tc>
      </w:tr>
      <w:tr>
        <w:tblPrEx>
          <w:tblCellMar>
            <w:top w:w="15" w:type="dxa"/>
            <w:left w:w="15" w:type="dxa"/>
            <w:bottom w:w="15" w:type="dxa"/>
            <w:right w:w="15" w:type="dxa"/>
          </w:tblCellMar>
        </w:tblPrEx>
        <w:trPr>
          <w:trHeight w:val="98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104</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C08058B010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殡葬</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利用公益性公墓从事经营活动的行为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《北京市殡葬管理条例》第二十一条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《北京市殡葬管理条例》第三十二条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违法所得在5万元以下的；</w:t>
            </w:r>
            <w:r>
              <w:rPr>
                <w:rFonts w:hint="eastAsia" w:ascii="宋体" w:hAnsi="宋体" w:cs="宋体"/>
                <w:kern w:val="0"/>
                <w:sz w:val="20"/>
              </w:rPr>
              <w:br w:type="textWrapping"/>
            </w:r>
            <w:r>
              <w:rPr>
                <w:rFonts w:hint="eastAsia" w:ascii="宋体" w:hAnsi="宋体" w:cs="宋体"/>
                <w:kern w:val="0"/>
                <w:sz w:val="20"/>
              </w:rPr>
              <w:t>违法销售墓穴2个以下的；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没收违法所得。</w:t>
            </w:r>
          </w:p>
        </w:tc>
      </w:tr>
      <w:tr>
        <w:tblPrEx>
          <w:tblCellMar>
            <w:top w:w="15" w:type="dxa"/>
            <w:left w:w="15" w:type="dxa"/>
            <w:bottom w:w="15" w:type="dxa"/>
            <w:right w:w="15" w:type="dxa"/>
          </w:tblCellMar>
        </w:tblPrEx>
        <w:trPr>
          <w:trHeight w:val="102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C08058B020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违法所得在5万元以上的；</w:t>
            </w:r>
            <w:r>
              <w:rPr>
                <w:rFonts w:hint="eastAsia" w:ascii="宋体" w:hAnsi="宋体" w:cs="宋体"/>
                <w:kern w:val="0"/>
                <w:sz w:val="20"/>
              </w:rPr>
              <w:br w:type="textWrapping"/>
            </w:r>
            <w:r>
              <w:rPr>
                <w:rFonts w:hint="eastAsia" w:ascii="宋体" w:hAnsi="宋体" w:cs="宋体"/>
                <w:kern w:val="0"/>
                <w:sz w:val="20"/>
              </w:rPr>
              <w:t>违法销售墓穴2个以上的；</w:t>
            </w:r>
            <w:r>
              <w:rPr>
                <w:rFonts w:hint="eastAsia" w:ascii="宋体" w:hAnsi="宋体" w:cs="宋体"/>
                <w:kern w:val="0"/>
                <w:sz w:val="20"/>
              </w:rPr>
              <w:br w:type="textWrapping"/>
            </w:r>
            <w:r>
              <w:rPr>
                <w:rFonts w:hint="eastAsia" w:ascii="宋体" w:hAnsi="宋体" w:cs="宋体"/>
                <w:kern w:val="0"/>
                <w:sz w:val="20"/>
              </w:rPr>
              <w:t xml:space="preserve">具有其他情节严重情形的。 </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没收违法所得，并处5000元以上、10000元以下罚款。</w:t>
            </w:r>
          </w:p>
        </w:tc>
      </w:tr>
      <w:tr>
        <w:tblPrEx>
          <w:tblCellMar>
            <w:top w:w="15" w:type="dxa"/>
            <w:left w:w="15" w:type="dxa"/>
            <w:bottom w:w="15" w:type="dxa"/>
            <w:right w:w="15" w:type="dxa"/>
          </w:tblCellMar>
        </w:tblPrEx>
        <w:trPr>
          <w:trHeight w:val="1040"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105</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C08059C010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殡葬</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在火葬区内生产、经营棺木的行为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《北京市殡葬管理条例》第二十三条第二款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《北京市殡葬管理条例》第三十五条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违法所得在5000元以下的；</w:t>
            </w:r>
            <w:r>
              <w:rPr>
                <w:rFonts w:hint="eastAsia" w:ascii="宋体" w:hAnsi="宋体" w:cs="宋体"/>
                <w:kern w:val="0"/>
                <w:sz w:val="20"/>
              </w:rPr>
              <w:br w:type="textWrapping"/>
            </w:r>
            <w:r>
              <w:rPr>
                <w:rFonts w:hint="eastAsia" w:ascii="宋体" w:hAnsi="宋体" w:cs="宋体"/>
                <w:kern w:val="0"/>
                <w:sz w:val="20"/>
              </w:rPr>
              <w:t>生产、经营棺木5个以下的；</w:t>
            </w:r>
            <w:r>
              <w:rPr>
                <w:rFonts w:hint="eastAsia" w:ascii="宋体" w:hAnsi="宋体" w:cs="宋体"/>
                <w:kern w:val="0"/>
                <w:sz w:val="20"/>
              </w:rPr>
              <w:br w:type="textWrapping"/>
            </w:r>
            <w:r>
              <w:rPr>
                <w:rFonts w:hint="eastAsia" w:ascii="宋体" w:hAnsi="宋体" w:cs="宋体"/>
                <w:kern w:val="0"/>
                <w:sz w:val="20"/>
              </w:rPr>
              <w:t xml:space="preserve">具有其他情节轻微情形的。 </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没收棺木以及违法所得，并处500元以上、800元以下罚款。</w:t>
            </w:r>
          </w:p>
        </w:tc>
      </w:tr>
      <w:tr>
        <w:tblPrEx>
          <w:tblCellMar>
            <w:top w:w="15" w:type="dxa"/>
            <w:left w:w="15" w:type="dxa"/>
            <w:bottom w:w="15" w:type="dxa"/>
            <w:right w:w="15" w:type="dxa"/>
          </w:tblCellMar>
        </w:tblPrEx>
        <w:trPr>
          <w:trHeight w:val="104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C08059C020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违法所得在5000元以上的；</w:t>
            </w:r>
            <w:r>
              <w:rPr>
                <w:rFonts w:hint="eastAsia" w:ascii="宋体" w:hAnsi="宋体" w:cs="宋体"/>
                <w:kern w:val="0"/>
                <w:sz w:val="20"/>
              </w:rPr>
              <w:br w:type="textWrapping"/>
            </w:r>
            <w:r>
              <w:rPr>
                <w:rFonts w:hint="eastAsia" w:ascii="宋体" w:hAnsi="宋体" w:cs="宋体"/>
                <w:kern w:val="0"/>
                <w:sz w:val="20"/>
              </w:rPr>
              <w:t>生产、经营棺木5个以上的；</w:t>
            </w:r>
            <w:r>
              <w:rPr>
                <w:rFonts w:hint="eastAsia" w:ascii="宋体" w:hAnsi="宋体" w:cs="宋体"/>
                <w:kern w:val="0"/>
                <w:sz w:val="20"/>
              </w:rPr>
              <w:br w:type="textWrapping"/>
            </w:r>
            <w:r>
              <w:rPr>
                <w:rFonts w:hint="eastAsia" w:ascii="宋体" w:hAnsi="宋体" w:cs="宋体"/>
                <w:kern w:val="0"/>
                <w:sz w:val="20"/>
              </w:rPr>
              <w:t xml:space="preserve">具有其他情节较重情形的。 </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没收棺木以及违法所得，并处800元以上、1000元以下罚款。</w:t>
            </w:r>
          </w:p>
        </w:tc>
      </w:tr>
      <w:tr>
        <w:tblPrEx>
          <w:tblCellMar>
            <w:top w:w="15" w:type="dxa"/>
            <w:left w:w="15" w:type="dxa"/>
            <w:bottom w:w="15" w:type="dxa"/>
            <w:right w:w="15" w:type="dxa"/>
          </w:tblCellMar>
        </w:tblPrEx>
        <w:trPr>
          <w:trHeight w:val="1074"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106</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C08060B010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社会救助</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采取虚报、隐瞒、伪造等手段，骗取享受城市居民最低生活保障待遇的行为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《城市居民最低生活保障条例》第十四条第（一）项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《城市居民最低生活保障条例》第十四条第（一）项</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rPr>
            </w:pPr>
            <w:r>
              <w:rPr>
                <w:rFonts w:hint="eastAsia" w:ascii="宋体" w:hAnsi="宋体" w:cs="宋体"/>
                <w:kern w:val="0"/>
                <w:sz w:val="20"/>
              </w:rPr>
              <w:t>骗取、冒领款物金额在24个月低保金以下的；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tblPrEx>
          <w:tblCellMar>
            <w:top w:w="15" w:type="dxa"/>
            <w:left w:w="15" w:type="dxa"/>
            <w:bottom w:w="15" w:type="dxa"/>
            <w:right w:w="15" w:type="dxa"/>
          </w:tblCellMar>
        </w:tblPrEx>
        <w:trPr>
          <w:trHeight w:val="111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C08060B020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rPr>
            </w:pPr>
            <w:r>
              <w:rPr>
                <w:rFonts w:hint="eastAsia" w:ascii="宋体" w:hAnsi="宋体" w:cs="宋体"/>
                <w:kern w:val="0"/>
                <w:sz w:val="20"/>
              </w:rPr>
              <w:t>骗取、冒领款物金额在24个月低保金以上、48个月低保金以下的；</w:t>
            </w:r>
            <w:r>
              <w:rPr>
                <w:rFonts w:hint="eastAsia" w:ascii="宋体" w:hAnsi="宋体" w:cs="宋体"/>
                <w:kern w:val="0"/>
                <w:sz w:val="20"/>
              </w:rPr>
              <w:br w:type="textWrapping"/>
            </w:r>
            <w:r>
              <w:rPr>
                <w:rFonts w:hint="eastAsia" w:ascii="宋体" w:hAnsi="宋体" w:cs="宋体"/>
                <w:kern w:val="0"/>
                <w:sz w:val="20"/>
              </w:rPr>
              <w:t xml:space="preserve">具有其他情节较重情形的。 </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处冒领金额l倍以上、2倍以下的罚款。</w:t>
            </w:r>
          </w:p>
        </w:tc>
      </w:tr>
      <w:tr>
        <w:tblPrEx>
          <w:tblCellMar>
            <w:top w:w="15" w:type="dxa"/>
            <w:left w:w="15" w:type="dxa"/>
            <w:bottom w:w="15" w:type="dxa"/>
            <w:right w:w="15" w:type="dxa"/>
          </w:tblCellMar>
        </w:tblPrEx>
        <w:trPr>
          <w:trHeight w:val="108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C08060B030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rPr>
            </w:pPr>
            <w:r>
              <w:rPr>
                <w:rFonts w:hint="eastAsia" w:ascii="宋体" w:hAnsi="宋体" w:cs="宋体"/>
                <w:kern w:val="0"/>
                <w:sz w:val="20"/>
              </w:rPr>
              <w:t>骗取、冒领款物金额在48个月低保金以上的；</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处冒领金额2倍以上、3倍以下的罚款。</w:t>
            </w:r>
          </w:p>
        </w:tc>
      </w:tr>
      <w:tr>
        <w:tblPrEx>
          <w:tblCellMar>
            <w:top w:w="15" w:type="dxa"/>
            <w:left w:w="15" w:type="dxa"/>
            <w:bottom w:w="15" w:type="dxa"/>
            <w:right w:w="15" w:type="dxa"/>
          </w:tblCellMar>
        </w:tblPrEx>
        <w:trPr>
          <w:trHeight w:val="982"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107</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C08061B010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社会救助</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在享受城市居民最低生活保障待遇期间家庭收入情况好转，不按规定告知管理审批机关，继续享受城市居民最低生活保障待遇的行为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《城市居民最低生活保障条例》第十条第一款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《城市居民最低生活保障条例》第十四条第（二）项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rPr>
            </w:pPr>
            <w:r>
              <w:rPr>
                <w:rFonts w:hint="eastAsia" w:ascii="宋体" w:hAnsi="宋体" w:cs="宋体"/>
                <w:kern w:val="0"/>
                <w:sz w:val="20"/>
              </w:rPr>
              <w:t>骗取、冒领款物金额在24个月低保金以下的；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tblPrEx>
          <w:tblCellMar>
            <w:top w:w="15" w:type="dxa"/>
            <w:left w:w="15" w:type="dxa"/>
            <w:bottom w:w="15" w:type="dxa"/>
            <w:right w:w="15" w:type="dxa"/>
          </w:tblCellMar>
        </w:tblPrEx>
        <w:trPr>
          <w:trHeight w:val="107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C08061B020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rPr>
            </w:pPr>
            <w:r>
              <w:rPr>
                <w:rFonts w:hint="eastAsia" w:ascii="宋体" w:hAnsi="宋体" w:cs="宋体"/>
                <w:kern w:val="0"/>
                <w:sz w:val="20"/>
              </w:rPr>
              <w:t>骗取、冒领款物金额在24个月低保金以上、48个月低保金以下的；</w:t>
            </w:r>
            <w:r>
              <w:rPr>
                <w:rFonts w:hint="eastAsia" w:ascii="宋体" w:hAnsi="宋体" w:cs="宋体"/>
                <w:kern w:val="0"/>
                <w:sz w:val="20"/>
              </w:rPr>
              <w:br w:type="textWrapping"/>
            </w:r>
            <w:r>
              <w:rPr>
                <w:rFonts w:hint="eastAsia" w:ascii="宋体" w:hAnsi="宋体" w:cs="宋体"/>
                <w:kern w:val="0"/>
                <w:sz w:val="20"/>
              </w:rPr>
              <w:t xml:space="preserve">具有其他情节较重情形的。 </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处冒领金额l倍以上、2倍以下的罚款。</w:t>
            </w:r>
          </w:p>
        </w:tc>
      </w:tr>
      <w:tr>
        <w:tblPrEx>
          <w:tblCellMar>
            <w:top w:w="15" w:type="dxa"/>
            <w:left w:w="15" w:type="dxa"/>
            <w:bottom w:w="15" w:type="dxa"/>
            <w:right w:w="15" w:type="dxa"/>
          </w:tblCellMar>
        </w:tblPrEx>
        <w:trPr>
          <w:trHeight w:val="106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C08061B030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rPr>
            </w:pPr>
            <w:r>
              <w:rPr>
                <w:rFonts w:hint="eastAsia" w:ascii="宋体" w:hAnsi="宋体" w:cs="宋体"/>
                <w:kern w:val="0"/>
                <w:sz w:val="20"/>
              </w:rPr>
              <w:t>骗取、冒领款物金额在48个月低保金以上的；</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处冒领金额2倍以上、3倍以下的罚款。</w:t>
            </w:r>
          </w:p>
        </w:tc>
      </w:tr>
      <w:tr>
        <w:tblPrEx>
          <w:tblCellMar>
            <w:top w:w="15" w:type="dxa"/>
            <w:left w:w="15" w:type="dxa"/>
            <w:bottom w:w="15" w:type="dxa"/>
            <w:right w:w="15" w:type="dxa"/>
          </w:tblCellMar>
        </w:tblPrEx>
        <w:trPr>
          <w:trHeight w:val="94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108</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C08062B010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社会救助</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采取虚报、隐瞒、伪造等手段，骗取社会救助资金、物资或者服务的行为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《社会救助暂行办法》第五十八条第一款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《社会救助暂行办法》第六十八条、《北京市社会救助实施办法》第五十五条第一款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rPr>
            </w:pPr>
            <w:r>
              <w:rPr>
                <w:rFonts w:hint="eastAsia" w:ascii="宋体" w:hAnsi="宋体" w:cs="宋体"/>
                <w:kern w:val="0"/>
                <w:sz w:val="20"/>
              </w:rPr>
              <w:t>骗取低保资金和物资金额在24个低保金以上、48个月低保金以下的；</w:t>
            </w:r>
            <w:r>
              <w:rPr>
                <w:rFonts w:hint="eastAsia" w:ascii="宋体" w:hAnsi="宋体" w:cs="宋体"/>
                <w:kern w:val="0"/>
                <w:sz w:val="20"/>
              </w:rPr>
              <w:br w:type="textWrapping"/>
            </w:r>
            <w:r>
              <w:rPr>
                <w:rFonts w:hint="eastAsia" w:ascii="宋体" w:hAnsi="宋体" w:cs="宋体"/>
                <w:kern w:val="0"/>
                <w:sz w:val="20"/>
              </w:rPr>
              <w:t xml:space="preserve">具有其他情节较重情形的。 </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处非法获取的救助款额或者物资价值l倍以上、2倍以下的罚款。</w:t>
            </w:r>
          </w:p>
        </w:tc>
      </w:tr>
      <w:tr>
        <w:tblPrEx>
          <w:tblCellMar>
            <w:top w:w="15" w:type="dxa"/>
            <w:left w:w="15" w:type="dxa"/>
            <w:bottom w:w="15" w:type="dxa"/>
            <w:right w:w="15" w:type="dxa"/>
          </w:tblCellMar>
        </w:tblPrEx>
        <w:trPr>
          <w:trHeight w:val="972"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C08062B020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rPr>
            </w:pPr>
            <w:r>
              <w:rPr>
                <w:rFonts w:hint="eastAsia" w:ascii="宋体" w:hAnsi="宋体" w:cs="宋体"/>
                <w:kern w:val="0"/>
                <w:sz w:val="20"/>
              </w:rPr>
              <w:t>骗取低保资金和物资金额在48个月低保金以下的；</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处非法获取的救助款额或者物资价值2倍以上、3倍以下的罚款。</w:t>
            </w:r>
          </w:p>
        </w:tc>
      </w:tr>
      <w:tr>
        <w:tblPrEx>
          <w:tblCellMar>
            <w:top w:w="15" w:type="dxa"/>
            <w:left w:w="15" w:type="dxa"/>
            <w:bottom w:w="15" w:type="dxa"/>
            <w:right w:w="15" w:type="dxa"/>
          </w:tblCellMar>
        </w:tblPrEx>
        <w:trPr>
          <w:trHeight w:val="1324"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109</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C08078B000</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养老</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养老机构未与老年人或者其代理人签订服务协议的行为</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《养老机构管理办法》第十一条第一款</w:t>
            </w:r>
            <w:r>
              <w:rPr>
                <w:rFonts w:hint="eastAsia" w:ascii="宋体" w:hAnsi="宋体" w:cs="宋体"/>
                <w:kern w:val="0"/>
                <w:sz w:val="20"/>
              </w:rPr>
              <w:br w:type="textWrapping"/>
            </w:r>
            <w:r>
              <w:rPr>
                <w:rFonts w:hint="eastAsia" w:ascii="宋体" w:hAnsi="宋体" w:cs="宋体"/>
                <w:kern w:val="0"/>
                <w:sz w:val="20"/>
              </w:rPr>
              <w:t>　　</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《养老机构管理办法》第三十三条第（一）项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养老机构未与老年人或者其代理人签订服务协议，情节严重的。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处以3万元以下罚款。</w:t>
            </w:r>
          </w:p>
        </w:tc>
      </w:tr>
      <w:tr>
        <w:tblPrEx>
          <w:tblCellMar>
            <w:top w:w="15" w:type="dxa"/>
            <w:left w:w="15" w:type="dxa"/>
            <w:bottom w:w="15" w:type="dxa"/>
            <w:right w:w="15" w:type="dxa"/>
          </w:tblCellMar>
        </w:tblPrEx>
        <w:trPr>
          <w:trHeight w:val="1586"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110</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C08079B000</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养老</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养老机构与老年人或者其代理人签订服务协议不符合规定的行为</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《养老机构管理办法》第十一条第二款 </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《养老机构管理办法》第三十三条第（一）项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养老机构与老年人或者其代理人签订服务协议不符合规定，情节严重的。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处以3万元以下罚款。</w:t>
            </w:r>
          </w:p>
        </w:tc>
      </w:tr>
      <w:tr>
        <w:tblPrEx>
          <w:tblCellMar>
            <w:top w:w="15" w:type="dxa"/>
            <w:left w:w="15" w:type="dxa"/>
            <w:bottom w:w="15" w:type="dxa"/>
            <w:right w:w="15" w:type="dxa"/>
          </w:tblCellMar>
        </w:tblPrEx>
        <w:trPr>
          <w:trHeight w:val="2166"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111</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C08080B000</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养老</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养老机构未按照国家有关标准和规定开展服务的行为</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《养老机构管理办法》第十条、第十二条、第十三条第一款、第二款 、第十四条、第十五条、第十六条 </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《养老机构管理办法》第三十三条第（二）项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养老机构未按照国家有关标准和规定开展服务，情节严重的。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处以3万元以下罚款。</w:t>
            </w:r>
          </w:p>
        </w:tc>
      </w:tr>
      <w:tr>
        <w:tblPrEx>
          <w:tblCellMar>
            <w:top w:w="15" w:type="dxa"/>
            <w:left w:w="15" w:type="dxa"/>
            <w:bottom w:w="15" w:type="dxa"/>
            <w:right w:w="15" w:type="dxa"/>
          </w:tblCellMar>
        </w:tblPrEx>
        <w:trPr>
          <w:trHeight w:val="1540"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112</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C08081B000</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养老</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养老机构配备人员的资格不符合规定的行为</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《养老机构管理办法》第十八条第二款 </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《养老机构管理办法》第三十三条第（三）项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养老机构配备人员的资格不符合规定，情节严重的。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处以3万元以下罚款。</w:t>
            </w:r>
          </w:p>
        </w:tc>
      </w:tr>
      <w:tr>
        <w:tblPrEx>
          <w:tblCellMar>
            <w:top w:w="15" w:type="dxa"/>
            <w:left w:w="15" w:type="dxa"/>
            <w:bottom w:w="15" w:type="dxa"/>
            <w:right w:w="15" w:type="dxa"/>
          </w:tblCellMar>
        </w:tblPrEx>
        <w:trPr>
          <w:trHeight w:val="2287"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113</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C08082A000</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养老</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养老机构向负责监督检查的民政部门隐瞒有关情况、提供虚假材料或者拒绝提供反映其活动情况真实材料的行为</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《养老机构管理办法》第二十八条、第三十条</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《养老机构管理办法》第三十三条第（四）项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养老机构向负责监督检查的民政部门隐瞒有关情况、提供虚假材料或者拒绝提供反映其活动情况真实材料，情节严重的。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处以3万元以下罚款。</w:t>
            </w:r>
          </w:p>
        </w:tc>
      </w:tr>
      <w:tr>
        <w:tblPrEx>
          <w:tblCellMar>
            <w:top w:w="15" w:type="dxa"/>
            <w:left w:w="15" w:type="dxa"/>
            <w:bottom w:w="15" w:type="dxa"/>
            <w:right w:w="15" w:type="dxa"/>
          </w:tblCellMar>
        </w:tblPrEx>
        <w:trPr>
          <w:trHeight w:val="2002"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114</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C08083B000</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养老</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养老机构利用养老机构的房屋、场地、设施开展与养老服务宗旨无关的活动的行为</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《养老机构管理办法》第三十三条第（五）项</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《养老机构管理办法》第三十三条第（五）项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养老机构利用养老机构的房屋、场地、设施开展与养老服务宗旨无关的活动，情节严重的。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处以3万元以下罚款。</w:t>
            </w:r>
          </w:p>
        </w:tc>
      </w:tr>
      <w:tr>
        <w:tblPrEx>
          <w:tblCellMar>
            <w:top w:w="15" w:type="dxa"/>
            <w:left w:w="15" w:type="dxa"/>
            <w:bottom w:w="15" w:type="dxa"/>
            <w:right w:w="15" w:type="dxa"/>
          </w:tblCellMar>
        </w:tblPrEx>
        <w:trPr>
          <w:trHeight w:val="1646"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115</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C08084A000</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养老</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养老机构歧视、侮辱、虐待或遗弃老年人以及其他侵犯老年人合法权益的行为</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《养老机构管理办法》第四条第一款</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《养老机构管理办法》第三十三条第（六）项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养老机构歧视、侮辱、虐待或遗弃老年人以及其他侵犯老年人合法权益，情节严重的。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处以3万元以下罚款。</w:t>
            </w:r>
          </w:p>
        </w:tc>
      </w:tr>
      <w:tr>
        <w:tblPrEx>
          <w:tblCellMar>
            <w:top w:w="15" w:type="dxa"/>
            <w:left w:w="15" w:type="dxa"/>
            <w:bottom w:w="15" w:type="dxa"/>
            <w:right w:w="15" w:type="dxa"/>
          </w:tblCellMar>
        </w:tblPrEx>
        <w:trPr>
          <w:trHeight w:val="1263"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116</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C08085A000</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养老</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养老机构擅自暂停或者终止服务的行为</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《养老机构管理办法》第二十七条第一款</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《养老机构管理办法》第三十三条第（七）项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养老机构擅自暂停或者终止服务，情节严重的。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处以3万元以下罚款。</w:t>
            </w:r>
          </w:p>
        </w:tc>
      </w:tr>
      <w:tr>
        <w:tblPrEx>
          <w:tblCellMar>
            <w:top w:w="15" w:type="dxa"/>
            <w:left w:w="15" w:type="dxa"/>
            <w:bottom w:w="15" w:type="dxa"/>
            <w:right w:w="15" w:type="dxa"/>
          </w:tblCellMar>
        </w:tblPrEx>
        <w:trPr>
          <w:trHeight w:val="2657"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117</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C08086B000</w:t>
            </w: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养老</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养老机构存在法律、法规、规章规定的其他违法行为</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《养老机构管理办法》第十七条、第十八条第一款、第三款、第十九条第二款、第二十条、第二十一条、第二十二条、第二十三条、第二十五条、第二十六条 </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《养老机构管理办法》第三十三条第（八）项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养老机构存在法律、法规、规章规定的其他违法行为，情节严重的。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处以3万元以下罚款。</w:t>
            </w:r>
          </w:p>
        </w:tc>
      </w:tr>
      <w:tr>
        <w:tblPrEx>
          <w:tblCellMar>
            <w:top w:w="15" w:type="dxa"/>
            <w:left w:w="15" w:type="dxa"/>
            <w:bottom w:w="15" w:type="dxa"/>
            <w:right w:w="15" w:type="dxa"/>
          </w:tblCellMar>
        </w:tblPrEx>
        <w:trPr>
          <w:trHeight w:val="828"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118</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C08122A010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养老</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社区养老设施的管理者、使用者擅自改变政府投资或者资助建设、配置的养老设施功能和用途的行为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《北京市居家养老服务条例》第二十条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《北京市居家养老服务条例》第二十条</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擅自改变政府资助建设配置的养老设施和功能用途的。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可以处以10万元以上、40万元以下罚款。</w:t>
            </w:r>
          </w:p>
        </w:tc>
      </w:tr>
      <w:tr>
        <w:tblPrEx>
          <w:tblCellMar>
            <w:top w:w="15" w:type="dxa"/>
            <w:left w:w="15" w:type="dxa"/>
            <w:bottom w:w="15" w:type="dxa"/>
            <w:right w:w="15" w:type="dxa"/>
          </w:tblCellMar>
        </w:tblPrEx>
        <w:trPr>
          <w:trHeight w:val="73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C08122A020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擅自改变政府投资建设、配置的养老设施功能和用途的。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可以处以40万元以上、70万元以下罚款。</w:t>
            </w:r>
          </w:p>
        </w:tc>
      </w:tr>
      <w:tr>
        <w:tblPrEx>
          <w:tblCellMar>
            <w:top w:w="15" w:type="dxa"/>
            <w:left w:w="15" w:type="dxa"/>
            <w:bottom w:w="15" w:type="dxa"/>
            <w:right w:w="15" w:type="dxa"/>
          </w:tblCellMar>
        </w:tblPrEx>
        <w:trPr>
          <w:trHeight w:val="88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C08122A030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擅自改变政府投资或者资助建设、配置的养老设施功能和用途的，没有按照要求改正，情节严重的。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可以处以70万元以上、100万元以下罚款。</w:t>
            </w:r>
          </w:p>
        </w:tc>
      </w:tr>
      <w:tr>
        <w:tblPrEx>
          <w:tblCellMar>
            <w:top w:w="15" w:type="dxa"/>
            <w:left w:w="15" w:type="dxa"/>
            <w:bottom w:w="15" w:type="dxa"/>
            <w:right w:w="15" w:type="dxa"/>
          </w:tblCellMar>
        </w:tblPrEx>
        <w:trPr>
          <w:trHeight w:val="992"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119</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C08092C010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区划</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故意损毁或者擅自移动界桩的行为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《行政区域界线管理条例》第六条第一款、《北京市行政区域界线管理办法》第八条第一款、第九条第一款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《行政区域界线管理条例》第十七条、《北京市行政区域界线管理办法》第十七条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界桩破损程度较轻，可以修复的。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处以500元以上、800元以下的罚款。</w:t>
            </w:r>
          </w:p>
        </w:tc>
      </w:tr>
      <w:tr>
        <w:tblPrEx>
          <w:tblCellMar>
            <w:top w:w="15" w:type="dxa"/>
            <w:left w:w="15" w:type="dxa"/>
            <w:bottom w:w="15" w:type="dxa"/>
            <w:right w:w="15" w:type="dxa"/>
          </w:tblCellMar>
        </w:tblPrEx>
        <w:trPr>
          <w:trHeight w:val="99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C08092C020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界桩破损程度较重，不可以修复的；</w:t>
            </w:r>
            <w:r>
              <w:rPr>
                <w:rFonts w:hint="eastAsia" w:ascii="宋体" w:hAnsi="宋体" w:cs="宋体"/>
                <w:kern w:val="0"/>
                <w:sz w:val="20"/>
              </w:rPr>
              <w:br w:type="textWrapping"/>
            </w:r>
            <w:r>
              <w:rPr>
                <w:rFonts w:hint="eastAsia" w:ascii="宋体" w:hAnsi="宋体" w:cs="宋体"/>
                <w:kern w:val="0"/>
                <w:sz w:val="20"/>
              </w:rPr>
              <w:t>擅自移动界桩的。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处以800元以上、1000元以下罚款。</w:t>
            </w:r>
          </w:p>
        </w:tc>
      </w:tr>
      <w:tr>
        <w:tblPrEx>
          <w:tblCellMar>
            <w:top w:w="15" w:type="dxa"/>
            <w:left w:w="15" w:type="dxa"/>
            <w:bottom w:w="15" w:type="dxa"/>
            <w:right w:w="15" w:type="dxa"/>
          </w:tblCellMar>
        </w:tblPrEx>
        <w:trPr>
          <w:trHeight w:val="957"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120</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C08093C010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区划</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擅自增设、修复、恢复界桩的行为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《行政区域界线管理条例》第十七条、《行政区域界线界桩管理办法》第七条第一款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《行政区域界线管理条例》第十七条、《行政区域界线界桩管理办法》第十七条第一款</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擅自修复、恢复界桩的；</w:t>
            </w:r>
            <w:r>
              <w:rPr>
                <w:rFonts w:hint="eastAsia" w:ascii="宋体" w:hAnsi="宋体" w:cs="宋体"/>
                <w:kern w:val="0"/>
                <w:sz w:val="20"/>
              </w:rPr>
              <w:br w:type="textWrapping"/>
            </w:r>
            <w:r>
              <w:rPr>
                <w:rFonts w:hint="eastAsia" w:ascii="宋体" w:hAnsi="宋体" w:cs="宋体"/>
                <w:kern w:val="0"/>
                <w:sz w:val="20"/>
              </w:rPr>
              <w:t>擅自在行政区域界线上增设界桩的。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处以500元以下罚款。</w:t>
            </w:r>
          </w:p>
        </w:tc>
      </w:tr>
      <w:tr>
        <w:tblPrEx>
          <w:tblCellMar>
            <w:top w:w="15" w:type="dxa"/>
            <w:left w:w="15" w:type="dxa"/>
            <w:bottom w:w="15" w:type="dxa"/>
            <w:right w:w="15" w:type="dxa"/>
          </w:tblCellMar>
        </w:tblPrEx>
        <w:trPr>
          <w:trHeight w:val="88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C08093C020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擅自在行政区域界线外增设界桩的。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处以500元以上、1000元以下罚款。</w:t>
            </w:r>
          </w:p>
        </w:tc>
      </w:tr>
      <w:tr>
        <w:tblPrEx>
          <w:tblCellMar>
            <w:top w:w="15" w:type="dxa"/>
            <w:left w:w="15" w:type="dxa"/>
            <w:bottom w:w="15" w:type="dxa"/>
            <w:right w:w="15" w:type="dxa"/>
          </w:tblCellMar>
        </w:tblPrEx>
        <w:trPr>
          <w:trHeight w:val="968"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121</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C08094C010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区划</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故意损毁或者擅自移动其他行政区域界线标志物的行为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《行政区域界线管理条例》第十七条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《行政区域界线管理条例》第十七条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故意损毁其他行政区域界线标志物，行政区域界线标志物破损程度较轻，不影响标志界线功能的。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处以500元以下罚款。</w:t>
            </w:r>
          </w:p>
        </w:tc>
      </w:tr>
      <w:tr>
        <w:tblPrEx>
          <w:tblCellMar>
            <w:top w:w="15" w:type="dxa"/>
            <w:left w:w="15" w:type="dxa"/>
            <w:bottom w:w="15" w:type="dxa"/>
            <w:right w:w="15" w:type="dxa"/>
          </w:tblCellMar>
        </w:tblPrEx>
        <w:trPr>
          <w:trHeight w:val="106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C08094C020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故意损毁其他行政区域界线标志物，行政区域界线标志物破损程度较重，影响标志界线功能的；</w:t>
            </w:r>
            <w:r>
              <w:rPr>
                <w:rFonts w:hint="eastAsia" w:ascii="宋体" w:hAnsi="宋体" w:cs="宋体"/>
                <w:kern w:val="0"/>
                <w:sz w:val="20"/>
              </w:rPr>
              <w:br w:type="textWrapping"/>
            </w:r>
            <w:r>
              <w:rPr>
                <w:rFonts w:hint="eastAsia" w:ascii="宋体" w:hAnsi="宋体" w:cs="宋体"/>
                <w:kern w:val="0"/>
                <w:sz w:val="20"/>
              </w:rPr>
              <w:t>擅自移动其他行政区域界线标志物的。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处以500元以上、1000元以下罚款。</w:t>
            </w:r>
          </w:p>
        </w:tc>
      </w:tr>
      <w:tr>
        <w:tblPrEx>
          <w:tblCellMar>
            <w:top w:w="15" w:type="dxa"/>
            <w:left w:w="15" w:type="dxa"/>
            <w:bottom w:w="15" w:type="dxa"/>
            <w:right w:w="15" w:type="dxa"/>
          </w:tblCellMar>
        </w:tblPrEx>
        <w:trPr>
          <w:trHeight w:val="920"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122</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C08095C010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区划</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擅自编制行政区域界线详图的行为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《行政区域界线管理条例》第十四条第二款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《行政区域界线管理条例》第十八条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擅自编制行政区域界线详图，未对外发行的。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没收违法编制的行政区域界线详图，并处2000元以下罚款。</w:t>
            </w:r>
          </w:p>
        </w:tc>
      </w:tr>
      <w:tr>
        <w:tblPrEx>
          <w:tblCellMar>
            <w:top w:w="15" w:type="dxa"/>
            <w:left w:w="15" w:type="dxa"/>
            <w:bottom w:w="15" w:type="dxa"/>
            <w:right w:w="15" w:type="dxa"/>
          </w:tblCellMar>
        </w:tblPrEx>
        <w:trPr>
          <w:trHeight w:val="98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C08095C020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擅自编制行政区域界线详图，对外发行的。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没收违法编制的行政区域界线详图和违法所得，并处2000元以上、10000元以下罚款。</w:t>
            </w:r>
          </w:p>
        </w:tc>
      </w:tr>
      <w:tr>
        <w:tblPrEx>
          <w:tblCellMar>
            <w:top w:w="15" w:type="dxa"/>
            <w:left w:w="15" w:type="dxa"/>
            <w:bottom w:w="15" w:type="dxa"/>
            <w:right w:w="15" w:type="dxa"/>
          </w:tblCellMar>
        </w:tblPrEx>
        <w:trPr>
          <w:trHeight w:val="911"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123</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C08096C010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区划</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绘制的地图的行政区域界线的画法与行政区域界线详图的画法不一致的行为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《行政区域界线管理条例》第十四条第一款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《行政区域界线管理条例》第十八条</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绘制的地图的行政区域界线的画法与行政区域界线详图的画法不一致，未对外发行的。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没收违法编制的行政区域界线详图，并处2000元以下罚款。</w:t>
            </w:r>
          </w:p>
        </w:tc>
      </w:tr>
      <w:tr>
        <w:tblPrEx>
          <w:tblCellMar>
            <w:top w:w="15" w:type="dxa"/>
            <w:left w:w="15" w:type="dxa"/>
            <w:bottom w:w="15" w:type="dxa"/>
            <w:right w:w="15" w:type="dxa"/>
          </w:tblCellMar>
        </w:tblPrEx>
        <w:trPr>
          <w:trHeight w:val="91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C08096C020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绘制的地图的行政区域界线的画法与行政区域界线详图的画法不一致，对外发行的。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没收违法编制的行政区域界线详图和违法所得，并处2000元以上、10000元以下罚款。</w:t>
            </w:r>
          </w:p>
        </w:tc>
      </w:tr>
      <w:tr>
        <w:tblPrEx>
          <w:tblCellMar>
            <w:top w:w="15" w:type="dxa"/>
            <w:left w:w="15" w:type="dxa"/>
            <w:bottom w:w="15" w:type="dxa"/>
            <w:right w:w="15" w:type="dxa"/>
          </w:tblCellMar>
        </w:tblPrEx>
        <w:trPr>
          <w:trHeight w:val="92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124</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C08097C010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区划</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指使他人故意损毁或者擅自移动、增设、修复、恢复界桩的行为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《行政区域界线管理条例》第十七条、《行政区域界线界桩管理办法》第七条第一款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《行政区域界线管理条例》第十七条 、《行政区域界线界桩管理办法》第十七条第一款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指使他人擅自修复界桩的；</w:t>
            </w:r>
            <w:r>
              <w:rPr>
                <w:rFonts w:hint="eastAsia" w:ascii="宋体" w:hAnsi="宋体" w:cs="宋体"/>
                <w:kern w:val="0"/>
                <w:sz w:val="20"/>
              </w:rPr>
              <w:br w:type="textWrapping"/>
            </w:r>
            <w:r>
              <w:rPr>
                <w:rFonts w:hint="eastAsia" w:ascii="宋体" w:hAnsi="宋体" w:cs="宋体"/>
                <w:kern w:val="0"/>
                <w:sz w:val="20"/>
              </w:rPr>
              <w:t>指使他人擅自恢复界桩的。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处以500元以下罚款。</w:t>
            </w:r>
          </w:p>
        </w:tc>
      </w:tr>
      <w:tr>
        <w:tblPrEx>
          <w:tblCellMar>
            <w:top w:w="15" w:type="dxa"/>
            <w:left w:w="15" w:type="dxa"/>
            <w:bottom w:w="15" w:type="dxa"/>
            <w:right w:w="15" w:type="dxa"/>
          </w:tblCellMar>
        </w:tblPrEx>
        <w:trPr>
          <w:trHeight w:val="85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C08097C020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指使他人故意损毁界桩的；</w:t>
            </w:r>
            <w:r>
              <w:rPr>
                <w:rFonts w:hint="eastAsia" w:ascii="宋体" w:hAnsi="宋体" w:cs="宋体"/>
                <w:kern w:val="0"/>
                <w:sz w:val="20"/>
              </w:rPr>
              <w:br w:type="textWrapping"/>
            </w:r>
            <w:r>
              <w:rPr>
                <w:rFonts w:hint="eastAsia" w:ascii="宋体" w:hAnsi="宋体" w:cs="宋体"/>
                <w:kern w:val="0"/>
                <w:sz w:val="20"/>
              </w:rPr>
              <w:t>指使他人擅自移动界桩的；</w:t>
            </w:r>
            <w:r>
              <w:rPr>
                <w:rFonts w:hint="eastAsia" w:ascii="宋体" w:hAnsi="宋体" w:cs="宋体"/>
                <w:kern w:val="0"/>
                <w:sz w:val="20"/>
              </w:rPr>
              <w:br w:type="textWrapping"/>
            </w:r>
            <w:r>
              <w:rPr>
                <w:rFonts w:hint="eastAsia" w:ascii="宋体" w:hAnsi="宋体" w:cs="宋体"/>
                <w:kern w:val="0"/>
                <w:sz w:val="20"/>
              </w:rPr>
              <w:t>指使他人增设界桩的。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处以500元以上、1000元以下罚款。</w:t>
            </w:r>
          </w:p>
        </w:tc>
      </w:tr>
      <w:tr>
        <w:tblPrEx>
          <w:tblCellMar>
            <w:top w:w="15" w:type="dxa"/>
            <w:left w:w="15" w:type="dxa"/>
            <w:bottom w:w="15" w:type="dxa"/>
            <w:right w:w="15" w:type="dxa"/>
          </w:tblCellMar>
        </w:tblPrEx>
        <w:trPr>
          <w:trHeight w:val="1047"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125</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C08098B010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彩票</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彩票代销者委托他人代销彩票的行为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《彩票管理条例》第十五条第二款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《彩票管理条例》第四十一条第一款第（一）项</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初次被发现委托他人代销彩票的；</w:t>
            </w:r>
            <w:r>
              <w:rPr>
                <w:rFonts w:hint="eastAsia" w:ascii="宋体" w:hAnsi="宋体" w:cs="宋体"/>
                <w:kern w:val="0"/>
                <w:sz w:val="20"/>
              </w:rPr>
              <w:br w:type="textWrapping"/>
            </w:r>
            <w:r>
              <w:rPr>
                <w:rFonts w:hint="eastAsia" w:ascii="宋体" w:hAnsi="宋体" w:cs="宋体"/>
                <w:kern w:val="0"/>
                <w:sz w:val="20"/>
              </w:rPr>
              <w:t xml:space="preserve">具有其他情节轻微情形的。 </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处以2000元以上、5000元以下罚款，有违法所得的，没收违法所得。</w:t>
            </w:r>
          </w:p>
        </w:tc>
      </w:tr>
      <w:tr>
        <w:tblPrEx>
          <w:tblCellMar>
            <w:top w:w="15" w:type="dxa"/>
            <w:left w:w="15" w:type="dxa"/>
            <w:bottom w:w="15" w:type="dxa"/>
            <w:right w:w="15" w:type="dxa"/>
          </w:tblCellMar>
        </w:tblPrEx>
        <w:trPr>
          <w:trHeight w:val="92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C08098B020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多次委托他人代销彩票的；</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处以5000元以上、10000元以下罚款，有违法所得的，没收违法所得。</w:t>
            </w:r>
          </w:p>
        </w:tc>
      </w:tr>
      <w:tr>
        <w:tblPrEx>
          <w:tblCellMar>
            <w:top w:w="15" w:type="dxa"/>
            <w:left w:w="15" w:type="dxa"/>
            <w:bottom w:w="15" w:type="dxa"/>
            <w:right w:w="15" w:type="dxa"/>
          </w:tblCellMar>
        </w:tblPrEx>
        <w:trPr>
          <w:trHeight w:val="1094"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126</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C08099B010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彩票</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彩票代销者转借、出租、出售彩票投注专用设备的行为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《彩票管理条例》第十六条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《彩票管理条例》第四十一条第一款第（一）项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初次被发现转借、出租、出售彩票投注专用设备的；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处以2000元以上、5000元以下罚款，有违法所得的，没收违法所得。</w:t>
            </w:r>
          </w:p>
        </w:tc>
      </w:tr>
      <w:tr>
        <w:tblPrEx>
          <w:tblCellMar>
            <w:top w:w="15" w:type="dxa"/>
            <w:left w:w="15" w:type="dxa"/>
            <w:bottom w:w="15" w:type="dxa"/>
            <w:right w:w="15" w:type="dxa"/>
          </w:tblCellMar>
        </w:tblPrEx>
        <w:trPr>
          <w:trHeight w:val="113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C08099B020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多次转借、出租、出售彩票投注专用设备的； </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处以5000元以上、10000元以下罚款，有违法所得的，没收违法所得。</w:t>
            </w:r>
          </w:p>
        </w:tc>
      </w:tr>
      <w:tr>
        <w:tblPrEx>
          <w:tblCellMar>
            <w:top w:w="15" w:type="dxa"/>
            <w:left w:w="15" w:type="dxa"/>
            <w:bottom w:w="15" w:type="dxa"/>
            <w:right w:w="15" w:type="dxa"/>
          </w:tblCellMar>
        </w:tblPrEx>
        <w:trPr>
          <w:trHeight w:val="904"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127</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C08100B010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彩票</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彩票代销者进行虚假性、误导性宣传的行为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《彩票管理条例》第十八条第(一)项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《彩票管理条例》第四十一条第一款第（二）项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初次被发现进行虚假性、误导性宣传的；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处以2000元以上、5000元以下罚款，有违法所得的，没收违法所得。</w:t>
            </w:r>
          </w:p>
        </w:tc>
      </w:tr>
      <w:tr>
        <w:tblPrEx>
          <w:tblCellMar>
            <w:top w:w="15" w:type="dxa"/>
            <w:left w:w="15" w:type="dxa"/>
            <w:bottom w:w="15" w:type="dxa"/>
            <w:right w:w="15" w:type="dxa"/>
          </w:tblCellMar>
        </w:tblPrEx>
        <w:trPr>
          <w:trHeight w:val="91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C08100B020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多次进行虚假性、误导性宣传的；</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处以5000元以上、10000元以下罚款，有违法所得的，没收违法所得。</w:t>
            </w:r>
          </w:p>
        </w:tc>
      </w:tr>
      <w:tr>
        <w:tblPrEx>
          <w:tblCellMar>
            <w:top w:w="15" w:type="dxa"/>
            <w:left w:w="15" w:type="dxa"/>
            <w:bottom w:w="15" w:type="dxa"/>
            <w:right w:w="15" w:type="dxa"/>
          </w:tblCellMar>
        </w:tblPrEx>
        <w:trPr>
          <w:trHeight w:val="883"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128</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C08101B010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彩票</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彩票代销者以诋毁同业者等手段进行不正当竞争的行为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《彩票管理条例》第十八条第(二)项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《彩票管理条例》第四十一条第一款第（三）项</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初次被发现以诋毁同业者等手段进行不正当竞争的；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处以2000元以上、5000元以下罚款，有违法所得的，没收违法所得。</w:t>
            </w:r>
          </w:p>
        </w:tc>
      </w:tr>
      <w:tr>
        <w:tblPrEx>
          <w:tblCellMar>
            <w:top w:w="15" w:type="dxa"/>
            <w:left w:w="15" w:type="dxa"/>
            <w:bottom w:w="15" w:type="dxa"/>
            <w:right w:w="15" w:type="dxa"/>
          </w:tblCellMar>
        </w:tblPrEx>
        <w:trPr>
          <w:trHeight w:val="78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C08101B020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多次诋毁同业者等手段进行不正当竞争的；</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处以5000元以上、10000元以下罚款，有违法所得的，没收违法所得。</w:t>
            </w:r>
          </w:p>
        </w:tc>
      </w:tr>
      <w:tr>
        <w:tblPrEx>
          <w:tblCellMar>
            <w:top w:w="15" w:type="dxa"/>
            <w:left w:w="15" w:type="dxa"/>
            <w:bottom w:w="15" w:type="dxa"/>
            <w:right w:w="15" w:type="dxa"/>
          </w:tblCellMar>
        </w:tblPrEx>
        <w:trPr>
          <w:trHeight w:val="81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129</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C08102B010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彩票</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彩票代销者向未成年人销售彩票的行为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《彩票管理条例》第十八条第(三)项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《彩票管理条例》第四十一条第一款第（四）项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初次被发现向未成年人销售彩票的；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处以2000元以上、5000元以下罚款，有违法所得的，没收违法所得。</w:t>
            </w:r>
          </w:p>
        </w:tc>
      </w:tr>
      <w:tr>
        <w:tblPrEx>
          <w:tblCellMar>
            <w:top w:w="15" w:type="dxa"/>
            <w:left w:w="15" w:type="dxa"/>
            <w:bottom w:w="15" w:type="dxa"/>
            <w:right w:w="15" w:type="dxa"/>
          </w:tblCellMar>
        </w:tblPrEx>
        <w:trPr>
          <w:trHeight w:val="88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C08102B020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多次向未成年人其销售彩票的；</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处以5000元以上、10000元以下罚款，有违法所得的，没收违法所得。</w:t>
            </w:r>
          </w:p>
        </w:tc>
      </w:tr>
      <w:tr>
        <w:tblPrEx>
          <w:tblCellMar>
            <w:top w:w="15" w:type="dxa"/>
            <w:left w:w="15" w:type="dxa"/>
            <w:bottom w:w="15" w:type="dxa"/>
            <w:right w:w="15" w:type="dxa"/>
          </w:tblCellMar>
        </w:tblPrEx>
        <w:trPr>
          <w:trHeight w:val="889"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130</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C08103B010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彩票</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彩票代销者以赊销或者信用方式销售彩票的行为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《彩票管理条例》第十八条第(四)项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《彩票管理条例》第四十一条第一款（五）项 </w:t>
            </w: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以赊销或者信用方式销售彩票金额累计5000元以下的；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处以2000元以上5000元以下罚款，有违法所得的，没收违法所得。</w:t>
            </w:r>
          </w:p>
        </w:tc>
      </w:tr>
      <w:tr>
        <w:tblPrEx>
          <w:tblCellMar>
            <w:top w:w="15" w:type="dxa"/>
            <w:left w:w="15" w:type="dxa"/>
            <w:bottom w:w="15" w:type="dxa"/>
            <w:right w:w="15" w:type="dxa"/>
          </w:tblCellMar>
        </w:tblPrEx>
        <w:trPr>
          <w:trHeight w:val="94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宋体"/>
                <w:sz w:val="20"/>
              </w:rPr>
            </w:pPr>
            <w:r>
              <w:rPr>
                <w:rFonts w:hint="eastAsia" w:ascii="宋体" w:hAnsi="宋体" w:cs="宋体"/>
                <w:kern w:val="0"/>
                <w:sz w:val="20"/>
              </w:rPr>
              <w:t>C08103B020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以赊销或者信用方式销售彩票金额累计5000元以上的；</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sz w:val="20"/>
              </w:rPr>
            </w:pPr>
            <w:r>
              <w:rPr>
                <w:rFonts w:hint="eastAsia" w:ascii="宋体" w:hAnsi="宋体" w:cs="宋体"/>
                <w:kern w:val="0"/>
                <w:sz w:val="20"/>
              </w:rPr>
              <w:t>处以5000元以上、10000元以下罚款，有违法所得的，没收违法所得。</w:t>
            </w:r>
          </w:p>
        </w:tc>
      </w:tr>
      <w:tr>
        <w:tblPrEx>
          <w:tblCellMar>
            <w:top w:w="15" w:type="dxa"/>
            <w:left w:w="15" w:type="dxa"/>
            <w:bottom w:w="15" w:type="dxa"/>
            <w:right w:w="15" w:type="dxa"/>
          </w:tblCellMar>
        </w:tblPrEx>
        <w:trPr>
          <w:trHeight w:val="561" w:hRule="atLeast"/>
          <w:jc w:val="center"/>
        </w:trPr>
        <w:tc>
          <w:tcPr>
            <w:tcW w:w="13970" w:type="dxa"/>
            <w:gridSpan w:val="8"/>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cs="宋体"/>
                <w:kern w:val="0"/>
                <w:sz w:val="20"/>
              </w:rPr>
            </w:pPr>
            <w:r>
              <w:rPr>
                <w:rFonts w:hint="eastAsia" w:ascii="宋体" w:hAnsi="宋体" w:cs="宋体"/>
                <w:kern w:val="0"/>
                <w:sz w:val="20"/>
              </w:rPr>
              <w:t>备注：“；”是或的意思。在违法情节栏中，当事人违法行为符合其中之一的条件时，即可采用该裁量阶次进行裁量。</w:t>
            </w:r>
          </w:p>
        </w:tc>
      </w:tr>
    </w:tbl>
    <w:p/>
    <w:sectPr>
      <w:pgSz w:w="16838" w:h="11906" w:orient="landscape"/>
      <w:pgMar w:top="1800" w:right="1440" w:bottom="1800" w:left="144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Garamond">
    <w:altName w:val="PMingLiU-ExtB"/>
    <w:panose1 w:val="02020404030301010803"/>
    <w:charset w:val="00"/>
    <w:family w:val="roman"/>
    <w:pitch w:val="default"/>
    <w:sig w:usb0="00000000" w:usb1="00000000" w:usb2="00000000" w:usb3="00000000" w:csb0="0000009F" w:csb1="00000000"/>
  </w:font>
  <w:font w:name="Roman PS">
    <w:altName w:val="Times New Roman"/>
    <w:panose1 w:val="00000000000000000000"/>
    <w:charset w:val="00"/>
    <w:family w:val="roman"/>
    <w:pitch w:val="default"/>
    <w:sig w:usb0="00000000" w:usb1="00000000" w:usb2="00000000" w:usb3="00000000" w:csb0="00000001" w:csb1="00000000"/>
  </w:font>
  <w:font w:name="方正黑体简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8FE"/>
    <w:rsid w:val="00281F1C"/>
    <w:rsid w:val="003E1B58"/>
    <w:rsid w:val="003E68FE"/>
    <w:rsid w:val="0072652D"/>
    <w:rsid w:val="00EE2080"/>
    <w:rsid w:val="00F96557"/>
    <w:rsid w:val="057734C5"/>
    <w:rsid w:val="2EBD65B0"/>
    <w:rsid w:val="57052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0"/>
      <w:lang w:val="en-US" w:eastAsia="zh-CN" w:bidi="ar-SA"/>
    </w:rPr>
  </w:style>
  <w:style w:type="paragraph" w:styleId="2">
    <w:name w:val="heading 1"/>
    <w:basedOn w:val="1"/>
    <w:next w:val="1"/>
    <w:link w:val="25"/>
    <w:qFormat/>
    <w:uiPriority w:val="0"/>
    <w:pPr>
      <w:keepNext/>
      <w:keepLines/>
      <w:spacing w:before="200" w:after="200" w:line="140" w:lineRule="exact"/>
      <w:jc w:val="center"/>
      <w:outlineLvl w:val="0"/>
    </w:pPr>
    <w:rPr>
      <w:rFonts w:ascii="华文中宋" w:hAnsi="华文中宋" w:eastAsia="华文中宋"/>
      <w:b/>
      <w:bCs/>
      <w:kern w:val="44"/>
      <w:sz w:val="44"/>
      <w:szCs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Salutation"/>
    <w:basedOn w:val="1"/>
    <w:next w:val="1"/>
    <w:link w:val="28"/>
    <w:qFormat/>
    <w:uiPriority w:val="0"/>
    <w:rPr>
      <w:rFonts w:ascii="Garamond" w:hAnsi="Garamond" w:eastAsia="宋体"/>
      <w:sz w:val="20"/>
      <w:lang w:val="en-US" w:eastAsia="zh-CN"/>
    </w:rPr>
  </w:style>
  <w:style w:type="paragraph" w:styleId="4">
    <w:name w:val="Closing"/>
    <w:basedOn w:val="1"/>
    <w:link w:val="27"/>
    <w:qFormat/>
    <w:uiPriority w:val="0"/>
    <w:pPr>
      <w:ind w:left="100"/>
    </w:pPr>
    <w:rPr>
      <w:rFonts w:ascii="Garamond" w:hAnsi="Garamond" w:eastAsia="宋体"/>
      <w:sz w:val="20"/>
      <w:lang w:val="en-US" w:eastAsia="zh-CN"/>
    </w:rPr>
  </w:style>
  <w:style w:type="paragraph" w:styleId="5">
    <w:name w:val="Body Text"/>
    <w:basedOn w:val="1"/>
    <w:link w:val="26"/>
    <w:qFormat/>
    <w:uiPriority w:val="0"/>
    <w:pPr>
      <w:jc w:val="center"/>
    </w:pPr>
    <w:rPr>
      <w:rFonts w:ascii="Times New Roman" w:eastAsia="宋体"/>
      <w:b/>
    </w:rPr>
  </w:style>
  <w:style w:type="paragraph" w:styleId="6">
    <w:name w:val="Body Text Indent"/>
    <w:basedOn w:val="1"/>
    <w:link w:val="30"/>
    <w:qFormat/>
    <w:uiPriority w:val="0"/>
    <w:pPr>
      <w:ind w:firstLine="480"/>
    </w:pPr>
    <w:rPr>
      <w:sz w:val="28"/>
    </w:rPr>
  </w:style>
  <w:style w:type="paragraph" w:styleId="7">
    <w:name w:val="Plain Text"/>
    <w:basedOn w:val="1"/>
    <w:link w:val="29"/>
    <w:qFormat/>
    <w:uiPriority w:val="0"/>
    <w:rPr>
      <w:rFonts w:ascii="宋体" w:hAnsi="Courier New" w:eastAsia="宋体"/>
      <w:sz w:val="21"/>
    </w:rPr>
  </w:style>
  <w:style w:type="paragraph" w:styleId="8">
    <w:name w:val="Date"/>
    <w:basedOn w:val="1"/>
    <w:next w:val="1"/>
    <w:link w:val="32"/>
    <w:qFormat/>
    <w:uiPriority w:val="0"/>
  </w:style>
  <w:style w:type="paragraph" w:styleId="9">
    <w:name w:val="Body Text Indent 2"/>
    <w:basedOn w:val="1"/>
    <w:link w:val="31"/>
    <w:qFormat/>
    <w:uiPriority w:val="0"/>
    <w:pPr>
      <w:spacing w:line="540" w:lineRule="exact"/>
      <w:ind w:firstLine="555"/>
    </w:pPr>
    <w:rPr>
      <w:spacing w:val="-14"/>
      <w:sz w:val="30"/>
    </w:rPr>
  </w:style>
  <w:style w:type="paragraph" w:styleId="10">
    <w:name w:val="Balloon Text"/>
    <w:basedOn w:val="1"/>
    <w:link w:val="33"/>
    <w:semiHidden/>
    <w:qFormat/>
    <w:uiPriority w:val="99"/>
    <w:rPr>
      <w:sz w:val="18"/>
      <w:szCs w:val="18"/>
    </w:rPr>
  </w:style>
  <w:style w:type="paragraph" w:styleId="11">
    <w:name w:val="footer"/>
    <w:basedOn w:val="1"/>
    <w:link w:val="24"/>
    <w:unhideWhenUsed/>
    <w:qFormat/>
    <w:uiPriority w:val="0"/>
    <w:pPr>
      <w:tabs>
        <w:tab w:val="center" w:pos="4153"/>
        <w:tab w:val="right" w:pos="8306"/>
      </w:tabs>
      <w:snapToGrid w:val="0"/>
      <w:jc w:val="left"/>
    </w:pPr>
    <w:rPr>
      <w:sz w:val="18"/>
      <w:szCs w:val="18"/>
    </w:rPr>
  </w:style>
  <w:style w:type="paragraph" w:styleId="12">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link w:val="34"/>
    <w:qFormat/>
    <w:uiPriority w:val="0"/>
    <w:pPr>
      <w:spacing w:line="600" w:lineRule="exact"/>
      <w:ind w:firstLine="600"/>
    </w:pPr>
    <w:rPr>
      <w:rFonts w:ascii="Roman PS" w:hAnsi="Roman PS" w:eastAsia="方正黑体简体"/>
    </w:rPr>
  </w:style>
  <w:style w:type="paragraph" w:styleId="14">
    <w:name w:val="Body Text 2"/>
    <w:basedOn w:val="1"/>
    <w:link w:val="35"/>
    <w:qFormat/>
    <w:uiPriority w:val="0"/>
    <w:rPr>
      <w:rFonts w:ascii="Times New Roman" w:eastAsia="宋体"/>
    </w:rPr>
  </w:style>
  <w:style w:type="paragraph" w:styleId="1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7">
    <w:name w:val="Table Grid"/>
    <w:basedOn w:val="1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bCs/>
    </w:rPr>
  </w:style>
  <w:style w:type="character" w:styleId="20">
    <w:name w:val="page number"/>
    <w:basedOn w:val="18"/>
    <w:qFormat/>
    <w:uiPriority w:val="99"/>
  </w:style>
  <w:style w:type="character" w:styleId="21">
    <w:name w:val="Hyperlink"/>
    <w:basedOn w:val="18"/>
    <w:qFormat/>
    <w:uiPriority w:val="0"/>
    <w:rPr>
      <w:color w:val="0000FF"/>
      <w:u w:val="single"/>
    </w:rPr>
  </w:style>
  <w:style w:type="character" w:styleId="22">
    <w:name w:val="annotation reference"/>
    <w:basedOn w:val="18"/>
    <w:semiHidden/>
    <w:qFormat/>
    <w:uiPriority w:val="0"/>
    <w:rPr>
      <w:sz w:val="21"/>
      <w:szCs w:val="21"/>
    </w:rPr>
  </w:style>
  <w:style w:type="character" w:customStyle="1" w:styleId="23">
    <w:name w:val="页眉 Char"/>
    <w:basedOn w:val="18"/>
    <w:link w:val="12"/>
    <w:qFormat/>
    <w:uiPriority w:val="0"/>
    <w:rPr>
      <w:sz w:val="18"/>
      <w:szCs w:val="18"/>
    </w:rPr>
  </w:style>
  <w:style w:type="character" w:customStyle="1" w:styleId="24">
    <w:name w:val="页脚 Char"/>
    <w:basedOn w:val="18"/>
    <w:link w:val="11"/>
    <w:qFormat/>
    <w:uiPriority w:val="99"/>
    <w:rPr>
      <w:sz w:val="18"/>
      <w:szCs w:val="18"/>
    </w:rPr>
  </w:style>
  <w:style w:type="character" w:customStyle="1" w:styleId="25">
    <w:name w:val="标题 1 Char"/>
    <w:basedOn w:val="18"/>
    <w:link w:val="2"/>
    <w:qFormat/>
    <w:uiPriority w:val="0"/>
    <w:rPr>
      <w:rFonts w:ascii="华文中宋" w:hAnsi="华文中宋" w:eastAsia="华文中宋" w:cs="Times New Roman"/>
      <w:b/>
      <w:bCs/>
      <w:kern w:val="44"/>
      <w:sz w:val="44"/>
      <w:szCs w:val="44"/>
    </w:rPr>
  </w:style>
  <w:style w:type="character" w:customStyle="1" w:styleId="26">
    <w:name w:val="正文文本 Char"/>
    <w:basedOn w:val="18"/>
    <w:link w:val="5"/>
    <w:qFormat/>
    <w:uiPriority w:val="0"/>
    <w:rPr>
      <w:rFonts w:ascii="Times New Roman" w:hAnsi="Times New Roman" w:eastAsia="宋体" w:cs="Times New Roman"/>
      <w:b/>
      <w:sz w:val="32"/>
      <w:szCs w:val="20"/>
    </w:rPr>
  </w:style>
  <w:style w:type="character" w:customStyle="1" w:styleId="27">
    <w:name w:val="结束语 Char"/>
    <w:basedOn w:val="18"/>
    <w:link w:val="4"/>
    <w:qFormat/>
    <w:uiPriority w:val="0"/>
    <w:rPr>
      <w:rFonts w:ascii="Garamond" w:hAnsi="Garamond" w:eastAsia="宋体" w:cs="Times New Roman"/>
      <w:sz w:val="20"/>
      <w:szCs w:val="20"/>
      <w:lang w:val="en-US" w:eastAsia="zh-CN"/>
    </w:rPr>
  </w:style>
  <w:style w:type="character" w:customStyle="1" w:styleId="28">
    <w:name w:val="称呼 Char"/>
    <w:basedOn w:val="18"/>
    <w:link w:val="3"/>
    <w:qFormat/>
    <w:uiPriority w:val="0"/>
    <w:rPr>
      <w:rFonts w:ascii="Garamond" w:hAnsi="Garamond" w:eastAsia="宋体" w:cs="Times New Roman"/>
      <w:sz w:val="20"/>
      <w:szCs w:val="20"/>
      <w:lang w:val="en-US" w:eastAsia="zh-CN"/>
    </w:rPr>
  </w:style>
  <w:style w:type="character" w:customStyle="1" w:styleId="29">
    <w:name w:val="纯文本 Char"/>
    <w:basedOn w:val="18"/>
    <w:link w:val="7"/>
    <w:qFormat/>
    <w:uiPriority w:val="0"/>
    <w:rPr>
      <w:rFonts w:ascii="宋体" w:hAnsi="Courier New" w:eastAsia="宋体" w:cs="Times New Roman"/>
      <w:szCs w:val="20"/>
    </w:rPr>
  </w:style>
  <w:style w:type="character" w:customStyle="1" w:styleId="30">
    <w:name w:val="正文文本缩进 Char"/>
    <w:basedOn w:val="18"/>
    <w:link w:val="6"/>
    <w:qFormat/>
    <w:uiPriority w:val="0"/>
    <w:rPr>
      <w:rFonts w:ascii="仿宋_GB2312" w:hAnsi="Times New Roman" w:eastAsia="仿宋_GB2312" w:cs="Times New Roman"/>
      <w:sz w:val="28"/>
      <w:szCs w:val="20"/>
    </w:rPr>
  </w:style>
  <w:style w:type="character" w:customStyle="1" w:styleId="31">
    <w:name w:val="正文文本缩进 2 Char"/>
    <w:basedOn w:val="18"/>
    <w:link w:val="9"/>
    <w:qFormat/>
    <w:uiPriority w:val="0"/>
    <w:rPr>
      <w:rFonts w:ascii="仿宋_GB2312" w:hAnsi="Times New Roman" w:eastAsia="仿宋_GB2312" w:cs="Times New Roman"/>
      <w:spacing w:val="-14"/>
      <w:sz w:val="30"/>
      <w:szCs w:val="20"/>
    </w:rPr>
  </w:style>
  <w:style w:type="character" w:customStyle="1" w:styleId="32">
    <w:name w:val="日期 Char"/>
    <w:basedOn w:val="18"/>
    <w:link w:val="8"/>
    <w:qFormat/>
    <w:uiPriority w:val="0"/>
    <w:rPr>
      <w:rFonts w:ascii="仿宋_GB2312" w:hAnsi="Times New Roman" w:eastAsia="仿宋_GB2312" w:cs="Times New Roman"/>
      <w:sz w:val="32"/>
      <w:szCs w:val="20"/>
    </w:rPr>
  </w:style>
  <w:style w:type="character" w:customStyle="1" w:styleId="33">
    <w:name w:val="批注框文本 Char"/>
    <w:basedOn w:val="18"/>
    <w:link w:val="10"/>
    <w:semiHidden/>
    <w:qFormat/>
    <w:uiPriority w:val="99"/>
    <w:rPr>
      <w:rFonts w:ascii="仿宋_GB2312" w:hAnsi="Times New Roman" w:eastAsia="仿宋_GB2312" w:cs="Times New Roman"/>
      <w:sz w:val="18"/>
      <w:szCs w:val="18"/>
    </w:rPr>
  </w:style>
  <w:style w:type="character" w:customStyle="1" w:styleId="34">
    <w:name w:val="正文文本缩进 3 Char"/>
    <w:basedOn w:val="18"/>
    <w:link w:val="13"/>
    <w:qFormat/>
    <w:uiPriority w:val="0"/>
    <w:rPr>
      <w:rFonts w:ascii="Roman PS" w:hAnsi="Roman PS" w:eastAsia="方正黑体简体" w:cs="Times New Roman"/>
      <w:sz w:val="32"/>
      <w:szCs w:val="20"/>
    </w:rPr>
  </w:style>
  <w:style w:type="character" w:customStyle="1" w:styleId="35">
    <w:name w:val="正文文本 2 Char"/>
    <w:basedOn w:val="18"/>
    <w:link w:val="14"/>
    <w:qFormat/>
    <w:uiPriority w:val="0"/>
    <w:rPr>
      <w:rFonts w:ascii="Times New Roman" w:hAnsi="Times New Roman" w:eastAsia="宋体" w:cs="Times New Roman"/>
      <w:sz w:val="32"/>
      <w:szCs w:val="20"/>
    </w:rPr>
  </w:style>
  <w:style w:type="paragraph" w:customStyle="1" w:styleId="36">
    <w:name w:val="默认段落字体 Para Char"/>
    <w:basedOn w:val="1"/>
    <w:qFormat/>
    <w:uiPriority w:val="0"/>
    <w:pPr>
      <w:adjustRightInd w:val="0"/>
      <w:spacing w:line="360" w:lineRule="auto"/>
    </w:pPr>
    <w:rPr>
      <w:rFonts w:ascii="Times New Roman" w:eastAsia="宋体"/>
      <w:kern w:val="0"/>
      <w:sz w:val="21"/>
    </w:rPr>
  </w:style>
  <w:style w:type="paragraph" w:customStyle="1" w:styleId="37">
    <w:name w:val="Char Char1 Char Char Char Char Char Char"/>
    <w:basedOn w:val="1"/>
    <w:qFormat/>
    <w:uiPriority w:val="0"/>
    <w:pPr>
      <w:widowControl/>
      <w:spacing w:after="160" w:line="240" w:lineRule="exact"/>
      <w:jc w:val="left"/>
    </w:pPr>
    <w:rPr>
      <w:rFonts w:ascii="Times New Roman" w:eastAsia="宋体"/>
      <w:sz w:val="21"/>
    </w:rPr>
  </w:style>
  <w:style w:type="paragraph" w:customStyle="1" w:styleId="38">
    <w:name w:val="Char Char Char1 Char Char Char Char"/>
    <w:basedOn w:val="1"/>
    <w:qFormat/>
    <w:uiPriority w:val="0"/>
    <w:rPr>
      <w:rFonts w:ascii="Tahoma" w:hAnsi="Tahoma" w:eastAsia="宋体"/>
      <w:sz w:val="24"/>
    </w:rPr>
  </w:style>
  <w:style w:type="paragraph" w:customStyle="1" w:styleId="39">
    <w:name w:val="标题5"/>
    <w:basedOn w:val="1"/>
    <w:qFormat/>
    <w:uiPriority w:val="0"/>
    <w:pPr>
      <w:overflowPunct w:val="0"/>
      <w:spacing w:line="600" w:lineRule="exact"/>
      <w:ind w:firstLine="640" w:firstLineChars="200"/>
      <w:outlineLvl w:val="4"/>
    </w:pPr>
    <w:rPr>
      <w:bCs/>
      <w:szCs w:val="32"/>
    </w:rPr>
  </w:style>
  <w:style w:type="paragraph" w:customStyle="1" w:styleId="40">
    <w:name w:val=" Char"/>
    <w:basedOn w:val="1"/>
    <w:qFormat/>
    <w:uiPriority w:val="0"/>
    <w:pPr>
      <w:adjustRightInd w:val="0"/>
      <w:spacing w:line="360" w:lineRule="auto"/>
    </w:pPr>
    <w:rPr>
      <w:rFonts w:ascii="Times New Roman" w:eastAsia="宋体"/>
      <w:kern w:val="0"/>
      <w:sz w:val="21"/>
    </w:rPr>
  </w:style>
  <w:style w:type="paragraph" w:customStyle="1" w:styleId="41">
    <w:name w:val="p0"/>
    <w:basedOn w:val="1"/>
    <w:qFormat/>
    <w:uiPriority w:val="0"/>
    <w:pPr>
      <w:widowControl/>
    </w:pPr>
    <w:rPr>
      <w:rFonts w:ascii="Times New Roman" w:eastAsia="宋体"/>
      <w:kern w:val="0"/>
      <w:sz w:val="21"/>
      <w:szCs w:val="21"/>
    </w:rPr>
  </w:style>
  <w:style w:type="character" w:customStyle="1" w:styleId="42">
    <w:name w:val="15"/>
    <w:basedOn w:val="18"/>
    <w:qFormat/>
    <w:uiPriority w:val="0"/>
    <w:rPr>
      <w:rFonts w:hint="eastAsia" w:ascii="仿宋_GB2312" w:eastAsia="仿宋_GB2312"/>
      <w:sz w:val="32"/>
      <w:szCs w:val="32"/>
    </w:rPr>
  </w:style>
  <w:style w:type="character" w:customStyle="1" w:styleId="43">
    <w:name w:val="16"/>
    <w:basedOn w:val="18"/>
    <w:qFormat/>
    <w:uiPriority w:val="0"/>
    <w:rPr>
      <w:rFonts w:hint="default" w:ascii="Times New Roman" w:hAnsi="Times New Roman" w:cs="Times New Roman"/>
      <w:b/>
      <w:bCs/>
    </w:rPr>
  </w:style>
  <w:style w:type="paragraph" w:customStyle="1" w:styleId="44">
    <w:name w:val="样式"/>
    <w:qFormat/>
    <w:uiPriority w:val="0"/>
    <w:pPr>
      <w:widowControl w:val="0"/>
      <w:autoSpaceDE w:val="0"/>
      <w:autoSpaceDN w:val="0"/>
      <w:adjustRightInd w:val="0"/>
    </w:pPr>
    <w:rPr>
      <w:rFonts w:ascii="Times New Roman" w:hAnsi="Times New Roman" w:eastAsia="宋体" w:cs="Times New Roman"/>
      <w:kern w:val="0"/>
      <w:sz w:val="24"/>
      <w:szCs w:val="24"/>
      <w:lang w:val="en-US" w:eastAsia="zh-CN" w:bidi="ar-SA"/>
    </w:rPr>
  </w:style>
  <w:style w:type="paragraph" w:customStyle="1" w:styleId="45">
    <w:name w:val=" Char Char Char Char Char Char"/>
    <w:basedOn w:val="1"/>
    <w:qFormat/>
    <w:uiPriority w:val="0"/>
    <w:rPr>
      <w:rFonts w:ascii="宋体" w:hAnsi="宋体" w:eastAsia="楷体_GB2312" w:cs="Courier New"/>
      <w:szCs w:val="32"/>
    </w:rPr>
  </w:style>
  <w:style w:type="character" w:customStyle="1" w:styleId="46">
    <w:name w:val="font11"/>
    <w:basedOn w:val="18"/>
    <w:qFormat/>
    <w:uiPriority w:val="0"/>
    <w:rPr>
      <w:rFonts w:hint="eastAsia" w:ascii="宋体" w:hAnsi="宋体" w:eastAsia="宋体" w:cs="宋体"/>
      <w:color w:val="000000"/>
      <w:kern w:val="2"/>
      <w:sz w:val="21"/>
      <w:szCs w:val="21"/>
      <w:u w:val="none"/>
    </w:rPr>
  </w:style>
  <w:style w:type="character" w:customStyle="1" w:styleId="47">
    <w:name w:val="content1"/>
    <w:basedOn w:val="18"/>
    <w:qFormat/>
    <w:uiPriority w:val="0"/>
    <w:rPr>
      <w:rFonts w:ascii="宋体" w:hAnsi="宋体" w:eastAsia="楷体_GB2312" w:cs="Courier New"/>
      <w:kern w:val="2"/>
      <w:sz w:val="18"/>
      <w:szCs w:val="18"/>
    </w:rPr>
  </w:style>
  <w:style w:type="paragraph" w:customStyle="1" w:styleId="48">
    <w:name w:val="Char Char Char Char Char Char Char Char Char Char Char Char Char Char Char Char Char Char Char"/>
    <w:basedOn w:val="1"/>
    <w:qFormat/>
    <w:uiPriority w:val="0"/>
    <w:pPr>
      <w:widowControl/>
      <w:spacing w:line="300" w:lineRule="auto"/>
      <w:ind w:firstLine="200" w:firstLineChars="200"/>
    </w:pPr>
    <w:rPr>
      <w:rFonts w:ascii="Verdana" w:hAnsi="Verdana"/>
      <w:kern w:val="0"/>
      <w:lang w:eastAsia="en-US"/>
    </w:rPr>
  </w:style>
  <w:style w:type="paragraph" w:customStyle="1" w:styleId="49">
    <w:name w:val="reader-word-layer"/>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50">
    <w:name w:val="p15"/>
    <w:basedOn w:val="1"/>
    <w:qFormat/>
    <w:uiPriority w:val="0"/>
    <w:pPr>
      <w:widowControl/>
      <w:spacing w:before="100" w:after="100"/>
      <w:jc w:val="left"/>
    </w:pPr>
    <w:rPr>
      <w:rFonts w:ascii="宋体" w:hAnsi="宋体" w:eastAsia="宋体" w:cs="宋体"/>
      <w:kern w:val="0"/>
      <w:sz w:val="24"/>
      <w:szCs w:val="24"/>
    </w:rPr>
  </w:style>
  <w:style w:type="paragraph" w:customStyle="1" w:styleId="51">
    <w:name w:val="列出段落1"/>
    <w:basedOn w:val="1"/>
    <w:qFormat/>
    <w:uiPriority w:val="34"/>
    <w:pPr>
      <w:ind w:firstLine="420" w:firstLineChars="200"/>
    </w:pPr>
    <w:rPr>
      <w:rFonts w:ascii="Calibri" w:hAnsi="Calibri" w:eastAsia="宋体" w:cs="宋体"/>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46</Pages>
  <Words>7852</Words>
  <Characters>8508</Characters>
  <Lines>234</Lines>
  <Paragraphs>65</Paragraphs>
  <TotalTime>11</TotalTime>
  <ScaleCrop>false</ScaleCrop>
  <LinksUpToDate>false</LinksUpToDate>
  <CharactersWithSpaces>8571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2020-10-13T00:44:00Z</dcterms:created>
  <dc:creator>hp</dc:creator>
  <cp:lastModifiedBy>WPS_1769643150</cp:lastModifiedBy>
  <dcterms:modified xsi:type="dcterms:W3CDTF">2026-05-11T03:28:58Z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eyJoZGlkIjoiODZhYjg0M2MzMzc5MjlkN2M1N2Y1OTUyZjUxNWNiOWMiLCJ1c2VySWQiOiIyMTIwNzI3OTYifQ==</vt:lpwstr>
  </property>
  <property fmtid="{D5CDD505-2E9C-101B-9397-08002B2CF9AE}" pid="3" name="KSOProductBuildVer">
    <vt:lpwstr>2052-11.8.2.12094</vt:lpwstr>
  </property>
  <property fmtid="{D5CDD505-2E9C-101B-9397-08002B2CF9AE}" pid="4" name="ICV">
    <vt:lpwstr>BA9D20A8EEE743F29BEC312F6A95172F</vt:lpwstr>
  </property>
</Properties>
</file>