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3AA45">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eastAsia="zh-CN"/>
        </w:rPr>
        <w:t>附件</w:t>
      </w:r>
    </w:p>
    <w:p w14:paraId="1596BC3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auto"/>
          <w:sz w:val="44"/>
          <w:szCs w:val="44"/>
          <w:u w:val="none"/>
          <w:lang w:eastAsia="zh-CN"/>
        </w:rPr>
      </w:pPr>
      <w:bookmarkStart w:id="0" w:name="_GoBack"/>
      <w:r>
        <w:rPr>
          <w:rFonts w:hint="eastAsia" w:ascii="方正小标宋简体" w:hAnsi="方正小标宋简体" w:eastAsia="方正小标宋简体" w:cs="方正小标宋简体"/>
          <w:b w:val="0"/>
          <w:bCs w:val="0"/>
          <w:color w:val="auto"/>
          <w:sz w:val="44"/>
          <w:szCs w:val="44"/>
          <w:u w:val="none"/>
          <w:lang w:eastAsia="zh-CN"/>
        </w:rPr>
        <w:t>北京市卫生健康执法领域轻微违法行为不予行政处罚事项清单</w:t>
      </w:r>
      <w:bookmarkEnd w:id="0"/>
    </w:p>
    <w:p w14:paraId="7F6535D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 w:val="0"/>
          <w:bCs w:val="0"/>
          <w:color w:val="auto"/>
          <w:sz w:val="44"/>
          <w:szCs w:val="44"/>
          <w:u w:val="none"/>
          <w:lang w:eastAsia="zh-CN"/>
        </w:rPr>
        <w:t>（</w:t>
      </w:r>
      <w:r>
        <w:rPr>
          <w:rFonts w:hint="eastAsia" w:ascii="方正小标宋简体" w:hAnsi="方正小标宋简体" w:eastAsia="方正小标宋简体" w:cs="方正小标宋简体"/>
          <w:b w:val="0"/>
          <w:bCs w:val="0"/>
          <w:color w:val="auto"/>
          <w:sz w:val="44"/>
          <w:szCs w:val="44"/>
          <w:u w:val="none"/>
          <w:lang w:val="en-US" w:eastAsia="zh-CN"/>
        </w:rPr>
        <w:t>医疗卫生专业</w:t>
      </w:r>
      <w:r>
        <w:rPr>
          <w:rFonts w:hint="eastAsia" w:ascii="方正小标宋简体" w:hAnsi="方正小标宋简体" w:eastAsia="方正小标宋简体" w:cs="方正小标宋简体"/>
          <w:b w:val="0"/>
          <w:bCs w:val="0"/>
          <w:color w:val="auto"/>
          <w:sz w:val="44"/>
          <w:szCs w:val="44"/>
          <w:u w:val="none"/>
          <w:lang w:eastAsia="zh-CN"/>
        </w:rPr>
        <w:t>）</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4"/>
        <w:gridCol w:w="1569"/>
        <w:gridCol w:w="2049"/>
        <w:gridCol w:w="3560"/>
        <w:gridCol w:w="2892"/>
        <w:gridCol w:w="1342"/>
        <w:gridCol w:w="791"/>
        <w:gridCol w:w="813"/>
      </w:tblGrid>
      <w:tr w14:paraId="3DFD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blHeader/>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56B00A5D">
            <w:pPr>
              <w:keepNext w:val="0"/>
              <w:keepLines w:val="0"/>
              <w:widowControl/>
              <w:suppressLineNumbers w:val="0"/>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序号</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0CC12512">
            <w:pPr>
              <w:keepNext w:val="0"/>
              <w:keepLines w:val="0"/>
              <w:widowControl/>
              <w:suppressLineNumbers w:val="0"/>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裁量基准编码</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73FEDE64">
            <w:pPr>
              <w:keepNext w:val="0"/>
              <w:keepLines w:val="0"/>
              <w:widowControl/>
              <w:suppressLineNumbers w:val="0"/>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违法行为</w:t>
            </w:r>
          </w:p>
        </w:tc>
        <w:tc>
          <w:tcPr>
            <w:tcW w:w="1305" w:type="pct"/>
            <w:tcBorders>
              <w:top w:val="single" w:color="000000" w:sz="4" w:space="0"/>
              <w:left w:val="single" w:color="000000" w:sz="4" w:space="0"/>
              <w:bottom w:val="single" w:color="000000" w:sz="4" w:space="0"/>
              <w:right w:val="single" w:color="000000" w:sz="4" w:space="0"/>
            </w:tcBorders>
            <w:noWrap w:val="0"/>
            <w:vAlign w:val="center"/>
          </w:tcPr>
          <w:p w14:paraId="0C429800">
            <w:pPr>
              <w:keepNext w:val="0"/>
              <w:keepLines w:val="0"/>
              <w:widowControl/>
              <w:suppressLineNumbers w:val="0"/>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处罚依据</w:t>
            </w:r>
          </w:p>
        </w:tc>
        <w:tc>
          <w:tcPr>
            <w:tcW w:w="1060" w:type="pct"/>
            <w:tcBorders>
              <w:top w:val="single" w:color="000000" w:sz="4" w:space="0"/>
              <w:left w:val="single" w:color="000000" w:sz="4" w:space="0"/>
              <w:bottom w:val="single" w:color="000000" w:sz="4" w:space="0"/>
              <w:right w:val="single" w:color="000000" w:sz="4" w:space="0"/>
            </w:tcBorders>
            <w:noWrap w:val="0"/>
            <w:vAlign w:val="center"/>
          </w:tcPr>
          <w:p w14:paraId="4C0623F1">
            <w:pPr>
              <w:keepNext w:val="0"/>
              <w:keepLines w:val="0"/>
              <w:widowControl/>
              <w:suppressLineNumbers w:val="0"/>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适用条件</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139EE9EA">
            <w:pPr>
              <w:keepNext w:val="0"/>
              <w:keepLines w:val="0"/>
              <w:widowControl/>
              <w:suppressLineNumbers w:val="0"/>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管理措施</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EA3DBC6">
            <w:pPr>
              <w:keepNext w:val="0"/>
              <w:keepLines w:val="0"/>
              <w:widowControl/>
              <w:suppressLineNumbers w:val="0"/>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行使层级</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6D30DC22">
            <w:pPr>
              <w:keepNext w:val="0"/>
              <w:keepLines w:val="0"/>
              <w:widowControl/>
              <w:suppressLineNumbers w:val="0"/>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专业类别</w:t>
            </w:r>
          </w:p>
        </w:tc>
      </w:tr>
      <w:tr w14:paraId="5A20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637BCEAE">
            <w:pPr>
              <w:keepNext w:val="0"/>
              <w:keepLines w:val="0"/>
              <w:widowControl/>
              <w:suppressLineNumbers w:val="0"/>
              <w:spacing w:line="3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序号1-13为《北京市卫生健康执法领域轻微违法行为不予行政处罚规则》中</w:t>
            </w:r>
          </w:p>
          <w:p w14:paraId="57BE07AE">
            <w:pPr>
              <w:keepNext w:val="0"/>
              <w:keepLines w:val="0"/>
              <w:widowControl/>
              <w:suppressLineNumbers w:val="0"/>
              <w:spacing w:line="360" w:lineRule="exact"/>
              <w:jc w:val="center"/>
              <w:textAlignment w:val="center"/>
              <w:rPr>
                <w:rFonts w:hint="default" w:ascii="宋体" w:hAnsi="宋体" w:eastAsia="宋体" w:cs="宋体"/>
                <w:i w:val="0"/>
                <w:color w:val="auto"/>
                <w:kern w:val="2"/>
                <w:sz w:val="21"/>
                <w:szCs w:val="21"/>
                <w:u w:val="none"/>
                <w:lang w:val="en" w:eastAsia="zh-CN" w:bidi="ar-SA"/>
              </w:rPr>
            </w:pPr>
            <w:r>
              <w:rPr>
                <w:rFonts w:hint="eastAsia" w:ascii="宋体" w:hAnsi="宋体" w:eastAsia="宋体" w:cs="宋体"/>
                <w:i w:val="0"/>
                <w:color w:val="auto"/>
                <w:kern w:val="0"/>
                <w:sz w:val="21"/>
                <w:szCs w:val="21"/>
                <w:u w:val="none"/>
                <w:lang w:val="en-US" w:eastAsia="zh-CN" w:bidi="ar"/>
              </w:rPr>
              <w:t>附件1《北京市卫生健康执法领域轻微违法行为不予行政处罚事项清单》内容。</w:t>
            </w:r>
          </w:p>
        </w:tc>
      </w:tr>
      <w:tr w14:paraId="64DAD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4A667D25">
            <w:pPr>
              <w:keepNext w:val="0"/>
              <w:keepLines w:val="0"/>
              <w:widowControl/>
              <w:suppressLineNumbers w:val="0"/>
              <w:spacing w:line="340" w:lineRule="exact"/>
              <w:jc w:val="center"/>
              <w:textAlignment w:val="center"/>
              <w:rPr>
                <w:rFonts w:hint="default" w:ascii="宋体" w:hAnsi="宋体" w:eastAsia="宋体" w:cs="宋体"/>
                <w:i w:val="0"/>
                <w:color w:val="auto"/>
                <w:kern w:val="0"/>
                <w:sz w:val="21"/>
                <w:szCs w:val="21"/>
                <w:u w:val="none"/>
                <w:lang w:val="en" w:eastAsia="zh-CN" w:bidi="ar"/>
              </w:rPr>
            </w:pPr>
            <w:r>
              <w:rPr>
                <w:rFonts w:hint="default" w:ascii="宋体" w:hAnsi="宋体" w:eastAsia="宋体" w:cs="宋体"/>
                <w:i w:val="0"/>
                <w:color w:val="auto"/>
                <w:kern w:val="0"/>
                <w:sz w:val="21"/>
                <w:szCs w:val="21"/>
                <w:u w:val="none"/>
                <w:lang w:val="en" w:eastAsia="zh-CN" w:bidi="ar"/>
              </w:rPr>
              <w:t>1</w:t>
            </w:r>
            <w:r>
              <w:rPr>
                <w:rFonts w:hint="eastAsia" w:ascii="宋体" w:hAnsi="宋体" w:eastAsia="宋体" w:cs="宋体"/>
                <w:i w:val="0"/>
                <w:color w:val="auto"/>
                <w:kern w:val="0"/>
                <w:sz w:val="21"/>
                <w:szCs w:val="21"/>
                <w:u w:val="none"/>
                <w:lang w:val="en-US" w:eastAsia="zh-CN" w:bidi="ar"/>
              </w:rPr>
              <w:t>4</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4DFAF2E5">
            <w:pPr>
              <w:keepNext w:val="0"/>
              <w:keepLines w:val="0"/>
              <w:widowControl/>
              <w:suppressLineNumbers w:val="0"/>
              <w:spacing w:line="340" w:lineRule="exact"/>
              <w:jc w:val="left"/>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SA"/>
              </w:rPr>
              <w:t>C2827100C000</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5FEDC525">
            <w:pPr>
              <w:keepNext w:val="0"/>
              <w:keepLines w:val="0"/>
              <w:widowControl/>
              <w:suppressLineNumbers w:val="0"/>
              <w:spacing w:line="340" w:lineRule="exact"/>
              <w:jc w:val="left"/>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医疗卫生机构未制定、实施本机构护士在职培训计划，并保证护士接受培训的</w:t>
            </w:r>
          </w:p>
        </w:tc>
        <w:tc>
          <w:tcPr>
            <w:tcW w:w="1305" w:type="pct"/>
            <w:tcBorders>
              <w:top w:val="single" w:color="000000" w:sz="4" w:space="0"/>
              <w:left w:val="single" w:color="000000" w:sz="4" w:space="0"/>
              <w:bottom w:val="single" w:color="000000" w:sz="4" w:space="0"/>
              <w:right w:val="single" w:color="000000" w:sz="4" w:space="0"/>
            </w:tcBorders>
            <w:noWrap w:val="0"/>
            <w:vAlign w:val="center"/>
          </w:tcPr>
          <w:p w14:paraId="722C92F4">
            <w:pPr>
              <w:keepNext w:val="0"/>
              <w:keepLines w:val="0"/>
              <w:widowControl/>
              <w:suppressLineNumbers w:val="0"/>
              <w:spacing w:line="340" w:lineRule="exact"/>
              <w:jc w:val="left"/>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《护士条例》第三十条 医疗卫生机构有下列情形之一的，由县级以上地方人民政府卫生主管部门依据职责分工责令限期改正，给予警告：（一）未制定、实施本机构护士在职培训计划或者未保证护士接受培训的；</w:t>
            </w:r>
          </w:p>
        </w:tc>
        <w:tc>
          <w:tcPr>
            <w:tcW w:w="1060" w:type="pct"/>
            <w:tcBorders>
              <w:top w:val="single" w:color="000000" w:sz="4" w:space="0"/>
              <w:left w:val="single" w:color="000000" w:sz="4" w:space="0"/>
              <w:bottom w:val="single" w:color="000000" w:sz="4" w:space="0"/>
              <w:right w:val="single" w:color="000000" w:sz="4" w:space="0"/>
            </w:tcBorders>
            <w:noWrap w:val="0"/>
            <w:vAlign w:val="center"/>
          </w:tcPr>
          <w:p w14:paraId="28B590A9">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符合下列情形之一：</w:t>
            </w:r>
          </w:p>
          <w:p w14:paraId="200A998E">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u w:val="none"/>
                <w:lang w:val="en-US" w:eastAsia="zh-CN" w:bidi="ar"/>
              </w:rPr>
              <w:t>1.违法行为轻微并及时改正，没有造成危害后果，医疗卫生机构制定但未实施本机构护士在职培训计划，</w:t>
            </w:r>
            <w:r>
              <w:rPr>
                <w:rFonts w:hint="eastAsia" w:ascii="宋体" w:hAnsi="宋体" w:eastAsia="宋体" w:cs="宋体"/>
                <w:i w:val="0"/>
                <w:color w:val="auto"/>
                <w:kern w:val="0"/>
                <w:sz w:val="21"/>
                <w:szCs w:val="21"/>
                <w:highlight w:val="none"/>
                <w:u w:val="none"/>
                <w:lang w:val="en-US" w:eastAsia="zh-CN" w:bidi="ar"/>
              </w:rPr>
              <w:t>违法行为持续时间不足30日，不涉及投诉举报、媒体负面报道、负面舆情。</w:t>
            </w:r>
          </w:p>
          <w:p w14:paraId="0A147026">
            <w:pPr>
              <w:keepNext w:val="0"/>
              <w:keepLines w:val="0"/>
              <w:widowControl/>
              <w:suppressLineNumbers w:val="0"/>
              <w:spacing w:line="340" w:lineRule="exact"/>
              <w:jc w:val="left"/>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2.违法行为初次发生，且危害后果轻微，并能够及时改正，医疗卫生机构制定但未实施本机构护士在职培训计划，</w:t>
            </w:r>
            <w:r>
              <w:rPr>
                <w:rFonts w:hint="eastAsia" w:ascii="宋体" w:hAnsi="宋体" w:eastAsia="宋体" w:cs="宋体"/>
                <w:i w:val="0"/>
                <w:color w:val="auto"/>
                <w:kern w:val="0"/>
                <w:sz w:val="21"/>
                <w:szCs w:val="21"/>
                <w:highlight w:val="none"/>
                <w:u w:val="none"/>
                <w:lang w:val="en-US" w:eastAsia="zh-CN" w:bidi="ar"/>
              </w:rPr>
              <w:t>违法行为持续时间不足30日，不涉及投诉举报、媒体负面报道、负面舆情。</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1E54543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要求当事人改正违法行为，按照整改期限提交整改情况报告，签订《合法诚信承诺书》</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ADE0E43">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市区两级</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23C13067">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 w:eastAsia="zh-CN" w:bidi="ar-SA"/>
              </w:rPr>
            </w:pPr>
            <w:r>
              <w:rPr>
                <w:rFonts w:hint="eastAsia" w:ascii="宋体" w:hAnsi="宋体" w:eastAsia="宋体" w:cs="宋体"/>
                <w:i w:val="0"/>
                <w:color w:val="auto"/>
                <w:kern w:val="2"/>
                <w:sz w:val="21"/>
                <w:szCs w:val="21"/>
                <w:u w:val="none"/>
                <w:lang w:val="en" w:eastAsia="zh-CN" w:bidi="ar-SA"/>
              </w:rPr>
              <w:t>医疗</w:t>
            </w:r>
            <w:r>
              <w:rPr>
                <w:rFonts w:hint="eastAsia" w:ascii="宋体" w:hAnsi="宋体" w:eastAsia="宋体" w:cs="宋体"/>
                <w:i w:val="0"/>
                <w:color w:val="auto"/>
                <w:kern w:val="2"/>
                <w:sz w:val="21"/>
                <w:szCs w:val="21"/>
                <w:u w:val="none"/>
                <w:lang w:val="en-US" w:eastAsia="zh-CN" w:bidi="ar-SA"/>
              </w:rPr>
              <w:t xml:space="preserve"> </w:t>
            </w:r>
            <w:r>
              <w:rPr>
                <w:rFonts w:hint="eastAsia" w:ascii="宋体" w:hAnsi="宋体" w:eastAsia="宋体" w:cs="宋体"/>
                <w:i w:val="0"/>
                <w:color w:val="auto"/>
                <w:kern w:val="2"/>
                <w:sz w:val="21"/>
                <w:szCs w:val="21"/>
                <w:u w:val="none"/>
                <w:lang w:val="en" w:eastAsia="zh-CN" w:bidi="ar-SA"/>
              </w:rPr>
              <w:t>卫生</w:t>
            </w:r>
          </w:p>
        </w:tc>
      </w:tr>
      <w:tr w14:paraId="584FC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5" w:hRule="atLeast"/>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550B7488">
            <w:pPr>
              <w:keepNext w:val="0"/>
              <w:keepLines w:val="0"/>
              <w:widowControl/>
              <w:suppressLineNumbers w:val="0"/>
              <w:spacing w:line="34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15</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52B34570">
            <w:pPr>
              <w:keepNext w:val="0"/>
              <w:keepLines w:val="0"/>
              <w:widowControl/>
              <w:suppressLineNumbers w:val="0"/>
              <w:spacing w:line="340" w:lineRule="exact"/>
              <w:jc w:val="left"/>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SA"/>
              </w:rPr>
              <w:t>C2827200C000</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245B935D">
            <w:pPr>
              <w:keepNext w:val="0"/>
              <w:keepLines w:val="0"/>
              <w:widowControl/>
              <w:suppressLineNumbers w:val="0"/>
              <w:spacing w:line="340" w:lineRule="exact"/>
              <w:jc w:val="left"/>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SA"/>
              </w:rPr>
              <w:t>医疗卫生机构未履行护士管理职责的</w:t>
            </w:r>
          </w:p>
        </w:tc>
        <w:tc>
          <w:tcPr>
            <w:tcW w:w="1305" w:type="pct"/>
            <w:tcBorders>
              <w:top w:val="single" w:color="000000" w:sz="4" w:space="0"/>
              <w:left w:val="single" w:color="000000" w:sz="4" w:space="0"/>
              <w:bottom w:val="single" w:color="000000" w:sz="4" w:space="0"/>
              <w:right w:val="single" w:color="000000" w:sz="4" w:space="0"/>
            </w:tcBorders>
            <w:noWrap w:val="0"/>
            <w:vAlign w:val="center"/>
          </w:tcPr>
          <w:p w14:paraId="48070EDD">
            <w:pPr>
              <w:keepNext w:val="0"/>
              <w:keepLines w:val="0"/>
              <w:widowControl/>
              <w:suppressLineNumbers w:val="0"/>
              <w:spacing w:line="300" w:lineRule="exact"/>
              <w:jc w:val="left"/>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SA"/>
              </w:rPr>
              <w:t>《护士条例》第三十条 医疗卫生机构有下列情形之一的，</w:t>
            </w:r>
            <w:r>
              <w:rPr>
                <w:rFonts w:hint="eastAsia" w:ascii="宋体" w:hAnsi="宋体" w:eastAsia="宋体" w:cs="宋体"/>
                <w:i w:val="0"/>
                <w:color w:val="auto"/>
                <w:kern w:val="0"/>
                <w:sz w:val="21"/>
                <w:szCs w:val="21"/>
                <w:u w:val="none"/>
                <w:lang w:val="en-US" w:eastAsia="zh-CN" w:bidi="ar"/>
              </w:rPr>
              <w:t>由县级以上地方人民政府卫生主管部门依据职责分工</w:t>
            </w:r>
            <w:r>
              <w:rPr>
                <w:rFonts w:hint="eastAsia" w:ascii="宋体" w:hAnsi="宋体" w:eastAsia="宋体" w:cs="宋体"/>
                <w:i w:val="0"/>
                <w:color w:val="auto"/>
                <w:kern w:val="0"/>
                <w:sz w:val="21"/>
                <w:szCs w:val="21"/>
                <w:u w:val="none"/>
                <w:lang w:val="en-US" w:eastAsia="zh-CN" w:bidi="ar-SA"/>
              </w:rPr>
              <w:t>责令限期改正，给予警告：（二）未依照本条例规定履行护士管理职责的。</w:t>
            </w:r>
          </w:p>
        </w:tc>
        <w:tc>
          <w:tcPr>
            <w:tcW w:w="1060" w:type="pct"/>
            <w:tcBorders>
              <w:top w:val="single" w:color="000000" w:sz="4" w:space="0"/>
              <w:left w:val="single" w:color="000000" w:sz="4" w:space="0"/>
              <w:bottom w:val="single" w:color="000000" w:sz="4" w:space="0"/>
              <w:right w:val="single" w:color="000000" w:sz="4" w:space="0"/>
            </w:tcBorders>
            <w:noWrap w:val="0"/>
            <w:vAlign w:val="center"/>
          </w:tcPr>
          <w:p w14:paraId="53A24900">
            <w:pPr>
              <w:keepNext w:val="0"/>
              <w:keepLines w:val="0"/>
              <w:widowControl/>
              <w:suppressLineNumbers w:val="0"/>
              <w:spacing w:line="30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符合下列情形之一：</w:t>
            </w:r>
          </w:p>
          <w:p w14:paraId="527FF1AC">
            <w:pPr>
              <w:keepNext w:val="0"/>
              <w:keepLines w:val="0"/>
              <w:widowControl/>
              <w:suppressLineNumbers w:val="0"/>
              <w:spacing w:line="300" w:lineRule="exact"/>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u w:val="none"/>
                <w:lang w:val="en-US" w:eastAsia="zh-CN" w:bidi="ar"/>
              </w:rPr>
              <w:t>1.违法行为轻微并及时改正，没有造成危害后果</w:t>
            </w:r>
            <w:r>
              <w:rPr>
                <w:rFonts w:hint="eastAsia" w:ascii="宋体" w:hAnsi="宋体" w:eastAsia="宋体" w:cs="宋体"/>
                <w:i w:val="0"/>
                <w:color w:val="auto"/>
                <w:kern w:val="0"/>
                <w:sz w:val="21"/>
                <w:szCs w:val="21"/>
                <w:highlight w:val="none"/>
                <w:u w:val="none"/>
                <w:lang w:val="en-US" w:eastAsia="zh-CN" w:bidi="ar"/>
              </w:rPr>
              <w:t>，医疗卫生机构未建立护士岗位责任制并进行监督检查，不涉及投诉举报、媒体负面报道、负面舆情。</w:t>
            </w:r>
          </w:p>
          <w:p w14:paraId="212F5811">
            <w:pPr>
              <w:keepNext w:val="0"/>
              <w:keepLines w:val="0"/>
              <w:widowControl/>
              <w:suppressLineNumbers w:val="0"/>
              <w:spacing w:line="30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2.违法行为初次发生，且危害后果轻微，并能够及时改正，医疗卫生机构未建立护士岗位责任制并进行监督检查，不涉及投诉举报、媒体负面报道、负面舆情。</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039EF76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要求当事人改正违法行为，按照整改期限提交整改情况报告，签订《合法诚信承诺书》</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5398EFA">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市区两级</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7A7C82EF">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 w:eastAsia="zh-CN" w:bidi="ar-SA"/>
              </w:rPr>
              <w:t>医疗</w:t>
            </w:r>
            <w:r>
              <w:rPr>
                <w:rFonts w:hint="eastAsia" w:ascii="宋体" w:hAnsi="宋体" w:eastAsia="宋体" w:cs="宋体"/>
                <w:i w:val="0"/>
                <w:color w:val="auto"/>
                <w:kern w:val="2"/>
                <w:sz w:val="21"/>
                <w:szCs w:val="21"/>
                <w:u w:val="none"/>
                <w:lang w:val="en-US" w:eastAsia="zh-CN" w:bidi="ar-SA"/>
              </w:rPr>
              <w:t xml:space="preserve"> </w:t>
            </w:r>
            <w:r>
              <w:rPr>
                <w:rFonts w:hint="eastAsia" w:ascii="宋体" w:hAnsi="宋体" w:eastAsia="宋体" w:cs="宋体"/>
                <w:i w:val="0"/>
                <w:color w:val="auto"/>
                <w:kern w:val="2"/>
                <w:sz w:val="21"/>
                <w:szCs w:val="21"/>
                <w:u w:val="none"/>
                <w:lang w:val="en" w:eastAsia="zh-CN" w:bidi="ar-SA"/>
              </w:rPr>
              <w:t>卫生</w:t>
            </w:r>
          </w:p>
        </w:tc>
      </w:tr>
      <w:tr w14:paraId="0EC8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3151AFDD">
            <w:pPr>
              <w:keepNext w:val="0"/>
              <w:keepLines w:val="0"/>
              <w:widowControl/>
              <w:suppressLineNumbers w:val="0"/>
              <w:spacing w:line="34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16</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691C6909">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C2892600A010</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4B5D84B8">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未按照规定建立医疗器械临床使用管理工作制度的</w:t>
            </w:r>
          </w:p>
        </w:tc>
        <w:tc>
          <w:tcPr>
            <w:tcW w:w="1305" w:type="pct"/>
            <w:tcBorders>
              <w:top w:val="single" w:color="000000" w:sz="4" w:space="0"/>
              <w:left w:val="single" w:color="000000" w:sz="4" w:space="0"/>
              <w:bottom w:val="single" w:color="000000" w:sz="4" w:space="0"/>
              <w:right w:val="single" w:color="000000" w:sz="4" w:space="0"/>
            </w:tcBorders>
            <w:noWrap w:val="0"/>
            <w:vAlign w:val="center"/>
          </w:tcPr>
          <w:p w14:paraId="1128DD8F">
            <w:pPr>
              <w:keepNext w:val="0"/>
              <w:keepLines w:val="0"/>
              <w:widowControl/>
              <w:suppressLineNumbers w:val="0"/>
              <w:spacing w:line="30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《医疗器械临床使用管理办法》第四十五条</w:t>
            </w:r>
            <w:r>
              <w:rPr>
                <w:rStyle w:val="8"/>
                <w:rFonts w:hint="eastAsia" w:ascii="宋体" w:hAnsi="宋体" w:eastAsia="宋体" w:cs="宋体"/>
                <w:color w:val="auto"/>
                <w:sz w:val="21"/>
                <w:szCs w:val="21"/>
                <w:lang w:val="en-US" w:eastAsia="zh-CN" w:bidi="ar-SA"/>
              </w:rPr>
              <w:t>  </w:t>
            </w:r>
            <w:r>
              <w:rPr>
                <w:rStyle w:val="10"/>
                <w:rFonts w:hint="eastAsia" w:ascii="宋体" w:hAnsi="宋体" w:eastAsia="宋体" w:cs="宋体"/>
                <w:color w:val="auto"/>
                <w:sz w:val="21"/>
                <w:szCs w:val="21"/>
                <w:lang w:val="en-US" w:eastAsia="zh-CN" w:bidi="ar-SA"/>
              </w:rPr>
              <w:t>医疗机构违反本办法规定，有下列情形之一的，由县级以上地方卫生健康主管部门责令改正，给予警告；情节严重的，可以并处五千元以上三万元以下罚款：（一）未按照规定建立医疗器械临床使用管理工作制度的；</w:t>
            </w:r>
          </w:p>
        </w:tc>
        <w:tc>
          <w:tcPr>
            <w:tcW w:w="1060" w:type="pct"/>
            <w:tcBorders>
              <w:top w:val="single" w:color="000000" w:sz="4" w:space="0"/>
              <w:left w:val="single" w:color="000000" w:sz="4" w:space="0"/>
              <w:bottom w:val="single" w:color="000000" w:sz="4" w:space="0"/>
              <w:right w:val="single" w:color="000000" w:sz="4" w:space="0"/>
            </w:tcBorders>
            <w:noWrap w:val="0"/>
            <w:vAlign w:val="center"/>
          </w:tcPr>
          <w:p w14:paraId="3E3B284B">
            <w:pPr>
              <w:keepNext w:val="0"/>
              <w:keepLines w:val="0"/>
              <w:widowControl/>
              <w:suppressLineNumbers w:val="0"/>
              <w:spacing w:line="30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符合下列情形之一：</w:t>
            </w:r>
          </w:p>
          <w:p w14:paraId="12C51DB4">
            <w:pPr>
              <w:keepNext w:val="0"/>
              <w:keepLines w:val="0"/>
              <w:widowControl/>
              <w:suppressLineNumbers w:val="0"/>
              <w:spacing w:line="30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1.违法行为轻微并及时改正，没有造成危害后果</w:t>
            </w:r>
            <w:r>
              <w:rPr>
                <w:rFonts w:hint="eastAsia" w:ascii="宋体" w:hAnsi="宋体" w:eastAsia="宋体" w:cs="宋体"/>
                <w:i w:val="0"/>
                <w:color w:val="auto"/>
                <w:kern w:val="0"/>
                <w:sz w:val="21"/>
                <w:szCs w:val="21"/>
                <w:highlight w:val="none"/>
                <w:u w:val="none"/>
                <w:lang w:val="en-US" w:eastAsia="zh-CN" w:bidi="ar"/>
              </w:rPr>
              <w:t>，不涉及投诉举报、媒体负面报道、负面舆情。</w:t>
            </w:r>
          </w:p>
          <w:p w14:paraId="348B7DB3">
            <w:pPr>
              <w:keepNext w:val="0"/>
              <w:keepLines w:val="0"/>
              <w:widowControl/>
              <w:numPr>
                <w:ilvl w:val="0"/>
                <w:numId w:val="0"/>
              </w:numPr>
              <w:suppressLineNumbers w:val="0"/>
              <w:spacing w:line="30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2.违法行为初次发生，且危害后果轻微，并能够及时改正</w:t>
            </w:r>
            <w:r>
              <w:rPr>
                <w:rFonts w:hint="eastAsia" w:ascii="宋体" w:hAnsi="宋体" w:eastAsia="宋体" w:cs="宋体"/>
                <w:i w:val="0"/>
                <w:color w:val="auto"/>
                <w:kern w:val="0"/>
                <w:sz w:val="21"/>
                <w:szCs w:val="21"/>
                <w:highlight w:val="none"/>
                <w:u w:val="none"/>
                <w:lang w:val="en-US" w:eastAsia="zh-CN" w:bidi="ar"/>
              </w:rPr>
              <w:t>，不涉及投诉举报、媒体负面报道、负面舆情。</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0461D3A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要求当事人改正违法行为，按照整改期限提交整改情况报告，签订《合法诚信承诺书》</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F7D6915">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市区两级</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57EB94A9">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 w:eastAsia="zh-CN" w:bidi="ar-SA"/>
              </w:rPr>
              <w:t>医疗</w:t>
            </w:r>
            <w:r>
              <w:rPr>
                <w:rFonts w:hint="eastAsia" w:ascii="宋体" w:hAnsi="宋体" w:eastAsia="宋体" w:cs="宋体"/>
                <w:i w:val="0"/>
                <w:color w:val="auto"/>
                <w:kern w:val="2"/>
                <w:sz w:val="21"/>
                <w:szCs w:val="21"/>
                <w:u w:val="none"/>
                <w:lang w:val="en-US" w:eastAsia="zh-CN" w:bidi="ar-SA"/>
              </w:rPr>
              <w:t xml:space="preserve"> </w:t>
            </w:r>
            <w:r>
              <w:rPr>
                <w:rFonts w:hint="eastAsia" w:ascii="宋体" w:hAnsi="宋体" w:eastAsia="宋体" w:cs="宋体"/>
                <w:i w:val="0"/>
                <w:color w:val="auto"/>
                <w:kern w:val="2"/>
                <w:sz w:val="21"/>
                <w:szCs w:val="21"/>
                <w:u w:val="none"/>
                <w:lang w:val="en" w:eastAsia="zh-CN" w:bidi="ar-SA"/>
              </w:rPr>
              <w:t>卫生</w:t>
            </w:r>
          </w:p>
        </w:tc>
      </w:tr>
      <w:tr w14:paraId="3D181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6E9D8258">
            <w:pPr>
              <w:keepNext w:val="0"/>
              <w:keepLines w:val="0"/>
              <w:widowControl/>
              <w:suppressLineNumbers w:val="0"/>
              <w:spacing w:line="34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17</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4664108E">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C2893100A010</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6079E888">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未按照规定设立医疗器械临床使用管理委员会或者配备专（兼）职人员负责本机构医疗器械临床使用管理工作的</w:t>
            </w:r>
          </w:p>
        </w:tc>
        <w:tc>
          <w:tcPr>
            <w:tcW w:w="1305" w:type="pct"/>
            <w:tcBorders>
              <w:top w:val="single" w:color="000000" w:sz="4" w:space="0"/>
              <w:left w:val="single" w:color="000000" w:sz="4" w:space="0"/>
              <w:bottom w:val="single" w:color="000000" w:sz="4" w:space="0"/>
              <w:right w:val="single" w:color="000000" w:sz="4" w:space="0"/>
            </w:tcBorders>
            <w:noWrap w:val="0"/>
            <w:vAlign w:val="center"/>
          </w:tcPr>
          <w:p w14:paraId="69392DCC">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医疗器械临床使用管理办法》第四十五条  医疗机构违反本办法规定，有下列情形之一的，由县级以上地方卫生健康主管部门责令改正，给予警告；情节严重的，可以并处五千元以上三万元以下罚款：（二）未按照规定设立医疗器械临床使用管理委员会或者配备专（兼）职人员负责本机构医疗器械临床使用管理工作的；</w:t>
            </w:r>
          </w:p>
        </w:tc>
        <w:tc>
          <w:tcPr>
            <w:tcW w:w="1060" w:type="pct"/>
            <w:tcBorders>
              <w:top w:val="single" w:color="000000" w:sz="4" w:space="0"/>
              <w:left w:val="single" w:color="000000" w:sz="4" w:space="0"/>
              <w:bottom w:val="single" w:color="000000" w:sz="4" w:space="0"/>
              <w:right w:val="single" w:color="000000" w:sz="4" w:space="0"/>
            </w:tcBorders>
            <w:noWrap w:val="0"/>
            <w:vAlign w:val="center"/>
          </w:tcPr>
          <w:p w14:paraId="243E9BB3">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符合下列情形之一：</w:t>
            </w:r>
          </w:p>
          <w:p w14:paraId="70FA43A1">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1.违法行为轻微并及时改正，没有造成危害后果</w:t>
            </w:r>
            <w:r>
              <w:rPr>
                <w:rFonts w:hint="eastAsia" w:ascii="宋体" w:hAnsi="宋体" w:eastAsia="宋体" w:cs="宋体"/>
                <w:i w:val="0"/>
                <w:color w:val="auto"/>
                <w:kern w:val="0"/>
                <w:sz w:val="21"/>
                <w:szCs w:val="21"/>
                <w:highlight w:val="none"/>
                <w:u w:val="none"/>
                <w:lang w:val="en-US" w:eastAsia="zh-CN" w:bidi="ar"/>
              </w:rPr>
              <w:t>，不涉及投诉举报、媒体负面报道、负面舆情。</w:t>
            </w:r>
          </w:p>
          <w:p w14:paraId="2B9D91E4">
            <w:pPr>
              <w:keepNext w:val="0"/>
              <w:keepLines w:val="0"/>
              <w:widowControl/>
              <w:numPr>
                <w:ilvl w:val="0"/>
                <w:numId w:val="0"/>
              </w:numPr>
              <w:suppressLineNumbers w:val="0"/>
              <w:spacing w:line="340" w:lineRule="exact"/>
              <w:ind w:left="0" w:leftChars="0" w:firstLine="0" w:firstLineChars="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2.违法行为初次发生，且危害后果轻微，并能够及时改正</w:t>
            </w:r>
            <w:r>
              <w:rPr>
                <w:rFonts w:hint="eastAsia" w:ascii="宋体" w:hAnsi="宋体" w:eastAsia="宋体" w:cs="宋体"/>
                <w:i w:val="0"/>
                <w:color w:val="auto"/>
                <w:kern w:val="0"/>
                <w:sz w:val="21"/>
                <w:szCs w:val="21"/>
                <w:highlight w:val="none"/>
                <w:u w:val="none"/>
                <w:lang w:val="en-US" w:eastAsia="zh-CN" w:bidi="ar"/>
              </w:rPr>
              <w:t>，不涉及投诉举报、媒体负面报道、负面舆情。</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47C2139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要求当事人改正违法行为，按照整改期限提交整改情况报告，签订《合法诚信承诺书》</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71BD954">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市区两级</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16433FB0">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 w:eastAsia="zh-CN" w:bidi="ar-SA"/>
              </w:rPr>
            </w:pPr>
            <w:r>
              <w:rPr>
                <w:rFonts w:hint="eastAsia" w:ascii="宋体" w:hAnsi="宋体" w:eastAsia="宋体" w:cs="宋体"/>
                <w:i w:val="0"/>
                <w:color w:val="auto"/>
                <w:kern w:val="2"/>
                <w:sz w:val="21"/>
                <w:szCs w:val="21"/>
                <w:u w:val="none"/>
                <w:lang w:val="en" w:eastAsia="zh-CN" w:bidi="ar-SA"/>
              </w:rPr>
              <w:t>医疗</w:t>
            </w:r>
            <w:r>
              <w:rPr>
                <w:rFonts w:hint="eastAsia" w:ascii="宋体" w:hAnsi="宋体" w:eastAsia="宋体" w:cs="宋体"/>
                <w:i w:val="0"/>
                <w:color w:val="auto"/>
                <w:kern w:val="2"/>
                <w:sz w:val="21"/>
                <w:szCs w:val="21"/>
                <w:u w:val="none"/>
                <w:lang w:val="en-US" w:eastAsia="zh-CN" w:bidi="ar-SA"/>
              </w:rPr>
              <w:t xml:space="preserve"> </w:t>
            </w:r>
            <w:r>
              <w:rPr>
                <w:rFonts w:hint="eastAsia" w:ascii="宋体" w:hAnsi="宋体" w:eastAsia="宋体" w:cs="宋体"/>
                <w:i w:val="0"/>
                <w:color w:val="auto"/>
                <w:kern w:val="2"/>
                <w:sz w:val="21"/>
                <w:szCs w:val="21"/>
                <w:u w:val="none"/>
                <w:lang w:val="en" w:eastAsia="zh-CN" w:bidi="ar-SA"/>
              </w:rPr>
              <w:t>卫生</w:t>
            </w:r>
          </w:p>
        </w:tc>
      </w:tr>
      <w:tr w14:paraId="333F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09431F18">
            <w:pPr>
              <w:keepNext w:val="0"/>
              <w:keepLines w:val="0"/>
              <w:widowControl/>
              <w:suppressLineNumbers w:val="0"/>
              <w:spacing w:line="34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18</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2BEBE7BD">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C2884500A010</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12ACEBDE">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医疗器械使用单位未按照规定将大型医疗器械以及植入和介入类医疗器械的信息记载到病历等相关记录中的</w:t>
            </w:r>
          </w:p>
        </w:tc>
        <w:tc>
          <w:tcPr>
            <w:tcW w:w="1305" w:type="pct"/>
            <w:tcBorders>
              <w:top w:val="single" w:color="000000" w:sz="4" w:space="0"/>
              <w:left w:val="single" w:color="000000" w:sz="4" w:space="0"/>
              <w:bottom w:val="single" w:color="000000" w:sz="4" w:space="0"/>
              <w:right w:val="single" w:color="000000" w:sz="4" w:space="0"/>
            </w:tcBorders>
            <w:noWrap w:val="0"/>
            <w:vAlign w:val="center"/>
          </w:tcPr>
          <w:p w14:paraId="4C9FFC54">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《医疗器械监督管理条例》第九十条第（三）项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三）医疗器械使用单位未按照规定将大型医疗器械以及植入和介入类医疗器械的信息记载到病历等相关记录中；</w:t>
            </w:r>
          </w:p>
        </w:tc>
        <w:tc>
          <w:tcPr>
            <w:tcW w:w="1060" w:type="pct"/>
            <w:tcBorders>
              <w:top w:val="single" w:color="000000" w:sz="4" w:space="0"/>
              <w:left w:val="single" w:color="000000" w:sz="4" w:space="0"/>
              <w:bottom w:val="single" w:color="000000" w:sz="4" w:space="0"/>
              <w:right w:val="single" w:color="000000" w:sz="4" w:space="0"/>
            </w:tcBorders>
            <w:noWrap w:val="0"/>
            <w:vAlign w:val="center"/>
          </w:tcPr>
          <w:p w14:paraId="5C842573">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符合下列情形：</w:t>
            </w:r>
          </w:p>
          <w:p w14:paraId="769A9513">
            <w:pPr>
              <w:keepNext w:val="0"/>
              <w:keepLines w:val="0"/>
              <w:widowControl/>
              <w:numPr>
                <w:ilvl w:val="0"/>
                <w:numId w:val="0"/>
              </w:numPr>
              <w:suppressLineNumbers w:val="0"/>
              <w:spacing w:line="340" w:lineRule="exact"/>
              <w:ind w:left="0" w:leftChars="0" w:firstLine="0" w:firstLineChars="0"/>
              <w:jc w:val="left"/>
              <w:textAlignment w:val="center"/>
              <w:rPr>
                <w:rFonts w:hint="eastAsia"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 w:eastAsia="zh-CN" w:bidi="ar"/>
              </w:rPr>
              <w:t>1</w:t>
            </w:r>
            <w:r>
              <w:rPr>
                <w:rFonts w:hint="eastAsia" w:ascii="宋体" w:hAnsi="宋体" w:eastAsia="宋体" w:cs="宋体"/>
                <w:i w:val="0"/>
                <w:color w:val="auto"/>
                <w:kern w:val="0"/>
                <w:sz w:val="21"/>
                <w:szCs w:val="21"/>
                <w:u w:val="none"/>
                <w:lang w:val="en-US" w:eastAsia="zh-CN" w:bidi="ar"/>
              </w:rPr>
              <w:t>.违法行为初次发生，</w:t>
            </w:r>
            <w:r>
              <w:rPr>
                <w:rFonts w:hint="eastAsia" w:ascii="宋体" w:hAnsi="宋体" w:eastAsia="宋体" w:cs="宋体"/>
                <w:i w:val="0"/>
                <w:color w:val="auto"/>
                <w:kern w:val="0"/>
                <w:sz w:val="21"/>
                <w:szCs w:val="21"/>
                <w:highlight w:val="none"/>
                <w:u w:val="none"/>
                <w:lang w:val="en-US" w:eastAsia="zh-CN" w:bidi="ar"/>
              </w:rPr>
              <w:t>且危害后果无或轻微，</w:t>
            </w:r>
            <w:r>
              <w:rPr>
                <w:rFonts w:hint="eastAsia" w:ascii="宋体" w:hAnsi="宋体" w:eastAsia="宋体" w:cs="宋体"/>
                <w:i w:val="0"/>
                <w:color w:val="auto"/>
                <w:kern w:val="0"/>
                <w:sz w:val="21"/>
                <w:szCs w:val="21"/>
                <w:u w:val="none"/>
                <w:lang w:val="en-US" w:eastAsia="zh-CN" w:bidi="ar"/>
              </w:rPr>
              <w:t>并能够及时改正，</w:t>
            </w:r>
            <w:r>
              <w:rPr>
                <w:rFonts w:hint="eastAsia" w:ascii="宋体" w:hAnsi="宋体" w:eastAsia="宋体" w:cs="宋体"/>
                <w:i w:val="0"/>
                <w:color w:val="auto"/>
                <w:kern w:val="0"/>
                <w:sz w:val="21"/>
                <w:szCs w:val="21"/>
                <w:highlight w:val="none"/>
                <w:u w:val="none"/>
                <w:lang w:val="en-US" w:eastAsia="zh-CN" w:bidi="ar-SA"/>
              </w:rPr>
              <w:t>医疗器械使用单位</w:t>
            </w:r>
            <w:r>
              <w:rPr>
                <w:rFonts w:hint="eastAsia" w:ascii="宋体" w:hAnsi="宋体" w:eastAsia="宋体" w:cs="宋体"/>
                <w:i w:val="0"/>
                <w:color w:val="auto"/>
                <w:kern w:val="0"/>
                <w:sz w:val="21"/>
                <w:szCs w:val="21"/>
                <w:highlight w:val="none"/>
                <w:u w:val="none"/>
                <w:lang w:val="en-US" w:eastAsia="zh-CN" w:bidi="ar"/>
              </w:rPr>
              <w:t>能通过相关记录证明确已合法使用</w:t>
            </w:r>
            <w:r>
              <w:rPr>
                <w:rFonts w:hint="eastAsia" w:ascii="宋体" w:hAnsi="宋体" w:eastAsia="宋体" w:cs="宋体"/>
                <w:i w:val="0"/>
                <w:color w:val="auto"/>
                <w:kern w:val="0"/>
                <w:sz w:val="21"/>
                <w:szCs w:val="21"/>
                <w:highlight w:val="none"/>
                <w:u w:val="none"/>
                <w:lang w:val="en-US" w:eastAsia="zh-CN" w:bidi="ar-SA"/>
              </w:rPr>
              <w:t>大型医疗器械、植入和介入类医疗器械</w:t>
            </w:r>
            <w:r>
              <w:rPr>
                <w:rFonts w:hint="eastAsia" w:ascii="宋体" w:hAnsi="宋体" w:eastAsia="宋体" w:cs="宋体"/>
                <w:i w:val="0"/>
                <w:color w:val="auto"/>
                <w:kern w:val="0"/>
                <w:sz w:val="21"/>
                <w:szCs w:val="21"/>
                <w:highlight w:val="none"/>
                <w:u w:val="none"/>
                <w:lang w:val="en-US" w:eastAsia="zh-CN" w:bidi="ar"/>
              </w:rPr>
              <w:t>，不涉及投诉举报、媒体负面报道、负面舆情。</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53DE8B8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要求当事人改正违法行为，按照整改期限提交整改情况报告，签订《合法诚信承诺书》</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A46C025">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市区两级</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0A6D108E">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 w:eastAsia="zh-CN" w:bidi="ar-SA"/>
              </w:rPr>
            </w:pPr>
            <w:r>
              <w:rPr>
                <w:rFonts w:hint="eastAsia" w:ascii="宋体" w:hAnsi="宋体" w:eastAsia="宋体" w:cs="宋体"/>
                <w:i w:val="0"/>
                <w:color w:val="auto"/>
                <w:kern w:val="2"/>
                <w:sz w:val="21"/>
                <w:szCs w:val="21"/>
                <w:u w:val="none"/>
                <w:lang w:val="en" w:eastAsia="zh-CN" w:bidi="ar-SA"/>
              </w:rPr>
              <w:t>医疗</w:t>
            </w:r>
            <w:r>
              <w:rPr>
                <w:rFonts w:hint="eastAsia" w:ascii="宋体" w:hAnsi="宋体" w:eastAsia="宋体" w:cs="宋体"/>
                <w:i w:val="0"/>
                <w:color w:val="auto"/>
                <w:kern w:val="2"/>
                <w:sz w:val="21"/>
                <w:szCs w:val="21"/>
                <w:u w:val="none"/>
                <w:lang w:val="en-US" w:eastAsia="zh-CN" w:bidi="ar-SA"/>
              </w:rPr>
              <w:t xml:space="preserve"> </w:t>
            </w:r>
            <w:r>
              <w:rPr>
                <w:rFonts w:hint="eastAsia" w:ascii="宋体" w:hAnsi="宋体" w:eastAsia="宋体" w:cs="宋体"/>
                <w:i w:val="0"/>
                <w:color w:val="auto"/>
                <w:kern w:val="2"/>
                <w:sz w:val="21"/>
                <w:szCs w:val="21"/>
                <w:u w:val="none"/>
                <w:lang w:val="en" w:eastAsia="zh-CN" w:bidi="ar-SA"/>
              </w:rPr>
              <w:t>卫生</w:t>
            </w:r>
          </w:p>
        </w:tc>
      </w:tr>
      <w:tr w14:paraId="4AB3A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1CB8737B">
            <w:pPr>
              <w:keepNext w:val="0"/>
              <w:keepLines w:val="0"/>
              <w:widowControl/>
              <w:suppressLineNumbers w:val="0"/>
              <w:spacing w:line="34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19</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2BCF8724">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C2830800B010</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3D455558">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医疗机构无专职或者兼职人员负责本单位药品不良反应监测工作的</w:t>
            </w:r>
          </w:p>
        </w:tc>
        <w:tc>
          <w:tcPr>
            <w:tcW w:w="1305" w:type="pct"/>
            <w:tcBorders>
              <w:top w:val="single" w:color="000000" w:sz="4" w:space="0"/>
              <w:left w:val="single" w:color="000000" w:sz="4" w:space="0"/>
              <w:bottom w:val="single" w:color="000000" w:sz="4" w:space="0"/>
              <w:right w:val="single" w:color="000000" w:sz="4" w:space="0"/>
            </w:tcBorders>
            <w:noWrap w:val="0"/>
            <w:vAlign w:val="center"/>
          </w:tcPr>
          <w:p w14:paraId="04919ACE">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《药品不良反应报告和监测管理办法》第六十条 医疗机构有下列情形之一的，由所在地卫生行政部门给予警告，责令限期改正；逾期不改的，处3万元以下的罚款：（一）无专职或者兼职人员负责本单位药品不良反应监测工作的；</w:t>
            </w:r>
          </w:p>
        </w:tc>
        <w:tc>
          <w:tcPr>
            <w:tcW w:w="1060" w:type="pct"/>
            <w:tcBorders>
              <w:top w:val="single" w:color="000000" w:sz="4" w:space="0"/>
              <w:left w:val="single" w:color="000000" w:sz="4" w:space="0"/>
              <w:bottom w:val="single" w:color="000000" w:sz="4" w:space="0"/>
              <w:right w:val="single" w:color="000000" w:sz="4" w:space="0"/>
            </w:tcBorders>
            <w:noWrap w:val="0"/>
            <w:vAlign w:val="center"/>
          </w:tcPr>
          <w:p w14:paraId="0D31F8A0">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符合下列情形之一：</w:t>
            </w:r>
          </w:p>
          <w:p w14:paraId="28CBC89B">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1.违法行为轻微并及时改正，没有造成危害后果，</w:t>
            </w:r>
            <w:r>
              <w:rPr>
                <w:rFonts w:hint="eastAsia" w:ascii="宋体" w:hAnsi="宋体" w:eastAsia="宋体" w:cs="宋体"/>
                <w:i w:val="0"/>
                <w:color w:val="auto"/>
                <w:kern w:val="0"/>
                <w:sz w:val="21"/>
                <w:szCs w:val="21"/>
                <w:highlight w:val="none"/>
                <w:u w:val="none"/>
                <w:lang w:val="en-US" w:eastAsia="zh-CN" w:bidi="ar"/>
              </w:rPr>
              <w:t>不涉及投诉举报、媒体负面报道、负面舆情。</w:t>
            </w:r>
          </w:p>
          <w:p w14:paraId="799B197E">
            <w:pPr>
              <w:keepNext w:val="0"/>
              <w:keepLines w:val="0"/>
              <w:widowControl/>
              <w:numPr>
                <w:ilvl w:val="0"/>
                <w:numId w:val="0"/>
              </w:numPr>
              <w:suppressLineNumbers w:val="0"/>
              <w:spacing w:line="340" w:lineRule="exact"/>
              <w:ind w:left="0" w:leftChars="0" w:firstLine="0" w:firstLineChars="0"/>
              <w:jc w:val="left"/>
              <w:textAlignment w:val="center"/>
              <w:rPr>
                <w:rFonts w:hint="default" w:ascii="宋体" w:hAnsi="宋体" w:eastAsia="宋体" w:cs="宋体"/>
                <w:i w:val="0"/>
                <w:color w:val="auto"/>
                <w:kern w:val="0"/>
                <w:sz w:val="21"/>
                <w:szCs w:val="21"/>
                <w:u w:val="none"/>
                <w:lang w:val="en" w:eastAsia="zh-CN" w:bidi="ar"/>
              </w:rPr>
            </w:pPr>
            <w:r>
              <w:rPr>
                <w:rFonts w:hint="eastAsia" w:ascii="宋体" w:hAnsi="宋体" w:eastAsia="宋体" w:cs="宋体"/>
                <w:i w:val="0"/>
                <w:color w:val="auto"/>
                <w:kern w:val="0"/>
                <w:sz w:val="21"/>
                <w:szCs w:val="21"/>
                <w:u w:val="none"/>
                <w:lang w:val="en-US" w:eastAsia="zh-CN" w:bidi="ar"/>
              </w:rPr>
              <w:t>2.违法行为初次发生，且危害后果轻微，并能够及时改正，</w:t>
            </w:r>
            <w:r>
              <w:rPr>
                <w:rFonts w:hint="eastAsia" w:ascii="宋体" w:hAnsi="宋体" w:eastAsia="宋体" w:cs="宋体"/>
                <w:i w:val="0"/>
                <w:color w:val="auto"/>
                <w:kern w:val="0"/>
                <w:sz w:val="21"/>
                <w:szCs w:val="21"/>
                <w:highlight w:val="none"/>
                <w:u w:val="none"/>
                <w:lang w:val="en-US" w:eastAsia="zh-CN" w:bidi="ar"/>
              </w:rPr>
              <w:t>不涉及投诉举报、媒体负面报道、负面舆情。</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630418D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要求当事人改正违法行为，按照整改期限提交整改情况报告，签订《合法诚信承诺书》</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AA5A6FA">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市区两级</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7674BE1C">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 w:eastAsia="zh-CN" w:bidi="ar-SA"/>
              </w:rPr>
            </w:pPr>
            <w:r>
              <w:rPr>
                <w:rFonts w:hint="eastAsia" w:ascii="宋体" w:hAnsi="宋体" w:eastAsia="宋体" w:cs="宋体"/>
                <w:i w:val="0"/>
                <w:color w:val="auto"/>
                <w:kern w:val="2"/>
                <w:sz w:val="21"/>
                <w:szCs w:val="21"/>
                <w:u w:val="none"/>
                <w:lang w:val="en" w:eastAsia="zh-CN" w:bidi="ar-SA"/>
              </w:rPr>
              <w:t>医疗</w:t>
            </w:r>
            <w:r>
              <w:rPr>
                <w:rFonts w:hint="eastAsia" w:ascii="宋体" w:hAnsi="宋体" w:eastAsia="宋体" w:cs="宋体"/>
                <w:i w:val="0"/>
                <w:color w:val="auto"/>
                <w:kern w:val="2"/>
                <w:sz w:val="21"/>
                <w:szCs w:val="21"/>
                <w:u w:val="none"/>
                <w:lang w:val="en-US" w:eastAsia="zh-CN" w:bidi="ar-SA"/>
              </w:rPr>
              <w:t xml:space="preserve"> </w:t>
            </w:r>
            <w:r>
              <w:rPr>
                <w:rFonts w:hint="eastAsia" w:ascii="宋体" w:hAnsi="宋体" w:eastAsia="宋体" w:cs="宋体"/>
                <w:i w:val="0"/>
                <w:color w:val="auto"/>
                <w:kern w:val="2"/>
                <w:sz w:val="21"/>
                <w:szCs w:val="21"/>
                <w:u w:val="none"/>
                <w:lang w:val="en" w:eastAsia="zh-CN" w:bidi="ar-SA"/>
              </w:rPr>
              <w:t>卫生</w:t>
            </w:r>
          </w:p>
        </w:tc>
      </w:tr>
    </w:tbl>
    <w:p w14:paraId="693E3BF1">
      <w:pPr>
        <w:pStyle w:val="2"/>
        <w:ind w:left="0" w:leftChars="0" w:firstLine="0" w:firstLineChars="0"/>
        <w:rPr>
          <w:rFonts w:hint="eastAsia"/>
          <w:lang w:val="en-US" w:eastAsia="zh-CN"/>
        </w:rPr>
      </w:pPr>
    </w:p>
    <w:p w14:paraId="1A79E2E2">
      <w:pPr>
        <w:widowControl/>
        <w:adjustRightInd w:val="0"/>
        <w:snapToGrid w:val="0"/>
        <w:spacing w:beforeLines="0" w:line="240" w:lineRule="auto"/>
        <w:rPr>
          <w:rFonts w:hint="eastAsia"/>
          <w:lang w:val="en-US"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此件公开发布</w:t>
      </w:r>
      <w:r>
        <w:rPr>
          <w:rFonts w:hint="eastAsia" w:ascii="仿宋_GB2312" w:hAnsi="仿宋_GB2312" w:eastAsia="仿宋_GB2312" w:cs="仿宋_GB2312"/>
          <w:color w:val="000000"/>
          <w:sz w:val="32"/>
          <w:szCs w:val="32"/>
        </w:rPr>
        <w:t>）</w:t>
      </w:r>
      <w:r>
        <w:rPr>
          <w:rFonts w:hint="eastAsia"/>
          <w:color w:val="000000"/>
          <w:sz w:val="28"/>
          <w:szCs w:val="28"/>
        </w:rPr>
        <w:t xml:space="preserve"> </w:t>
      </w:r>
    </w:p>
    <w:p w14:paraId="615DA7A9"/>
    <w:sectPr>
      <w:headerReference r:id="rId3" w:type="default"/>
      <w:footerReference r:id="rId4" w:type="default"/>
      <w:footerReference r:id="rId5" w:type="even"/>
      <w:pgSz w:w="16838" w:h="11906" w:orient="landscape"/>
      <w:pgMar w:top="1588" w:right="1985" w:bottom="1418"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DejaVu Sans Mono"/>
    <w:panose1 w:val="020B0603030804020204"/>
    <w:charset w:val="00"/>
    <w:family w:val="auto"/>
    <w:pitch w:val="default"/>
    <w:sig w:usb0="00000000" w:usb1="00000000" w:usb2="0A246029" w:usb3="0400200C" w:csb0="600001FF" w:csb1="DFFF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DejaVu Sans Mono">
    <w:panose1 w:val="020B0609030804020204"/>
    <w:charset w:val="00"/>
    <w:family w:val="auto"/>
    <w:pitch w:val="default"/>
    <w:sig w:usb0="E00002FF" w:usb1="5000F9FB" w:usb2="00000020" w:usb3="00000000" w:csb0="6000009F" w:csb1="9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1FE0">
    <w:pPr>
      <w:pStyle w:val="3"/>
      <w:framePr w:wrap="around" w:vAnchor="text" w:hAnchor="margin" w:xAlign="outside" w:y="1"/>
      <w:rPr>
        <w:rStyle w:val="7"/>
        <w:rFonts w:hint="eastAsia" w:ascii="宋体-PUA" w:eastAsia="宋体-PUA"/>
      </w:rPr>
    </w:pP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- 1 -</w:t>
    </w:r>
    <w:r>
      <w:rPr>
        <w:rFonts w:hint="eastAsia" w:ascii="宋体" w:hAnsi="宋体" w:eastAsia="宋体" w:cs="宋体"/>
        <w:sz w:val="28"/>
        <w:szCs w:val="28"/>
      </w:rPr>
      <w:fldChar w:fldCharType="end"/>
    </w:r>
  </w:p>
  <w:p w14:paraId="4C0F0AD7">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D1A5C">
    <w:pPr>
      <w:pStyle w:val="3"/>
      <w:framePr w:wrap="around" w:vAnchor="text" w:hAnchor="margin" w:xAlign="outside" w:y="1"/>
      <w:rPr>
        <w:rStyle w:val="7"/>
      </w:rPr>
    </w:pPr>
    <w:r>
      <w:fldChar w:fldCharType="begin"/>
    </w:r>
    <w:r>
      <w:rPr>
        <w:rStyle w:val="7"/>
      </w:rPr>
      <w:instrText xml:space="preserve">PAGE  </w:instrText>
    </w:r>
    <w:r>
      <w:fldChar w:fldCharType="end"/>
    </w:r>
  </w:p>
  <w:p w14:paraId="2FEEEBBA">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5B6AE">
    <w:pPr>
      <w:widowControl w:val="0"/>
      <w:pBdr>
        <w:bottom w:val="none" w:color="auto" w:sz="0" w:space="1"/>
      </w:pBdr>
      <w:snapToGrid w:val="0"/>
      <w:jc w:val="center"/>
      <w:rPr>
        <w:rFonts w:ascii="Times New Roman" w:hAnsi="Times New Roman" w:eastAsia="楷体_GB2312" w:cs="Times New Roman"/>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34E34"/>
    <w:rsid w:val="7DE34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next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font51"/>
    <w:basedOn w:val="6"/>
    <w:qFormat/>
    <w:uiPriority w:val="0"/>
    <w:rPr>
      <w:rFonts w:ascii="DejaVu Sans" w:hAnsi="DejaVu Sans" w:eastAsia="DejaVu Sans" w:cs="DejaVu Sans"/>
      <w:color w:val="000000"/>
      <w:sz w:val="18"/>
      <w:szCs w:val="18"/>
      <w:u w:val="none"/>
    </w:rPr>
  </w:style>
  <w:style w:type="paragraph" w:customStyle="1" w:styleId="9">
    <w:name w:val=" Char"/>
    <w:basedOn w:val="1"/>
    <w:qFormat/>
    <w:uiPriority w:val="0"/>
    <w:rPr>
      <w:rFonts w:ascii="宋体" w:hAnsi="宋体" w:cs="Courier New"/>
      <w:sz w:val="32"/>
      <w:szCs w:val="32"/>
    </w:rPr>
  </w:style>
  <w:style w:type="character" w:customStyle="1" w:styleId="10">
    <w:name w:val="font9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2025-05-20T09:28:00Z</dcterms:created>
  <dc:creator>秉</dc:creator>
  <cp:lastModifiedBy>秉</cp:lastModifiedBy>
  <dcterms:modified xsi:type="dcterms:W3CDTF">2025-05-20T09:29:12Z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ECD808A5FE4F472B8C395E4C8BB7F5A4_11</vt:lpwstr>
  </property>
  <property fmtid="{D5CDD505-2E9C-101B-9397-08002B2CF9AE}" pid="4" name="KSOTemplateDocerSaveRecord">
    <vt:lpwstr>eyJoZGlkIjoiZjVhODU4MDQwZjkzNDlhNmY5ZjRmZjI0N2EyMWE3ZTIiLCJ1c2VySWQiOiI1MjM0MjE0NjQifQ==</vt:lpwstr>
  </property>
</Properties>
</file>