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4DB4E">
      <w:pPr>
        <w:wordWrap w:val="0"/>
        <w:spacing w:line="1400" w:lineRule="exact"/>
        <w:ind w:right="578"/>
        <w:rPr>
          <w:rFonts w:hint="eastAsia" w:ascii="黑体" w:hAnsi="宋体" w:eastAsia="黑体"/>
          <w:color w:val="000000"/>
          <w:kern w:val="84"/>
          <w:sz w:val="32"/>
          <w:szCs w:val="32"/>
        </w:rPr>
      </w:pPr>
      <w:bookmarkStart w:id="0" w:name="_GoBack"/>
      <w:bookmarkEnd w:id="0"/>
    </w:p>
    <w:p w14:paraId="5C7B1E23">
      <w:pPr>
        <w:spacing w:line="820" w:lineRule="exact"/>
        <w:ind w:right="144" w:firstLine="6174" w:firstLineChars="2144"/>
        <w:jc w:val="right"/>
        <w:rPr>
          <w:rFonts w:hint="eastAsia" w:ascii="黑体" w:hAnsi="宋体" w:eastAsia="黑体"/>
          <w:color w:val="000000"/>
          <w:w w:val="90"/>
          <w:kern w:val="84"/>
          <w:sz w:val="32"/>
          <w:szCs w:val="32"/>
        </w:rPr>
      </w:pPr>
    </w:p>
    <w:p w14:paraId="497BCA96">
      <w:pPr>
        <w:spacing w:line="1200" w:lineRule="exact"/>
        <w:jc w:val="center"/>
        <w:rPr>
          <w:rFonts w:hint="eastAsia" w:ascii="仿宋_GB2312" w:eastAsia="仿宋_GB2312"/>
          <w:color w:val="FFFFFF" w:themeColor="background1"/>
          <w:w w:val="50"/>
          <w:sz w:val="110"/>
          <w:szCs w:val="110"/>
          <w14:textFill>
            <w14:solidFill>
              <w14:schemeClr w14:val="bg1"/>
            </w14:solidFill>
          </w14:textFill>
        </w:rPr>
      </w:pPr>
      <w:r>
        <w:rPr>
          <w:rFonts w:hint="eastAsia" w:ascii="方正小标宋简体" w:eastAsia="方正小标宋简体"/>
          <w:color w:val="FFFFFF" w:themeColor="background1"/>
          <w:w w:val="50"/>
          <w:kern w:val="84"/>
          <w:sz w:val="110"/>
          <w:szCs w:val="110"/>
          <w14:textFill>
            <w14:solidFill>
              <w14:schemeClr w14:val="bg1"/>
            </w14:solidFill>
          </w14:textFill>
        </w:rPr>
        <w:t>北京市住房和城乡建设委员会文件</w:t>
      </w:r>
    </w:p>
    <w:p w14:paraId="3A6B4E57">
      <w:pPr>
        <w:spacing w:line="560" w:lineRule="exact"/>
        <w:ind w:firstLine="160" w:firstLineChars="50"/>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pacing w:val="-20"/>
          <w:sz w:val="32"/>
          <w:szCs w:val="32"/>
        </w:rPr>
        <w:t xml:space="preserve"> </w:t>
      </w:r>
      <w:r>
        <w:rPr>
          <w:rFonts w:hint="eastAsia" w:ascii="仿宋_GB2312" w:eastAsia="仿宋_GB2312"/>
          <w:sz w:val="32"/>
        </w:rPr>
        <w:t xml:space="preserve">                             </w:t>
      </w:r>
    </w:p>
    <w:p w14:paraId="4FF12B40">
      <w:pPr>
        <w:autoSpaceDE w:val="0"/>
        <w:autoSpaceDN w:val="0"/>
        <w:adjustRightInd w:val="0"/>
        <w:spacing w:line="560" w:lineRule="exact"/>
        <w:rPr>
          <w:rFonts w:hint="eastAsia" w:ascii="楷体_GB2312" w:eastAsia="楷体_GB2312" w:cs="楷体_GB2312"/>
          <w:sz w:val="32"/>
          <w:szCs w:val="32"/>
          <w:lang w:val="zh-CN"/>
        </w:rPr>
      </w:pPr>
    </w:p>
    <w:p w14:paraId="52DDFA3C">
      <w:pPr>
        <w:autoSpaceDE w:val="0"/>
        <w:autoSpaceDN w:val="0"/>
        <w:adjustRightInd w:val="0"/>
        <w:spacing w:line="520" w:lineRule="exact"/>
        <w:jc w:val="center"/>
        <w:rPr>
          <w:rFonts w:hint="eastAsia" w:ascii="仿宋_GB2312" w:eastAsia="仿宋_GB2312" w:cs="楷体_GB2312"/>
          <w:sz w:val="32"/>
          <w:szCs w:val="32"/>
          <w:lang w:val="zh-CN"/>
        </w:rPr>
      </w:pPr>
      <w:r>
        <w:rPr>
          <w:rFonts w:hint="eastAsia" w:ascii="仿宋_GB2312" w:eastAsia="仿宋_GB2312" w:cs="楷体_GB2312"/>
          <w:sz w:val="32"/>
          <w:szCs w:val="32"/>
          <w:lang w:val="zh-CN"/>
        </w:rPr>
        <w:t>京建法〔202</w:t>
      </w:r>
      <w:r>
        <w:rPr>
          <w:rFonts w:hint="eastAsia" w:ascii="仿宋_GB2312" w:eastAsia="仿宋_GB2312" w:cs="楷体_GB2312"/>
          <w:sz w:val="32"/>
          <w:szCs w:val="32"/>
          <w:lang w:val="en-US" w:eastAsia="zh-CN"/>
        </w:rPr>
        <w:t>5</w:t>
      </w:r>
      <w:r>
        <w:rPr>
          <w:rFonts w:hint="eastAsia" w:ascii="仿宋_GB2312" w:eastAsia="仿宋_GB2312" w:cs="楷体_GB2312"/>
          <w:sz w:val="32"/>
          <w:szCs w:val="32"/>
          <w:lang w:val="zh-CN"/>
        </w:rPr>
        <w:t>〕</w:t>
      </w:r>
      <w:r>
        <w:rPr>
          <w:rFonts w:hint="eastAsia" w:ascii="仿宋_GB2312" w:eastAsia="仿宋_GB2312" w:cs="楷体_GB2312"/>
          <w:sz w:val="32"/>
          <w:szCs w:val="32"/>
          <w:lang w:val="en-US" w:eastAsia="zh-CN"/>
        </w:rPr>
        <w:t>1</w:t>
      </w:r>
      <w:r>
        <w:rPr>
          <w:rFonts w:hint="eastAsia" w:ascii="仿宋_GB2312" w:eastAsia="仿宋_GB2312" w:cs="楷体_GB2312"/>
          <w:sz w:val="32"/>
          <w:szCs w:val="32"/>
          <w:lang w:val="zh-CN"/>
        </w:rPr>
        <w:t>号</w:t>
      </w:r>
    </w:p>
    <w:p w14:paraId="553B9626">
      <w:pPr>
        <w:spacing w:line="600" w:lineRule="exact"/>
        <w:rPr>
          <w:rFonts w:hint="eastAsia" w:ascii="仿宋_GB2312" w:eastAsia="仿宋_GB2312" w:cs="楷体_GB2312"/>
          <w:sz w:val="32"/>
          <w:szCs w:val="32"/>
        </w:rPr>
      </w:pPr>
      <w:r>
        <w:rPr>
          <w:rFonts w:hint="eastAsia" w:ascii="仿宋_GB2312" w:eastAsia="仿宋_GB2312" w:cs="楷体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91440</wp:posOffset>
                </wp:positionV>
                <wp:extent cx="5600700" cy="0"/>
                <wp:effectExtent l="0" t="9525" r="0" b="9525"/>
                <wp:wrapNone/>
                <wp:docPr id="1" name="直线 519"/>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chemeClr val="bg1"/>
                          </a:solidFill>
                          <a:prstDash val="solid"/>
                          <a:headEnd type="none" w="med" len="med"/>
                          <a:tailEnd type="none" w="med" len="med"/>
                        </a:ln>
                      </wps:spPr>
                      <wps:bodyPr upright="1"/>
                    </wps:wsp>
                  </a:graphicData>
                </a:graphic>
              </wp:anchor>
            </w:drawing>
          </mc:Choice>
          <mc:Fallback>
            <w:pict>
              <v:line id="直线 519" o:spid="_x0000_s1026" o:spt="20" style="position:absolute;left:0pt;margin-left:0pt;margin-top:7.2pt;height:0pt;width:441pt;z-index:251659264;mso-width-relative:page;mso-height-relative:page;" filled="f" stroked="t" coordsize="21600,21600" o:gfxdata="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zPQHTAAAA&#10;BgEAAA8AAAAAAAAAAQAgAAAAIgAAAGRycy9kb3ducmV2LnhtbFBLAQIUABQAAAAIAIdO4kDC/HKB&#10;6QEAAN4DAAAOAAAAAAAAAAEAIAAAACIBAABkcnMvZTJvRG9jLnhtbFBLBQYAAAAABgAGAFkBAAB9&#10;BQAAAAA=&#10;">
                <v:fill on="f" focussize="0,0"/>
                <v:stroke weight="1.5pt" color="#FFFFFF [3212]" joinstyle="round"/>
                <v:imagedata o:title=""/>
                <o:lock v:ext="edit" aspectratio="f"/>
              </v:line>
            </w:pict>
          </mc:Fallback>
        </mc:AlternateContent>
      </w:r>
    </w:p>
    <w:p w14:paraId="49D065A9">
      <w:pPr>
        <w:spacing w:line="600" w:lineRule="exact"/>
        <w:rPr>
          <w:rFonts w:hint="eastAsia" w:ascii="仿宋_GB2312" w:eastAsia="仿宋_GB2312" w:cs="楷体_GB2312"/>
          <w:sz w:val="32"/>
          <w:szCs w:val="32"/>
        </w:rPr>
      </w:pPr>
    </w:p>
    <w:p w14:paraId="3BC1016E">
      <w:pPr>
        <w:spacing w:line="560" w:lineRule="exact"/>
        <w:jc w:val="center"/>
        <w:rPr>
          <w:rFonts w:hint="eastAsia" w:ascii="方正小标宋简体" w:eastAsia="方正小标宋简体" w:cs="楷体_GB2312"/>
          <w:sz w:val="44"/>
          <w:szCs w:val="44"/>
        </w:rPr>
      </w:pPr>
      <w:r>
        <w:rPr>
          <w:rFonts w:hint="eastAsia" w:ascii="方正小标宋简体" w:eastAsia="方正小标宋简体" w:cs="楷体_GB2312"/>
          <w:sz w:val="44"/>
          <w:szCs w:val="44"/>
        </w:rPr>
        <w:t>北京市住房和城乡建设委员会</w:t>
      </w:r>
    </w:p>
    <w:p w14:paraId="6E4ECF8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s="楷体_GB2312"/>
          <w:sz w:val="44"/>
          <w:szCs w:val="44"/>
        </w:rPr>
      </w:pPr>
      <w:r>
        <w:rPr>
          <w:rFonts w:hint="eastAsia" w:ascii="方正小标宋简体" w:eastAsia="方正小标宋简体" w:cs="楷体_GB2312"/>
          <w:sz w:val="44"/>
          <w:szCs w:val="44"/>
        </w:rPr>
        <w:t>关于调整《北京市住房城乡建设系统行政处罚裁量基准》部分条款的通知</w:t>
      </w:r>
    </w:p>
    <w:p w14:paraId="32510263">
      <w:pPr>
        <w:pStyle w:val="2"/>
        <w:rPr>
          <w:rFonts w:hint="eastAsia"/>
        </w:rPr>
      </w:pPr>
    </w:p>
    <w:p w14:paraId="6EE05BD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eastAsia="仿宋_GB2312"/>
          <w:sz w:val="32"/>
          <w:szCs w:val="32"/>
        </w:rPr>
      </w:pPr>
      <w:r>
        <w:rPr>
          <w:rFonts w:hint="eastAsia" w:ascii="仿宋_GB2312" w:eastAsia="仿宋_GB2312"/>
          <w:sz w:val="32"/>
          <w:szCs w:val="32"/>
        </w:rPr>
        <w:t>各区住房城乡建设委（房管局），东城、西城、石景山区住房城市建设委，</w:t>
      </w:r>
      <w:r>
        <w:rPr>
          <w:rFonts w:hint="eastAsia" w:ascii="仿宋_GB2312" w:eastAsia="仿宋_GB2312"/>
          <w:sz w:val="32"/>
          <w:szCs w:val="32"/>
          <w:lang w:eastAsia="zh-CN"/>
        </w:rPr>
        <w:t>北京</w:t>
      </w:r>
      <w:r>
        <w:rPr>
          <w:rFonts w:hint="eastAsia" w:ascii="仿宋_GB2312" w:eastAsia="仿宋_GB2312"/>
          <w:sz w:val="32"/>
          <w:szCs w:val="32"/>
        </w:rPr>
        <w:t>经济技术开发区</w:t>
      </w:r>
      <w:r>
        <w:rPr>
          <w:rFonts w:hint="eastAsia" w:ascii="仿宋_GB2312" w:eastAsia="仿宋_GB2312"/>
          <w:sz w:val="32"/>
          <w:szCs w:val="32"/>
          <w:lang w:eastAsia="zh-CN"/>
        </w:rPr>
        <w:t>开发建设局（综合执法局）</w:t>
      </w:r>
      <w:r>
        <w:rPr>
          <w:rFonts w:hint="eastAsia" w:ascii="仿宋_GB2312" w:eastAsia="仿宋_GB2312"/>
          <w:sz w:val="32"/>
          <w:szCs w:val="32"/>
        </w:rPr>
        <w:t>，机关各处室、各直属单位</w:t>
      </w:r>
      <w:r>
        <w:rPr>
          <w:rFonts w:hint="eastAsia" w:ascii="仿宋_GB2312" w:eastAsia="仿宋_GB2312"/>
          <w:sz w:val="32"/>
          <w:szCs w:val="32"/>
          <w:lang w:eastAsia="zh-CN"/>
        </w:rPr>
        <w:t>，各有关单位</w:t>
      </w:r>
      <w:r>
        <w:rPr>
          <w:rFonts w:hint="eastAsia" w:ascii="仿宋_GB2312" w:eastAsia="仿宋_GB2312"/>
          <w:sz w:val="32"/>
          <w:szCs w:val="32"/>
        </w:rPr>
        <w:t>：</w:t>
      </w:r>
    </w:p>
    <w:p w14:paraId="4A375DF6">
      <w:pPr>
        <w:spacing w:line="540" w:lineRule="exact"/>
        <w:ind w:firstLine="645"/>
        <w:jc w:val="left"/>
        <w:rPr>
          <w:rFonts w:hint="eastAsia" w:ascii="仿宋_GB2312" w:eastAsia="仿宋_GB2312"/>
          <w:sz w:val="32"/>
          <w:szCs w:val="32"/>
        </w:rPr>
      </w:pPr>
      <w:r>
        <w:rPr>
          <w:rFonts w:hint="eastAsia" w:ascii="仿宋_GB2312" w:eastAsia="仿宋_GB2312"/>
          <w:sz w:val="32"/>
          <w:szCs w:val="32"/>
        </w:rPr>
        <w:t>为贯彻落实《中华人民共和国噪声污染防治法》《国务院办公厅关于进一步规范行政裁量权基准制定和管理工作的意见》，根据北京市人民政府《〈中华人民共和国噪声污染防治法〉相关条款政府指定部门》确定的分工，市住房城乡建设委制定了噪声污染防治相关行政处罚裁量基准，新增行政处罚裁量基准6项。结合工作实际，调整《北京市建设工程质量条例》行政处罚裁量基准1项。现</w:t>
      </w:r>
      <w:r>
        <w:rPr>
          <w:rFonts w:hint="eastAsia" w:ascii="仿宋_GB2312" w:eastAsia="仿宋_GB2312"/>
          <w:sz w:val="32"/>
          <w:szCs w:val="32"/>
          <w:lang w:eastAsia="zh-CN"/>
        </w:rPr>
        <w:t>将调整内容</w:t>
      </w:r>
      <w:r>
        <w:rPr>
          <w:rFonts w:hint="eastAsia" w:ascii="仿宋_GB2312" w:eastAsia="仿宋_GB2312"/>
          <w:sz w:val="32"/>
          <w:szCs w:val="32"/>
        </w:rPr>
        <w:t>印发给你们，请认真贯彻执行。</w:t>
      </w:r>
    </w:p>
    <w:p w14:paraId="4EAFC3E4">
      <w:pPr>
        <w:spacing w:line="540" w:lineRule="exact"/>
        <w:ind w:firstLine="645"/>
        <w:jc w:val="left"/>
        <w:rPr>
          <w:rFonts w:ascii="仿宋_GB2312" w:eastAsia="仿宋_GB2312"/>
          <w:color w:val="000000"/>
          <w:sz w:val="32"/>
          <w:szCs w:val="32"/>
        </w:rPr>
      </w:pPr>
      <w:r>
        <w:rPr>
          <w:rFonts w:hint="eastAsia" w:ascii="仿宋_GB2312" w:eastAsia="仿宋_GB2312"/>
          <w:sz w:val="32"/>
          <w:szCs w:val="32"/>
        </w:rPr>
        <w:t>各单位、各部门要进一步加大行政执法力度，</w:t>
      </w:r>
      <w:r>
        <w:rPr>
          <w:rFonts w:hint="eastAsia" w:ascii="仿宋_GB2312" w:eastAsia="仿宋_GB2312"/>
          <w:sz w:val="32"/>
          <w:szCs w:val="32"/>
          <w:lang w:eastAsia="zh-CN"/>
        </w:rPr>
        <w:t>依法</w:t>
      </w:r>
      <w:r>
        <w:rPr>
          <w:rFonts w:hint="eastAsia" w:ascii="仿宋_GB2312" w:eastAsia="仿宋_GB2312"/>
          <w:sz w:val="32"/>
          <w:szCs w:val="32"/>
        </w:rPr>
        <w:t>严肃查处违法违规行为，不断提高执法水平</w:t>
      </w:r>
      <w:r>
        <w:rPr>
          <w:rFonts w:hint="eastAsia" w:ascii="仿宋_GB2312" w:eastAsia="仿宋_GB2312"/>
          <w:sz w:val="32"/>
          <w:szCs w:val="32"/>
          <w:lang w:eastAsia="zh-CN"/>
        </w:rPr>
        <w:t>。</w:t>
      </w:r>
      <w:r>
        <w:rPr>
          <w:rFonts w:hint="eastAsia" w:ascii="仿宋_GB2312" w:eastAsia="仿宋_GB2312"/>
          <w:sz w:val="32"/>
          <w:szCs w:val="32"/>
        </w:rPr>
        <w:t>在行使行政处罚职权时，全面考量当事人违法行为的事实、性质、情节及危害程度等相关因素，</w:t>
      </w:r>
      <w:r>
        <w:rPr>
          <w:rFonts w:hint="eastAsia" w:ascii="仿宋_GB2312" w:eastAsia="仿宋_GB2312"/>
          <w:sz w:val="32"/>
          <w:szCs w:val="32"/>
          <w:lang w:eastAsia="zh-CN"/>
        </w:rPr>
        <w:t>规范适用</w:t>
      </w:r>
      <w:r>
        <w:rPr>
          <w:rFonts w:hint="eastAsia" w:ascii="仿宋_GB2312" w:eastAsia="仿宋_GB2312"/>
          <w:sz w:val="32"/>
          <w:szCs w:val="32"/>
        </w:rPr>
        <w:t>行政处罚裁量基准。</w:t>
      </w:r>
      <w:r>
        <w:rPr>
          <w:rFonts w:hint="eastAsia" w:ascii="仿宋_GB2312" w:eastAsia="仿宋_GB2312"/>
          <w:sz w:val="32"/>
          <w:szCs w:val="32"/>
          <w:lang w:eastAsia="zh-CN"/>
        </w:rPr>
        <w:t>同时，</w:t>
      </w:r>
      <w:r>
        <w:rPr>
          <w:rFonts w:hint="eastAsia" w:ascii="仿宋_GB2312" w:eastAsia="仿宋_GB2312"/>
          <w:sz w:val="32"/>
          <w:szCs w:val="32"/>
        </w:rPr>
        <w:t>根据“谁处罚、谁公示”的原则，作出行政处罚的机关即为该行政处罚信息的公示主体。各公示主体负责受理申请缩短公示期的相关工作。</w:t>
      </w:r>
    </w:p>
    <w:p w14:paraId="537632D4">
      <w:pPr>
        <w:keepNext w:val="0"/>
        <w:keepLines w:val="0"/>
        <w:pageBreakBefore w:val="0"/>
        <w:widowControl w:val="0"/>
        <w:kinsoku/>
        <w:wordWrap/>
        <w:overflowPunct/>
        <w:topLinePunct w:val="0"/>
        <w:autoSpaceDE/>
        <w:autoSpaceDN/>
        <w:bidi w:val="0"/>
        <w:adjustRightInd/>
        <w:snapToGrid/>
        <w:spacing w:line="520" w:lineRule="exact"/>
        <w:ind w:firstLine="645"/>
        <w:jc w:val="left"/>
        <w:textAlignment w:val="auto"/>
        <w:rPr>
          <w:rFonts w:hint="eastAsia" w:ascii="仿宋_GB2312" w:eastAsia="仿宋_GB2312"/>
          <w:sz w:val="32"/>
          <w:szCs w:val="32"/>
        </w:rPr>
      </w:pPr>
      <w:r>
        <w:rPr>
          <w:rFonts w:hint="eastAsia" w:ascii="仿宋_GB2312" w:eastAsia="仿宋_GB2312"/>
          <w:sz w:val="32"/>
          <w:szCs w:val="32"/>
        </w:rPr>
        <w:t>本通知自印发之日起施行，《北京市住房城乡建设系统行政处罚裁量基准》</w:t>
      </w:r>
      <w:r>
        <w:rPr>
          <w:rFonts w:hint="eastAsia" w:ascii="仿宋_GB2312" w:eastAsia="仿宋_GB2312"/>
          <w:sz w:val="32"/>
          <w:szCs w:val="32"/>
          <w:lang w:eastAsia="zh-CN"/>
        </w:rPr>
        <w:t>相关内容</w:t>
      </w:r>
      <w:r>
        <w:rPr>
          <w:rFonts w:hint="eastAsia" w:ascii="仿宋_GB2312" w:eastAsia="仿宋_GB2312"/>
          <w:sz w:val="32"/>
          <w:szCs w:val="32"/>
        </w:rPr>
        <w:t>与本通知不一致的部分，以本通知为准。</w:t>
      </w:r>
    </w:p>
    <w:p w14:paraId="0E1BBA03">
      <w:pPr>
        <w:spacing w:line="580" w:lineRule="exact"/>
        <w:ind w:left="960" w:hanging="960" w:hangingChars="300"/>
        <w:jc w:val="left"/>
        <w:rPr>
          <w:rFonts w:hint="eastAsia" w:ascii="仿宋_GB2312" w:hAnsi="仿宋_GB2312" w:eastAsia="仿宋_GB2312" w:cs="仿宋_GB2312"/>
          <w:sz w:val="32"/>
          <w:szCs w:val="32"/>
        </w:rPr>
      </w:pPr>
    </w:p>
    <w:p w14:paraId="4C59080B">
      <w:pPr>
        <w:spacing w:line="580" w:lineRule="exact"/>
        <w:ind w:left="1598" w:leftChars="304" w:hanging="960" w:hangingChars="3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北京市住房城乡建设系统行政处罚裁量基准(根据法规新增6项、调整1项)</w:t>
      </w:r>
    </w:p>
    <w:p w14:paraId="593C31F4">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14:paraId="607D17C2">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14:paraId="2096817C">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14:paraId="7BC4ACE2">
      <w:pPr>
        <w:keepNext w:val="0"/>
        <w:keepLines w:val="0"/>
        <w:pageBreakBefore w:val="0"/>
        <w:widowControl w:val="0"/>
        <w:kinsoku/>
        <w:wordWrap w:val="0"/>
        <w:overflowPunct/>
        <w:topLinePunct w:val="0"/>
        <w:autoSpaceDE/>
        <w:autoSpaceDN/>
        <w:bidi w:val="0"/>
        <w:adjustRightInd/>
        <w:snapToGrid/>
        <w:spacing w:line="540" w:lineRule="exact"/>
        <w:ind w:firstLine="3520" w:firstLineChars="11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北京市住房和城乡建设委员会</w:t>
      </w:r>
      <w:r>
        <w:rPr>
          <w:rFonts w:hint="eastAsia" w:ascii="仿宋_GB2312" w:hAnsi="仿宋_GB2312" w:eastAsia="仿宋_GB2312" w:cs="仿宋_GB2312"/>
          <w:sz w:val="32"/>
          <w:szCs w:val="32"/>
          <w:lang w:val="en-US" w:eastAsia="zh-CN"/>
        </w:rPr>
        <w:t xml:space="preserve">    </w:t>
      </w:r>
    </w:p>
    <w:p w14:paraId="5856564A">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eastAsia" w:ascii="仿宋_GB2312" w:eastAsia="仿宋_GB2312"/>
          <w:spacing w:val="-20"/>
          <w:kern w:val="3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14:paraId="7F78BECE">
      <w:pPr>
        <w:spacing w:line="360" w:lineRule="exact"/>
        <w:ind w:left="1680" w:hanging="1680" w:hangingChars="600"/>
        <w:rPr>
          <w:rFonts w:hint="eastAsia" w:ascii="仿宋_GB2312" w:eastAsia="仿宋_GB2312"/>
          <w:spacing w:val="-20"/>
          <w:kern w:val="32"/>
          <w:sz w:val="32"/>
          <w:szCs w:val="32"/>
        </w:rPr>
      </w:pPr>
    </w:p>
    <w:p w14:paraId="48AB7D41">
      <w:pPr>
        <w:spacing w:line="360" w:lineRule="exact"/>
        <w:ind w:left="1680" w:hanging="1680" w:hangingChars="600"/>
        <w:rPr>
          <w:rFonts w:hint="eastAsia" w:ascii="仿宋_GB2312" w:eastAsia="仿宋_GB2312"/>
          <w:spacing w:val="-20"/>
          <w:kern w:val="32"/>
          <w:sz w:val="32"/>
          <w:szCs w:val="32"/>
        </w:rPr>
      </w:pPr>
    </w:p>
    <w:p w14:paraId="1BB00525">
      <w:pPr>
        <w:spacing w:line="360" w:lineRule="exact"/>
        <w:ind w:left="1680" w:hanging="1680" w:hangingChars="600"/>
        <w:rPr>
          <w:rFonts w:hint="eastAsia" w:ascii="仿宋_GB2312" w:eastAsia="仿宋_GB2312"/>
          <w:spacing w:val="-20"/>
          <w:kern w:val="32"/>
          <w:sz w:val="32"/>
          <w:szCs w:val="32"/>
        </w:rPr>
      </w:pPr>
    </w:p>
    <w:p w14:paraId="67751F6F">
      <w:pPr>
        <w:spacing w:line="360" w:lineRule="exact"/>
        <w:ind w:left="1680" w:hanging="1680" w:hangingChars="600"/>
        <w:rPr>
          <w:rFonts w:hint="eastAsia" w:ascii="仿宋_GB2312" w:eastAsia="仿宋_GB2312"/>
          <w:spacing w:val="-20"/>
          <w:kern w:val="32"/>
          <w:sz w:val="32"/>
          <w:szCs w:val="32"/>
        </w:rPr>
      </w:pPr>
    </w:p>
    <w:p w14:paraId="251EF024">
      <w:pPr>
        <w:spacing w:line="360" w:lineRule="exact"/>
        <w:ind w:left="1680" w:hanging="1680" w:hangingChars="600"/>
        <w:rPr>
          <w:rFonts w:hint="eastAsia" w:ascii="仿宋_GB2312" w:eastAsia="仿宋_GB2312"/>
          <w:spacing w:val="-20"/>
          <w:kern w:val="32"/>
          <w:sz w:val="32"/>
          <w:szCs w:val="32"/>
        </w:rPr>
      </w:pPr>
    </w:p>
    <w:p w14:paraId="674C951E">
      <w:pPr>
        <w:spacing w:line="360" w:lineRule="exact"/>
        <w:ind w:left="1680" w:hanging="1680" w:hangingChars="600"/>
        <w:rPr>
          <w:rFonts w:hint="eastAsia" w:ascii="仿宋_GB2312" w:eastAsia="仿宋_GB2312"/>
          <w:spacing w:val="-20"/>
          <w:kern w:val="32"/>
          <w:sz w:val="32"/>
          <w:szCs w:val="32"/>
        </w:rPr>
      </w:pPr>
    </w:p>
    <w:p w14:paraId="1ACE4568">
      <w:pPr>
        <w:spacing w:line="360" w:lineRule="exact"/>
        <w:ind w:left="1920" w:hanging="1920" w:hangingChars="600"/>
        <w:rPr>
          <w:rFonts w:hint="eastAsia" w:ascii="仿宋_GB2312" w:eastAsia="仿宋_GB2312"/>
          <w:kern w:val="32"/>
          <w:sz w:val="32"/>
          <w:szCs w:val="32"/>
        </w:rPr>
      </w:pPr>
      <w:r>
        <w:rPr>
          <w:rFonts w:hint="eastAsia" w:ascii="仿宋_GB2312" w:eastAsia="仿宋_GB2312"/>
          <w:kern w:val="32"/>
          <w:sz w:val="32"/>
          <w:szCs w:val="32"/>
        </w:rPr>
        <w:t xml:space="preserve">  </w:t>
      </w:r>
    </w:p>
    <w:p w14:paraId="69659C4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32"/>
          <w:sz w:val="32"/>
          <w:szCs w:val="32"/>
        </w:rPr>
      </w:pPr>
      <w:r>
        <w:rPr>
          <w:rFonts w:hint="eastAsia" w:ascii="仿宋_GB2312" w:eastAsia="仿宋_GB2312"/>
          <w:kern w:val="32"/>
          <w:sz w:val="32"/>
          <w:szCs w:val="32"/>
        </w:rPr>
        <w:t xml:space="preserve">  </w:t>
      </w:r>
    </w:p>
    <w:p w14:paraId="2293818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kern w:val="32"/>
          <w:sz w:val="32"/>
          <w:szCs w:val="32"/>
        </w:rPr>
      </w:pPr>
    </w:p>
    <w:p w14:paraId="5DAFA8DF">
      <w:pPr>
        <w:rPr>
          <w:rFonts w:hint="eastAsia" w:ascii="楷体_GB2312" w:hAnsi="楷体_GB2312" w:eastAsia="楷体_GB2312" w:cs="楷体_GB2312"/>
          <w:bCs/>
          <w:kern w:val="0"/>
          <w:sz w:val="36"/>
          <w:szCs w:val="36"/>
          <w:lang w:eastAsia="zh-CN"/>
        </w:rPr>
        <w:sectPr>
          <w:footerReference r:id="rId3" w:type="default"/>
          <w:pgSz w:w="11906" w:h="16838"/>
          <w:pgMar w:top="1701" w:right="1474" w:bottom="1701"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楷体_GB2312" w:hAnsi="楷体_GB2312" w:eastAsia="楷体_GB2312" w:cs="楷体_GB2312"/>
          <w:bCs/>
          <w:kern w:val="0"/>
          <w:sz w:val="36"/>
          <w:szCs w:val="36"/>
          <w:lang w:eastAsia="zh-CN"/>
        </w:rPr>
        <w:br w:type="page"/>
      </w:r>
    </w:p>
    <w:p w14:paraId="2427313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国标黑体" w:hAnsi="国标黑体" w:eastAsia="国标黑体" w:cs="国标黑体"/>
          <w:bCs/>
          <w:kern w:val="0"/>
          <w:sz w:val="32"/>
          <w:szCs w:val="32"/>
          <w:lang w:eastAsia="zh-CN"/>
        </w:rPr>
      </w:pPr>
      <w:r>
        <w:rPr>
          <w:rFonts w:hint="eastAsia" w:ascii="国标黑体" w:hAnsi="国标黑体" w:eastAsia="国标黑体" w:cs="国标黑体"/>
          <w:bCs/>
          <w:kern w:val="0"/>
          <w:sz w:val="32"/>
          <w:szCs w:val="32"/>
          <w:lang w:eastAsia="zh-CN"/>
        </w:rPr>
        <w:t>附件</w:t>
      </w:r>
    </w:p>
    <w:p w14:paraId="09C4221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lang w:eastAsia="zh-CN"/>
        </w:rPr>
      </w:pPr>
      <w:r>
        <w:rPr>
          <w:rFonts w:hint="eastAsia" w:ascii="方正小标宋简体" w:hAnsi="宋体" w:eastAsia="方正小标宋简体" w:cs="宋体"/>
          <w:bCs/>
          <w:kern w:val="0"/>
          <w:sz w:val="44"/>
          <w:szCs w:val="44"/>
          <w:lang w:eastAsia="zh-CN"/>
        </w:rPr>
        <w:t>北京市住房城乡建设系统行政处罚裁量基准</w:t>
      </w:r>
    </w:p>
    <w:p w14:paraId="410617A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lang w:eastAsia="zh-CN"/>
        </w:rPr>
        <w:t>(根据法规新增6项、调整1项</w:t>
      </w:r>
      <w:r>
        <w:rPr>
          <w:rFonts w:hint="eastAsia" w:ascii="方正小标宋简体" w:hAnsi="宋体" w:eastAsia="方正小标宋简体" w:cs="宋体"/>
          <w:bCs/>
          <w:kern w:val="0"/>
          <w:sz w:val="44"/>
          <w:szCs w:val="44"/>
        </w:rPr>
        <w:t>)</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1203"/>
        <w:gridCol w:w="1326"/>
        <w:gridCol w:w="1013"/>
        <w:gridCol w:w="1124"/>
        <w:gridCol w:w="712"/>
        <w:gridCol w:w="1950"/>
        <w:gridCol w:w="1989"/>
        <w:gridCol w:w="1912"/>
        <w:gridCol w:w="700"/>
        <w:gridCol w:w="938"/>
        <w:gridCol w:w="873"/>
      </w:tblGrid>
      <w:tr w14:paraId="600AD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5EA6">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序号</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FE20">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职权编号</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E280">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职权名称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F49E">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违法行为认定依据</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BB48">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违法行为处罚依据</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3423">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行使层级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41B7">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基准编号</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E4EE">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违法情形</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2C33">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裁量基准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CCF34">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违法行为分类</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ADA5">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处罚公示期限</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1B07">
            <w:pPr>
              <w:keepNext w:val="0"/>
              <w:keepLines w:val="0"/>
              <w:widowControl/>
              <w:suppressLineNumbers w:val="0"/>
              <w:jc w:val="center"/>
              <w:textAlignment w:val="center"/>
              <w:rPr>
                <w:rFonts w:hint="eastAsia" w:ascii="国标黑体" w:hAnsi="国标黑体" w:eastAsia="国标黑体" w:cs="国标黑体"/>
                <w:b w:val="0"/>
                <w:bCs/>
                <w:i w:val="0"/>
                <w:color w:val="000000"/>
                <w:sz w:val="21"/>
                <w:szCs w:val="21"/>
                <w:u w:val="none"/>
              </w:rPr>
            </w:pPr>
            <w:r>
              <w:rPr>
                <w:rFonts w:hint="eastAsia" w:ascii="国标黑体" w:hAnsi="国标黑体" w:eastAsia="国标黑体" w:cs="国标黑体"/>
                <w:b w:val="0"/>
                <w:bCs/>
                <w:i w:val="0"/>
                <w:color w:val="000000"/>
                <w:kern w:val="0"/>
                <w:sz w:val="21"/>
                <w:szCs w:val="21"/>
                <w:u w:val="none"/>
                <w:lang w:val="en-US" w:eastAsia="zh-CN" w:bidi="ar"/>
              </w:rPr>
              <w:t>可依申请缩短公示期</w:t>
            </w:r>
          </w:p>
        </w:tc>
      </w:tr>
      <w:tr w14:paraId="0D14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7782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36A6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w:t>
            </w:r>
          </w:p>
        </w:tc>
        <w:tc>
          <w:tcPr>
            <w:tcW w:w="467" w:type="pct"/>
            <w:vMerge w:val="restart"/>
            <w:tcBorders>
              <w:top w:val="single" w:color="000000" w:sz="4" w:space="0"/>
              <w:left w:val="single" w:color="000000" w:sz="4" w:space="0"/>
              <w:bottom w:val="single" w:color="000000" w:sz="4" w:space="0"/>
              <w:right w:val="nil"/>
            </w:tcBorders>
            <w:shd w:val="clear" w:color="auto" w:fill="auto"/>
            <w:vAlign w:val="center"/>
          </w:tcPr>
          <w:p w14:paraId="698F56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对建设单位未按照规定将噪声污染防治费用列入工程造价的行为进行处罚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15EE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《中华人民共和国噪声污染防治法》第四十条第一款</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D2E6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《中华人民共和国噪声污染防治法》第七十八第一款第一项</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BCD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9D5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6E23">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88C3">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034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C45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A8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14:paraId="10C8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3E22C">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F3CFE">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798B72DC">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A5FBA">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2B8E7">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92F88">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F8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3350">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7BF6">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299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74A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26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14:paraId="1760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A5609">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2C993">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20899EAD">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829D5">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528F1">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C80D7">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D6B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C1675300B010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662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662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五千元以上二万元以下的罚款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FB3C">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465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8954">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14:paraId="5AAE6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28078">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67D58">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5861CEAE">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131B6">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6B959">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EFF97">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9F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C1675300B020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4F3B">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29E8">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二万元以上三万五千元以下的罚款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6B1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310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8A3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14:paraId="6A80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F10AA">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F46CA">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7E9B1241">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08E5E">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75BB1">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529AE">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C32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C1675300B030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D664">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494A">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三万五千元以上五万元以下的罚款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275B">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C3A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AB7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14:paraId="47E8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D8187">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28A57">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1EE81AF9">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E3B3B">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7F95C">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65ADC">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044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C1675300B040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8E5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拒不改正，未造成其他严重后果的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268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五万元以上十二万五千元以下的罚款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626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FA98">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1E6C">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14:paraId="2339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1FFD6">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9BED">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7A16F303">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3DF5D">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C591">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30C26">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20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C1675300B050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BB6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拒不改正，违法情节严重，造成恶劣社会影响的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A006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十二万五千元以上二十万元以下的罚款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91C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7F8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7DC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14:paraId="0EF66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3" w:type="pct"/>
            <w:vMerge w:val="restart"/>
            <w:tcBorders>
              <w:top w:val="nil"/>
              <w:left w:val="single" w:color="000000" w:sz="4" w:space="0"/>
              <w:bottom w:val="single" w:color="000000" w:sz="4" w:space="0"/>
              <w:right w:val="single" w:color="000000" w:sz="4" w:space="0"/>
            </w:tcBorders>
            <w:shd w:val="clear" w:color="auto" w:fill="auto"/>
            <w:vAlign w:val="center"/>
          </w:tcPr>
          <w:p w14:paraId="34C880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24" w:type="pct"/>
            <w:vMerge w:val="restart"/>
            <w:tcBorders>
              <w:top w:val="nil"/>
              <w:left w:val="single" w:color="000000" w:sz="4" w:space="0"/>
              <w:bottom w:val="single" w:color="000000" w:sz="4" w:space="0"/>
              <w:right w:val="single" w:color="000000" w:sz="4" w:space="0"/>
            </w:tcBorders>
            <w:shd w:val="clear" w:color="auto" w:fill="auto"/>
            <w:vAlign w:val="center"/>
          </w:tcPr>
          <w:p w14:paraId="1DE9F76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w:t>
            </w:r>
          </w:p>
        </w:tc>
        <w:tc>
          <w:tcPr>
            <w:tcW w:w="467" w:type="pct"/>
            <w:vMerge w:val="restart"/>
            <w:tcBorders>
              <w:top w:val="nil"/>
              <w:left w:val="single" w:color="000000" w:sz="4" w:space="0"/>
              <w:bottom w:val="single" w:color="000000" w:sz="4" w:space="0"/>
              <w:right w:val="nil"/>
            </w:tcBorders>
            <w:shd w:val="clear" w:color="auto" w:fill="auto"/>
            <w:vAlign w:val="center"/>
          </w:tcPr>
          <w:p w14:paraId="23D0AF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对居民住宅区安装共用设施设备，设置不合理或者未采取减少振动、降低噪声的措施，不符合民用建筑隔声设计相关标准要求的行为进行处罚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475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《中华人民共和国噪声污染防治法》第六十八条第一款</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36F4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《中华人民共和国噪声污染防治法》第八十四条第一款第一项</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BA3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3A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5166">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5F0C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15E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ED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C28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14:paraId="6A0F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14:paraId="38FF86EC">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14:paraId="6AA05631">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14:paraId="431D12CD">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EEF5F">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D0E09">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6E0F0">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5C4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05BD">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AAC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E81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C13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BE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14:paraId="1256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14:paraId="438822DF">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14:paraId="7297E1F8">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14:paraId="2DA4946E">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1AB07">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2668E">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E7C8E">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E0AA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C1675400B010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CD8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F9C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五千元以上二万元以下的罚款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BF0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535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D0F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14:paraId="14DD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14:paraId="0B6AE29C">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14:paraId="688C36FB">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14:paraId="11C8F54F">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2417">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3EF7F">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40BDD">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F7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C1675400B020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7001">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A0F88">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二万元以上三万五千元以下的罚款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1D94">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827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2E4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14:paraId="237F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14:paraId="35AFAE11">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14:paraId="22A28D7C">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14:paraId="5E84D63E">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1621F">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5A7E">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6A107">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88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C1675400B030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4D6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2D6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三万五千元以上五万元以下的罚款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994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025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E5A8">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14:paraId="0B2C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14:paraId="6717CB10">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14:paraId="3BC96F3F">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14:paraId="27E499EC">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1311F">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FB7A1">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E0979">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7A8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C1675400B040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E36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拒不改正，未造成其他严重后果的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4604A">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五万元以上十二万五千元以下的罚款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5348">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20D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881C">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14:paraId="5373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trPr>
        <w:tc>
          <w:tcPr>
            <w:tcW w:w="153" w:type="pct"/>
            <w:vMerge w:val="continue"/>
            <w:tcBorders>
              <w:top w:val="nil"/>
              <w:left w:val="single" w:color="000000" w:sz="4" w:space="0"/>
              <w:bottom w:val="single" w:color="000000" w:sz="4" w:space="0"/>
              <w:right w:val="single" w:color="000000" w:sz="4" w:space="0"/>
            </w:tcBorders>
            <w:shd w:val="clear" w:color="auto" w:fill="auto"/>
            <w:vAlign w:val="center"/>
          </w:tcPr>
          <w:p w14:paraId="4542B983">
            <w:pPr>
              <w:jc w:val="center"/>
              <w:rPr>
                <w:rFonts w:hint="eastAsia" w:ascii="宋体" w:hAnsi="宋体" w:eastAsia="宋体" w:cs="宋体"/>
                <w:i w:val="0"/>
                <w:color w:val="000000"/>
                <w:sz w:val="21"/>
                <w:szCs w:val="21"/>
                <w:u w:val="none"/>
              </w:rPr>
            </w:pPr>
          </w:p>
        </w:tc>
        <w:tc>
          <w:tcPr>
            <w:tcW w:w="424" w:type="pct"/>
            <w:vMerge w:val="continue"/>
            <w:tcBorders>
              <w:top w:val="nil"/>
              <w:left w:val="single" w:color="000000" w:sz="4" w:space="0"/>
              <w:bottom w:val="single" w:color="000000" w:sz="4" w:space="0"/>
              <w:right w:val="single" w:color="000000" w:sz="4" w:space="0"/>
            </w:tcBorders>
            <w:shd w:val="clear" w:color="auto" w:fill="auto"/>
            <w:vAlign w:val="center"/>
          </w:tcPr>
          <w:p w14:paraId="3267F1F6">
            <w:pPr>
              <w:jc w:val="center"/>
              <w:rPr>
                <w:rFonts w:hint="eastAsia" w:ascii="宋体" w:hAnsi="宋体" w:eastAsia="宋体" w:cs="宋体"/>
                <w:i w:val="0"/>
                <w:color w:val="000000"/>
                <w:sz w:val="21"/>
                <w:szCs w:val="21"/>
                <w:u w:val="none"/>
              </w:rPr>
            </w:pPr>
          </w:p>
        </w:tc>
        <w:tc>
          <w:tcPr>
            <w:tcW w:w="467" w:type="pct"/>
            <w:vMerge w:val="continue"/>
            <w:tcBorders>
              <w:top w:val="nil"/>
              <w:left w:val="single" w:color="000000" w:sz="4" w:space="0"/>
              <w:bottom w:val="single" w:color="000000" w:sz="4" w:space="0"/>
              <w:right w:val="nil"/>
            </w:tcBorders>
            <w:shd w:val="clear" w:color="auto" w:fill="auto"/>
            <w:vAlign w:val="center"/>
          </w:tcPr>
          <w:p w14:paraId="6F859789">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2E119">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038C0">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F7E6F">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32B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C1675400B050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B8B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拒不改正，违法情节严重，造成恶劣社会影响的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A5F8">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十二万五千元以上二十万元以下的罚款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EDC1">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88F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E2A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14:paraId="6997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3" w:type="pct"/>
            <w:vMerge w:val="restart"/>
            <w:tcBorders>
              <w:top w:val="single" w:color="000000" w:sz="4" w:space="0"/>
              <w:left w:val="single" w:color="000000" w:sz="4" w:space="0"/>
              <w:bottom w:val="nil"/>
              <w:right w:val="single" w:color="000000" w:sz="4" w:space="0"/>
            </w:tcBorders>
            <w:shd w:val="clear" w:color="auto" w:fill="auto"/>
            <w:vAlign w:val="center"/>
          </w:tcPr>
          <w:p w14:paraId="0B10439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2A6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w:t>
            </w:r>
          </w:p>
        </w:tc>
        <w:tc>
          <w:tcPr>
            <w:tcW w:w="467" w:type="pct"/>
            <w:vMerge w:val="restart"/>
            <w:tcBorders>
              <w:top w:val="single" w:color="000000" w:sz="4" w:space="0"/>
              <w:left w:val="single" w:color="000000" w:sz="4" w:space="0"/>
              <w:bottom w:val="single" w:color="000000" w:sz="4" w:space="0"/>
              <w:right w:val="nil"/>
            </w:tcBorders>
            <w:shd w:val="clear" w:color="auto" w:fill="auto"/>
            <w:vAlign w:val="center"/>
          </w:tcPr>
          <w:p w14:paraId="3A4D05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对已建成使用的居民住宅区除电梯外的共用设施设备，专业运营单位未进行维护管理，不符合民用建筑隔声设计相关标准要求的行为进行处罚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95A0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《中华人民共和国噪声污染防治法》第六十八条第二款</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11A5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《中华人民共和国噪声污染防治法》第八十四条第一款第二项</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808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D74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38ED">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36EF">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A54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0E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31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14:paraId="40F9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14:paraId="5B828034">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67F9C">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0F4F93FC">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B871">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63C3C">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DAEFD">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3E4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6926">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420D">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F6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78F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69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14:paraId="254D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14:paraId="0172FDE0">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550F2">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596BA192">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33805">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5EEF4">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69738">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E9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C1675500B010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850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12EC">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五千元以上二万元以下的罚款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EE0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481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DF8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14:paraId="3FE1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14:paraId="61EFB04C">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35465">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64D860EF">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BE5B7">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C4B2D">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E158E">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B3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C1675500B020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FD5A">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39E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二万元以上三万五千元以下的罚款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F84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6C2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D48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14:paraId="6B252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14:paraId="0D04E53B">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486B7">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5F210133">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353D2">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26493">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0817B">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B01F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C1675500B030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1A31">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733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三万五千元以上五万元以下的罚款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968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E84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2CA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14:paraId="02C5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14:paraId="7FFE4658">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8F8AC">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7D223528">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AC17">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CC3E6">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CDD9">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9F8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C1675500B040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03B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拒不改正，未造成其他严重后果的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6464">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五万元以上十二万五千元以下的罚款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3B32">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DDC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43C4">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14:paraId="0D25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14:paraId="768C42AC">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7D3E7">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4B40E89B">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0035B">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45F3">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174A3">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A2F7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C1675500B050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9D6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拒不改正，违法情节严重，造成恶劣社会影响的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BF0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十二万五千元以上二十万元以下的罚款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10F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376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B60A">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14:paraId="14D1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6F82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EF79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w:t>
            </w:r>
          </w:p>
        </w:tc>
        <w:tc>
          <w:tcPr>
            <w:tcW w:w="467" w:type="pct"/>
            <w:vMerge w:val="restart"/>
            <w:tcBorders>
              <w:top w:val="single" w:color="000000" w:sz="4" w:space="0"/>
              <w:left w:val="single" w:color="000000" w:sz="4" w:space="0"/>
              <w:bottom w:val="single" w:color="000000" w:sz="4" w:space="0"/>
              <w:right w:val="nil"/>
            </w:tcBorders>
            <w:shd w:val="clear" w:color="auto" w:fill="auto"/>
            <w:vAlign w:val="center"/>
          </w:tcPr>
          <w:p w14:paraId="1D57DB3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新建居民住房的房地产开发经营者未将住房可能受到噪声影响的情况以及采取或者拟采取的防治措施在销售场所公示并纳入买卖合同，或未在买卖合同中明确住房的共用设施设备位置或者建筑隔声情况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281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《中华人民共和国噪声污染防治法》第六十七条</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016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《中华人民共和国噪声污染防治法》第八十三条</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A9B8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741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1F06">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4727">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DBA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892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2CF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14:paraId="0B94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10B32">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834E">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06A2C168">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4F8F2">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7D5C4">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A91FD">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50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8D67">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B323">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27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C1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2A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14:paraId="6BFD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CB4FC">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EB0D2">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005713CE">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67D35">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9C6C">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BF269">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E007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C1675600B010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FDC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DA4C">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处一万元以上两万五千元以下的罚款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3EC1">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F23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D89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14:paraId="0716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17A4B">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54F17">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6C53C652">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E4224">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27B87">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CF494">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68F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C1675600B020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3BC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DF01">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处两万五千元以上三万五千元以下的罚款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7B5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24C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1E3D8">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14:paraId="0AA3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4BC8">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DB239">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615771E0">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4EFA1">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82902">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F7219">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BC8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C1675600B030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3A8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A118">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处三万五千元以上五万元以下的罚款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C4C2">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6AF4">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D2DA">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14:paraId="7AA8E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6"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E5307">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86BDC">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67B7320F">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E306E">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133EA">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EF14">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2E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C1675600B040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C18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828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责令暂停销售，处五万元的罚款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D1A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6AB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C85B">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14:paraId="11026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3" w:type="pct"/>
            <w:vMerge w:val="restart"/>
            <w:tcBorders>
              <w:top w:val="single" w:color="000000" w:sz="4" w:space="0"/>
              <w:left w:val="single" w:color="000000" w:sz="4" w:space="0"/>
              <w:bottom w:val="nil"/>
              <w:right w:val="single" w:color="000000" w:sz="4" w:space="0"/>
            </w:tcBorders>
            <w:shd w:val="clear" w:color="auto" w:fill="auto"/>
            <w:vAlign w:val="center"/>
          </w:tcPr>
          <w:p w14:paraId="5FF2E3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424" w:type="pct"/>
            <w:vMerge w:val="restart"/>
            <w:tcBorders>
              <w:top w:val="single" w:color="000000" w:sz="4" w:space="0"/>
              <w:left w:val="single" w:color="000000" w:sz="4" w:space="0"/>
              <w:bottom w:val="nil"/>
              <w:right w:val="single" w:color="000000" w:sz="4" w:space="0"/>
            </w:tcBorders>
            <w:shd w:val="clear" w:color="auto" w:fill="auto"/>
            <w:vAlign w:val="center"/>
          </w:tcPr>
          <w:p w14:paraId="14DE48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w:t>
            </w:r>
          </w:p>
        </w:tc>
        <w:tc>
          <w:tcPr>
            <w:tcW w:w="467" w:type="pct"/>
            <w:vMerge w:val="restart"/>
            <w:tcBorders>
              <w:top w:val="single" w:color="000000" w:sz="4" w:space="0"/>
              <w:left w:val="single" w:color="000000" w:sz="4" w:space="0"/>
              <w:bottom w:val="nil"/>
              <w:right w:val="nil"/>
            </w:tcBorders>
            <w:shd w:val="clear" w:color="auto" w:fill="auto"/>
            <w:vAlign w:val="center"/>
          </w:tcPr>
          <w:p w14:paraId="3F8C772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对施工单位使用噪声污染严重的落后工艺和设备的行为进行处罚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D7B5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《中华人民共和国噪声污染防治法》第二十七条第三款</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A642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《中华人民共和国噪声污染防治法》第七十二条第二款</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7442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B98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F50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9AE6">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BAB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3E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709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14:paraId="6F96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14:paraId="71608849">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nil"/>
              <w:right w:val="single" w:color="000000" w:sz="4" w:space="0"/>
            </w:tcBorders>
            <w:shd w:val="clear" w:color="auto" w:fill="auto"/>
            <w:vAlign w:val="center"/>
          </w:tcPr>
          <w:p w14:paraId="57783E56">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nil"/>
              <w:right w:val="nil"/>
            </w:tcBorders>
            <w:shd w:val="clear" w:color="auto" w:fill="auto"/>
            <w:vAlign w:val="center"/>
          </w:tcPr>
          <w:p w14:paraId="06E0F020">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17219">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E595B">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5F25F">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EE7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DBE4">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298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8C0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B10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F61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14:paraId="2EE3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14:paraId="1D9343C3">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nil"/>
              <w:right w:val="single" w:color="000000" w:sz="4" w:space="0"/>
            </w:tcBorders>
            <w:shd w:val="clear" w:color="auto" w:fill="auto"/>
            <w:vAlign w:val="center"/>
          </w:tcPr>
          <w:p w14:paraId="7ADBB01B">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nil"/>
              <w:right w:val="nil"/>
            </w:tcBorders>
            <w:shd w:val="clear" w:color="auto" w:fill="auto"/>
            <w:vAlign w:val="center"/>
          </w:tcPr>
          <w:p w14:paraId="2B16EFFA">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435C0">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92FA3">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DFADE">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CFE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C1675700A010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1421">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F8E4">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没收违法所得，并处货值金额一倍以上一点五倍以下的罚款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0DEB">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EC72">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4F3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14:paraId="4D9C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14:paraId="40EB548B">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nil"/>
              <w:right w:val="single" w:color="000000" w:sz="4" w:space="0"/>
            </w:tcBorders>
            <w:shd w:val="clear" w:color="auto" w:fill="auto"/>
            <w:vAlign w:val="center"/>
          </w:tcPr>
          <w:p w14:paraId="51C6DE58">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nil"/>
              <w:right w:val="nil"/>
            </w:tcBorders>
            <w:shd w:val="clear" w:color="auto" w:fill="auto"/>
            <w:vAlign w:val="center"/>
          </w:tcPr>
          <w:p w14:paraId="1E5E2CC6">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0D6E">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8645C">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D3404">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C8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C1675700A020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020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D87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没收违法所得，并处货值金额一点五倍以上三倍以下的罚款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78E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160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050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r>
      <w:tr w14:paraId="7DBC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3" w:hRule="atLeast"/>
        </w:trPr>
        <w:tc>
          <w:tcPr>
            <w:tcW w:w="153" w:type="pct"/>
            <w:vMerge w:val="continue"/>
            <w:tcBorders>
              <w:top w:val="single" w:color="000000" w:sz="4" w:space="0"/>
              <w:left w:val="single" w:color="000000" w:sz="4" w:space="0"/>
              <w:bottom w:val="nil"/>
              <w:right w:val="single" w:color="000000" w:sz="4" w:space="0"/>
            </w:tcBorders>
            <w:shd w:val="clear" w:color="auto" w:fill="auto"/>
            <w:vAlign w:val="center"/>
          </w:tcPr>
          <w:p w14:paraId="6190946E">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nil"/>
              <w:right w:val="single" w:color="000000" w:sz="4" w:space="0"/>
            </w:tcBorders>
            <w:shd w:val="clear" w:color="auto" w:fill="auto"/>
            <w:vAlign w:val="center"/>
          </w:tcPr>
          <w:p w14:paraId="54CD9DA3">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nil"/>
              <w:right w:val="nil"/>
            </w:tcBorders>
            <w:shd w:val="clear" w:color="auto" w:fill="auto"/>
            <w:vAlign w:val="center"/>
          </w:tcPr>
          <w:p w14:paraId="2C3F87DA">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8D222">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ADAB0">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34928">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BAB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C1675700A030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771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79D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报经有批准权的人民政府批准，责令停业、关闭。</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4C38">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9B5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63F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476C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65EE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4D8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w:t>
            </w:r>
          </w:p>
        </w:tc>
        <w:tc>
          <w:tcPr>
            <w:tcW w:w="467" w:type="pct"/>
            <w:vMerge w:val="restart"/>
            <w:tcBorders>
              <w:top w:val="single" w:color="000000" w:sz="4" w:space="0"/>
              <w:left w:val="single" w:color="000000" w:sz="4" w:space="0"/>
              <w:bottom w:val="single" w:color="000000" w:sz="4" w:space="0"/>
              <w:right w:val="nil"/>
            </w:tcBorders>
            <w:shd w:val="clear" w:color="auto" w:fill="auto"/>
            <w:vAlign w:val="center"/>
          </w:tcPr>
          <w:p w14:paraId="6E10ECD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对建设单位建设噪声敏感建筑物不符合民用建筑隔声设计相关标准要求的行为进行处罚</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0584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《中华人民共和国噪声污染防治法》第二十六条</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6AEE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《中华人民共和国噪声污染防治法》第七十三条第一款</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6903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E161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A8D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9730">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1AC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930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01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14:paraId="626B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EAF51">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4DA02">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05DDA054">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51754">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837A5">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3C896">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51B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5F56">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31777">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177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170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F8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r w14:paraId="12DD2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E749">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A65A9">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69B9B129">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88B2C">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B5EE6">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E4AC0">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35E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C1675800A010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8FA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违法情节较轻的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980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处建设工程合同价款百分之二以上百分之三以下的罚款。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7CE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329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66B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14:paraId="2B8AC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AAE1C">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E692B">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23738CAB">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35C86">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BDD90">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73EC2">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C5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C1675800A020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E5B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违法情节一般的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A0E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处建设工程合同价款百分之三以上百分之四以下的罚款。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A05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FF3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69B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r>
      <w:tr w14:paraId="4105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6"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9304C">
            <w:pPr>
              <w:jc w:val="center"/>
              <w:rPr>
                <w:rFonts w:hint="eastAsia" w:ascii="宋体" w:hAnsi="宋体" w:eastAsia="宋体" w:cs="宋体"/>
                <w:i w:val="0"/>
                <w:color w:val="000000"/>
                <w:sz w:val="21"/>
                <w:szCs w:val="21"/>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DB65A">
            <w:pPr>
              <w:jc w:val="center"/>
              <w:rPr>
                <w:rFonts w:hint="eastAsia" w:ascii="宋体" w:hAnsi="宋体" w:eastAsia="宋体" w:cs="宋体"/>
                <w:i w:val="0"/>
                <w:color w:val="000000"/>
                <w:sz w:val="21"/>
                <w:szCs w:val="21"/>
                <w:u w:val="none"/>
              </w:rPr>
            </w:pPr>
          </w:p>
        </w:tc>
        <w:tc>
          <w:tcPr>
            <w:tcW w:w="467" w:type="pct"/>
            <w:vMerge w:val="continue"/>
            <w:tcBorders>
              <w:top w:val="single" w:color="000000" w:sz="4" w:space="0"/>
              <w:left w:val="single" w:color="000000" w:sz="4" w:space="0"/>
              <w:bottom w:val="single" w:color="000000" w:sz="4" w:space="0"/>
              <w:right w:val="nil"/>
            </w:tcBorders>
            <w:shd w:val="clear" w:color="auto" w:fill="auto"/>
            <w:vAlign w:val="center"/>
          </w:tcPr>
          <w:p w14:paraId="1AF544A4">
            <w:pPr>
              <w:jc w:val="center"/>
              <w:rPr>
                <w:rFonts w:hint="eastAsia" w:ascii="宋体" w:hAnsi="宋体" w:eastAsia="宋体" w:cs="宋体"/>
                <w:i w:val="0"/>
                <w:color w:val="000000"/>
                <w:sz w:val="21"/>
                <w:szCs w:val="21"/>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3A7B0">
            <w:pPr>
              <w:jc w:val="center"/>
              <w:rPr>
                <w:rFonts w:hint="eastAsia" w:ascii="宋体" w:hAnsi="宋体" w:eastAsia="宋体" w:cs="宋体"/>
                <w:i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475CD">
            <w:pPr>
              <w:jc w:val="center"/>
              <w:rPr>
                <w:rFonts w:hint="eastAsia" w:ascii="宋体" w:hAnsi="宋体" w:eastAsia="宋体" w:cs="宋体"/>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9F519">
            <w:pPr>
              <w:jc w:val="center"/>
              <w:rPr>
                <w:rFonts w:hint="eastAsia" w:ascii="宋体" w:hAnsi="宋体" w:eastAsia="宋体" w:cs="宋体"/>
                <w:i w:val="0"/>
                <w:color w:val="000000"/>
                <w:sz w:val="21"/>
                <w:szCs w:val="21"/>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E4B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C1675800A030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7A1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违法情节严重的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EFA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处建设工程合同价款百分之四的罚款。</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66C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211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36个月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0C4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6203D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 w:type="pct"/>
            <w:vMerge w:val="restart"/>
            <w:tcBorders>
              <w:top w:val="single" w:color="000000" w:sz="4" w:space="0"/>
              <w:left w:val="single" w:color="000000" w:sz="4" w:space="0"/>
              <w:right w:val="single" w:color="000000" w:sz="4" w:space="0"/>
            </w:tcBorders>
            <w:shd w:val="clear" w:color="auto" w:fill="auto"/>
            <w:vAlign w:val="center"/>
          </w:tcPr>
          <w:p w14:paraId="6980FE37">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7</w:t>
            </w:r>
          </w:p>
        </w:tc>
        <w:tc>
          <w:tcPr>
            <w:tcW w:w="424" w:type="pct"/>
            <w:vMerge w:val="restart"/>
            <w:tcBorders>
              <w:top w:val="single" w:color="000000" w:sz="4" w:space="0"/>
              <w:left w:val="single" w:color="000000" w:sz="4" w:space="0"/>
              <w:right w:val="single" w:color="000000" w:sz="4" w:space="0"/>
            </w:tcBorders>
            <w:shd w:val="clear" w:color="auto" w:fill="auto"/>
            <w:vAlign w:val="center"/>
          </w:tcPr>
          <w:p w14:paraId="698E8CE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w:t>
            </w:r>
          </w:p>
        </w:tc>
        <w:tc>
          <w:tcPr>
            <w:tcW w:w="467" w:type="pct"/>
            <w:vMerge w:val="restart"/>
            <w:tcBorders>
              <w:top w:val="single" w:color="000000" w:sz="4" w:space="0"/>
              <w:left w:val="single" w:color="000000" w:sz="4" w:space="0"/>
              <w:right w:val="nil"/>
            </w:tcBorders>
            <w:shd w:val="clear" w:color="auto" w:fill="auto"/>
            <w:vAlign w:val="center"/>
          </w:tcPr>
          <w:p w14:paraId="75CD620B">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对预拌混凝土生产单位未进行配合比设计或者未按照配合比通知单生产、使用未经检验或者检验不合格的原材料、供应未经验收或者验收不合格的预拌混凝土的行为进行处罚</w:t>
            </w:r>
          </w:p>
        </w:tc>
        <w:tc>
          <w:tcPr>
            <w:tcW w:w="357" w:type="pct"/>
            <w:vMerge w:val="restart"/>
            <w:tcBorders>
              <w:top w:val="single" w:color="000000" w:sz="4" w:space="0"/>
              <w:left w:val="single" w:color="000000" w:sz="4" w:space="0"/>
              <w:right w:val="single" w:color="000000" w:sz="4" w:space="0"/>
            </w:tcBorders>
            <w:shd w:val="clear" w:color="auto" w:fill="auto"/>
            <w:vAlign w:val="center"/>
          </w:tcPr>
          <w:p w14:paraId="218F4A0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《北京市建设工程质量条例》第十七条第二款</w:t>
            </w:r>
          </w:p>
        </w:tc>
        <w:tc>
          <w:tcPr>
            <w:tcW w:w="396" w:type="pct"/>
            <w:vMerge w:val="restart"/>
            <w:tcBorders>
              <w:top w:val="single" w:color="000000" w:sz="4" w:space="0"/>
              <w:left w:val="single" w:color="000000" w:sz="4" w:space="0"/>
              <w:right w:val="single" w:color="000000" w:sz="4" w:space="0"/>
            </w:tcBorders>
            <w:shd w:val="clear" w:color="auto" w:fill="auto"/>
            <w:vAlign w:val="center"/>
          </w:tcPr>
          <w:p w14:paraId="232591A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《北京市建设工程质量条例》第七十九条</w:t>
            </w:r>
          </w:p>
        </w:tc>
        <w:tc>
          <w:tcPr>
            <w:tcW w:w="251" w:type="pct"/>
            <w:vMerge w:val="restart"/>
            <w:tcBorders>
              <w:top w:val="single" w:color="000000" w:sz="4" w:space="0"/>
              <w:left w:val="single" w:color="000000" w:sz="4" w:space="0"/>
              <w:right w:val="single" w:color="000000" w:sz="4" w:space="0"/>
            </w:tcBorders>
            <w:shd w:val="clear" w:color="auto" w:fill="auto"/>
            <w:vAlign w:val="center"/>
          </w:tcPr>
          <w:p w14:paraId="5D86857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市级,区级</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1F4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C1663900-1</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884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发现违法行为</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B69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责令限期改正</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AD32">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1CA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575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3AC1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3" w:type="pct"/>
            <w:vMerge w:val="continue"/>
            <w:tcBorders>
              <w:left w:val="single" w:color="000000" w:sz="4" w:space="0"/>
              <w:right w:val="single" w:color="000000" w:sz="4" w:space="0"/>
            </w:tcBorders>
            <w:shd w:val="clear" w:color="auto" w:fill="auto"/>
            <w:vAlign w:val="center"/>
          </w:tcPr>
          <w:p w14:paraId="20AC1A52">
            <w:pPr>
              <w:jc w:val="center"/>
              <w:rPr>
                <w:rFonts w:hint="eastAsia" w:ascii="宋体" w:hAnsi="宋体" w:eastAsia="宋体" w:cs="宋体"/>
                <w:i w:val="0"/>
                <w:color w:val="000000"/>
                <w:sz w:val="21"/>
                <w:szCs w:val="21"/>
                <w:u w:val="none"/>
              </w:rPr>
            </w:pPr>
          </w:p>
        </w:tc>
        <w:tc>
          <w:tcPr>
            <w:tcW w:w="424" w:type="pct"/>
            <w:vMerge w:val="continue"/>
            <w:tcBorders>
              <w:left w:val="single" w:color="000000" w:sz="4" w:space="0"/>
              <w:right w:val="single" w:color="000000" w:sz="4" w:space="0"/>
            </w:tcBorders>
            <w:shd w:val="clear" w:color="auto" w:fill="auto"/>
            <w:vAlign w:val="center"/>
          </w:tcPr>
          <w:p w14:paraId="3A5000E8">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67" w:type="pct"/>
            <w:vMerge w:val="continue"/>
            <w:tcBorders>
              <w:left w:val="single" w:color="000000" w:sz="4" w:space="0"/>
              <w:right w:val="nil"/>
            </w:tcBorders>
            <w:shd w:val="clear" w:color="auto" w:fill="auto"/>
            <w:vAlign w:val="center"/>
          </w:tcPr>
          <w:p w14:paraId="7229648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57" w:type="pct"/>
            <w:vMerge w:val="continue"/>
            <w:tcBorders>
              <w:left w:val="single" w:color="000000" w:sz="4" w:space="0"/>
              <w:right w:val="single" w:color="000000" w:sz="4" w:space="0"/>
            </w:tcBorders>
            <w:shd w:val="clear" w:color="auto" w:fill="auto"/>
            <w:vAlign w:val="center"/>
          </w:tcPr>
          <w:p w14:paraId="2D29768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96" w:type="pct"/>
            <w:vMerge w:val="continue"/>
            <w:tcBorders>
              <w:left w:val="single" w:color="000000" w:sz="4" w:space="0"/>
              <w:right w:val="single" w:color="000000" w:sz="4" w:space="0"/>
            </w:tcBorders>
            <w:shd w:val="clear" w:color="auto" w:fill="auto"/>
            <w:vAlign w:val="center"/>
          </w:tcPr>
          <w:p w14:paraId="2401B128">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251" w:type="pct"/>
            <w:vMerge w:val="continue"/>
            <w:tcBorders>
              <w:left w:val="single" w:color="000000" w:sz="4" w:space="0"/>
              <w:right w:val="single" w:color="000000" w:sz="4" w:space="0"/>
            </w:tcBorders>
            <w:shd w:val="clear" w:color="auto" w:fill="auto"/>
            <w:vAlign w:val="center"/>
          </w:tcPr>
          <w:p w14:paraId="6275C27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07D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C1663900T</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5391">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违法行为轻微并及时纠正，没有造成危害后果</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C48C">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不予行政处罚</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DF2A">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C9A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87EA">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4194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3" w:type="pct"/>
            <w:vMerge w:val="continue"/>
            <w:tcBorders>
              <w:left w:val="single" w:color="000000" w:sz="4" w:space="0"/>
              <w:right w:val="single" w:color="000000" w:sz="4" w:space="0"/>
            </w:tcBorders>
            <w:shd w:val="clear" w:color="auto" w:fill="auto"/>
            <w:vAlign w:val="center"/>
          </w:tcPr>
          <w:p w14:paraId="558C182B">
            <w:pPr>
              <w:jc w:val="center"/>
              <w:rPr>
                <w:rFonts w:hint="eastAsia" w:ascii="宋体" w:hAnsi="宋体" w:eastAsia="宋体" w:cs="宋体"/>
                <w:i w:val="0"/>
                <w:color w:val="000000"/>
                <w:sz w:val="21"/>
                <w:szCs w:val="21"/>
                <w:u w:val="none"/>
              </w:rPr>
            </w:pPr>
          </w:p>
        </w:tc>
        <w:tc>
          <w:tcPr>
            <w:tcW w:w="424" w:type="pct"/>
            <w:vMerge w:val="continue"/>
            <w:tcBorders>
              <w:left w:val="single" w:color="000000" w:sz="4" w:space="0"/>
              <w:right w:val="single" w:color="000000" w:sz="4" w:space="0"/>
            </w:tcBorders>
            <w:shd w:val="clear" w:color="auto" w:fill="auto"/>
            <w:vAlign w:val="center"/>
          </w:tcPr>
          <w:p w14:paraId="5CE422CB">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67" w:type="pct"/>
            <w:vMerge w:val="continue"/>
            <w:tcBorders>
              <w:left w:val="single" w:color="000000" w:sz="4" w:space="0"/>
              <w:right w:val="nil"/>
            </w:tcBorders>
            <w:shd w:val="clear" w:color="auto" w:fill="auto"/>
            <w:vAlign w:val="center"/>
          </w:tcPr>
          <w:p w14:paraId="393AE51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57" w:type="pct"/>
            <w:vMerge w:val="continue"/>
            <w:tcBorders>
              <w:left w:val="single" w:color="000000" w:sz="4" w:space="0"/>
              <w:right w:val="single" w:color="000000" w:sz="4" w:space="0"/>
            </w:tcBorders>
            <w:shd w:val="clear" w:color="auto" w:fill="auto"/>
            <w:vAlign w:val="center"/>
          </w:tcPr>
          <w:p w14:paraId="14E0C492">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96" w:type="pct"/>
            <w:vMerge w:val="continue"/>
            <w:tcBorders>
              <w:left w:val="single" w:color="000000" w:sz="4" w:space="0"/>
              <w:right w:val="single" w:color="000000" w:sz="4" w:space="0"/>
            </w:tcBorders>
            <w:shd w:val="clear" w:color="auto" w:fill="auto"/>
            <w:vAlign w:val="center"/>
          </w:tcPr>
          <w:p w14:paraId="78CFA1D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251" w:type="pct"/>
            <w:vMerge w:val="continue"/>
            <w:tcBorders>
              <w:left w:val="single" w:color="000000" w:sz="4" w:space="0"/>
              <w:right w:val="single" w:color="000000" w:sz="4" w:space="0"/>
            </w:tcBorders>
            <w:shd w:val="clear" w:color="auto" w:fill="auto"/>
            <w:vAlign w:val="center"/>
          </w:tcPr>
          <w:p w14:paraId="3B089F7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CE6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C1663900A010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36AD">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发生以下情形之一的：                       </w:t>
            </w:r>
          </w:p>
          <w:p w14:paraId="153E9176">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1.使用未</w:t>
            </w:r>
            <w:r>
              <w:rPr>
                <w:rFonts w:hint="eastAsia" w:ascii="宋体" w:hAnsi="宋体" w:cs="宋体"/>
                <w:color w:val="000000"/>
                <w:kern w:val="0"/>
                <w:szCs w:val="21"/>
                <w:lang w:eastAsia="zh-CN" w:bidi="ar"/>
              </w:rPr>
              <w:t>经</w:t>
            </w:r>
            <w:r>
              <w:rPr>
                <w:rFonts w:hint="eastAsia" w:ascii="宋体" w:hAnsi="宋体" w:cs="宋体"/>
                <w:color w:val="000000"/>
                <w:kern w:val="0"/>
                <w:szCs w:val="21"/>
                <w:lang w:bidi="ar"/>
              </w:rPr>
              <w:t>检验或检验不合格的原材料，且未造成质量事故；</w:t>
            </w:r>
          </w:p>
          <w:p w14:paraId="0FA9CA8A">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2.供应未经验收或验收不合格的混凝土，涉及工程结构安全方量不超过1000方，且未造成质量事故；</w:t>
            </w:r>
          </w:p>
          <w:p w14:paraId="01EDEBC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bidi="ar"/>
              </w:rPr>
              <w:t>3.未进行配合比设计或者未按照配合比通知单生产，涉及工程结构安全方量不超过1000方，且未造成质量事故。</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F03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处10万元以上15万元以下罚款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E62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035B">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7081">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14:paraId="7106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6" w:hRule="atLeast"/>
        </w:trPr>
        <w:tc>
          <w:tcPr>
            <w:tcW w:w="153" w:type="pct"/>
            <w:vMerge w:val="continue"/>
            <w:tcBorders>
              <w:left w:val="single" w:color="000000" w:sz="4" w:space="0"/>
              <w:right w:val="single" w:color="000000" w:sz="4" w:space="0"/>
            </w:tcBorders>
            <w:shd w:val="clear" w:color="auto" w:fill="auto"/>
            <w:vAlign w:val="center"/>
          </w:tcPr>
          <w:p w14:paraId="5F987AC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24" w:type="pct"/>
            <w:vMerge w:val="continue"/>
            <w:tcBorders>
              <w:left w:val="single" w:color="000000" w:sz="4" w:space="0"/>
              <w:right w:val="single" w:color="000000" w:sz="4" w:space="0"/>
            </w:tcBorders>
            <w:shd w:val="clear" w:color="auto" w:fill="auto"/>
            <w:vAlign w:val="center"/>
          </w:tcPr>
          <w:p w14:paraId="23C5B61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67" w:type="pct"/>
            <w:vMerge w:val="continue"/>
            <w:tcBorders>
              <w:left w:val="single" w:color="000000" w:sz="4" w:space="0"/>
              <w:right w:val="nil"/>
            </w:tcBorders>
            <w:shd w:val="clear" w:color="auto" w:fill="auto"/>
            <w:vAlign w:val="center"/>
          </w:tcPr>
          <w:p w14:paraId="0F63C63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57" w:type="pct"/>
            <w:vMerge w:val="continue"/>
            <w:tcBorders>
              <w:left w:val="single" w:color="000000" w:sz="4" w:space="0"/>
              <w:right w:val="single" w:color="000000" w:sz="4" w:space="0"/>
            </w:tcBorders>
            <w:shd w:val="clear" w:color="auto" w:fill="auto"/>
            <w:vAlign w:val="center"/>
          </w:tcPr>
          <w:p w14:paraId="1620E1B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96" w:type="pct"/>
            <w:vMerge w:val="continue"/>
            <w:tcBorders>
              <w:left w:val="single" w:color="000000" w:sz="4" w:space="0"/>
              <w:right w:val="single" w:color="000000" w:sz="4" w:space="0"/>
            </w:tcBorders>
            <w:shd w:val="clear" w:color="auto" w:fill="auto"/>
            <w:vAlign w:val="center"/>
          </w:tcPr>
          <w:p w14:paraId="357E606B">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251" w:type="pct"/>
            <w:vMerge w:val="continue"/>
            <w:tcBorders>
              <w:left w:val="single" w:color="000000" w:sz="4" w:space="0"/>
              <w:right w:val="single" w:color="000000" w:sz="4" w:space="0"/>
            </w:tcBorders>
            <w:shd w:val="clear" w:color="auto" w:fill="auto"/>
            <w:vAlign w:val="center"/>
          </w:tcPr>
          <w:p w14:paraId="7E48FEC4">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4F4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C1663900A020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FADD">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发生以下情形之一的：</w:t>
            </w:r>
          </w:p>
          <w:p w14:paraId="0DBA5360">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1.供应未经验收或验收不合格的混凝土，涉及工程结构安全方量大于1000方，不超过3000方，且未造成质量事故；</w:t>
            </w:r>
          </w:p>
          <w:p w14:paraId="7B8F67D2">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.未进行配合比设计或者未按照配合比通知单生产，涉及工程结构安全方量大于1000方，不超过3000方，且未造成质量事故。</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875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处15万元以上20万元以下罚款</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FF7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58DB">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950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r>
      <w:tr w14:paraId="0DD2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7" w:hRule="atLeast"/>
        </w:trPr>
        <w:tc>
          <w:tcPr>
            <w:tcW w:w="153" w:type="pct"/>
            <w:vMerge w:val="continue"/>
            <w:tcBorders>
              <w:left w:val="single" w:color="000000" w:sz="4" w:space="0"/>
              <w:right w:val="single" w:color="000000" w:sz="4" w:space="0"/>
            </w:tcBorders>
            <w:shd w:val="clear" w:color="auto" w:fill="auto"/>
            <w:vAlign w:val="center"/>
          </w:tcPr>
          <w:p w14:paraId="303CE4D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24" w:type="pct"/>
            <w:vMerge w:val="continue"/>
            <w:tcBorders>
              <w:left w:val="single" w:color="000000" w:sz="4" w:space="0"/>
              <w:right w:val="single" w:color="000000" w:sz="4" w:space="0"/>
            </w:tcBorders>
            <w:shd w:val="clear" w:color="auto" w:fill="auto"/>
            <w:vAlign w:val="center"/>
          </w:tcPr>
          <w:p w14:paraId="115914BA">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67" w:type="pct"/>
            <w:vMerge w:val="continue"/>
            <w:tcBorders>
              <w:left w:val="single" w:color="000000" w:sz="4" w:space="0"/>
              <w:right w:val="nil"/>
            </w:tcBorders>
            <w:shd w:val="clear" w:color="auto" w:fill="auto"/>
            <w:vAlign w:val="center"/>
          </w:tcPr>
          <w:p w14:paraId="3AAE7CE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57" w:type="pct"/>
            <w:vMerge w:val="continue"/>
            <w:tcBorders>
              <w:left w:val="single" w:color="000000" w:sz="4" w:space="0"/>
              <w:right w:val="single" w:color="000000" w:sz="4" w:space="0"/>
            </w:tcBorders>
            <w:shd w:val="clear" w:color="auto" w:fill="auto"/>
            <w:vAlign w:val="center"/>
          </w:tcPr>
          <w:p w14:paraId="3BB604B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96" w:type="pct"/>
            <w:vMerge w:val="continue"/>
            <w:tcBorders>
              <w:left w:val="single" w:color="000000" w:sz="4" w:space="0"/>
              <w:right w:val="single" w:color="000000" w:sz="4" w:space="0"/>
            </w:tcBorders>
            <w:shd w:val="clear" w:color="auto" w:fill="auto"/>
            <w:vAlign w:val="center"/>
          </w:tcPr>
          <w:p w14:paraId="363D4D0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251" w:type="pct"/>
            <w:vMerge w:val="continue"/>
            <w:tcBorders>
              <w:left w:val="single" w:color="000000" w:sz="4" w:space="0"/>
              <w:right w:val="single" w:color="000000" w:sz="4" w:space="0"/>
            </w:tcBorders>
            <w:shd w:val="clear" w:color="auto" w:fill="auto"/>
            <w:vAlign w:val="center"/>
          </w:tcPr>
          <w:p w14:paraId="17C1DE7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B66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C1663900A030</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F774">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发生以下情形之一的：                       </w:t>
            </w:r>
          </w:p>
          <w:p w14:paraId="2427A7DE">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1.供应未经验收或验收不合格的混凝土，涉及工程结构安全方量大于3000方，且未造成质量事故；</w:t>
            </w:r>
          </w:p>
          <w:p w14:paraId="6C9EADC0">
            <w:pPr>
              <w:keepNext w:val="0"/>
              <w:keepLines w:val="0"/>
              <w:widowControl/>
              <w:suppressLineNumbers w:val="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2.未进行配合比设计或者未按照配合比通知单生产，涉及工程结构安全方量大于3000方，且未造成质量事故。</w:t>
            </w:r>
          </w:p>
          <w:p w14:paraId="574D5651">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lang w:bidi="ar"/>
              </w:rPr>
              <w:t>3.造成一般或较大质量事故。</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4EE2">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处20万元罚款，</w:t>
            </w:r>
            <w:r>
              <w:rPr>
                <w:rFonts w:hint="eastAsia" w:ascii="宋体" w:hAnsi="宋体" w:cs="宋体"/>
                <w:color w:val="000000"/>
                <w:kern w:val="0"/>
                <w:szCs w:val="21"/>
                <w:lang w:bidi="ar"/>
              </w:rPr>
              <w:t>责令停业整顿15日以上</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FEA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467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3524">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r>
      <w:tr w14:paraId="4578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53" w:type="pct"/>
            <w:vMerge w:val="continue"/>
            <w:tcBorders>
              <w:left w:val="single" w:color="000000" w:sz="4" w:space="0"/>
              <w:bottom w:val="single" w:color="000000" w:sz="4" w:space="0"/>
              <w:right w:val="single" w:color="000000" w:sz="4" w:space="0"/>
            </w:tcBorders>
            <w:shd w:val="clear" w:color="auto" w:fill="auto"/>
            <w:vAlign w:val="center"/>
          </w:tcPr>
          <w:p w14:paraId="633C8B5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24" w:type="pct"/>
            <w:vMerge w:val="continue"/>
            <w:tcBorders>
              <w:left w:val="single" w:color="000000" w:sz="4" w:space="0"/>
              <w:bottom w:val="single" w:color="000000" w:sz="4" w:space="0"/>
              <w:right w:val="single" w:color="000000" w:sz="4" w:space="0"/>
            </w:tcBorders>
            <w:shd w:val="clear" w:color="auto" w:fill="auto"/>
            <w:vAlign w:val="center"/>
          </w:tcPr>
          <w:p w14:paraId="046D2AD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67" w:type="pct"/>
            <w:vMerge w:val="continue"/>
            <w:tcBorders>
              <w:left w:val="single" w:color="000000" w:sz="4" w:space="0"/>
              <w:bottom w:val="single" w:color="000000" w:sz="4" w:space="0"/>
              <w:right w:val="nil"/>
            </w:tcBorders>
            <w:shd w:val="clear" w:color="auto" w:fill="auto"/>
            <w:vAlign w:val="center"/>
          </w:tcPr>
          <w:p w14:paraId="4DD6FA2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57" w:type="pct"/>
            <w:vMerge w:val="continue"/>
            <w:tcBorders>
              <w:left w:val="single" w:color="000000" w:sz="4" w:space="0"/>
              <w:bottom w:val="single" w:color="000000" w:sz="4" w:space="0"/>
              <w:right w:val="single" w:color="000000" w:sz="4" w:space="0"/>
            </w:tcBorders>
            <w:shd w:val="clear" w:color="auto" w:fill="auto"/>
            <w:vAlign w:val="center"/>
          </w:tcPr>
          <w:p w14:paraId="3E774A7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396" w:type="pct"/>
            <w:vMerge w:val="continue"/>
            <w:tcBorders>
              <w:left w:val="single" w:color="000000" w:sz="4" w:space="0"/>
              <w:bottom w:val="single" w:color="000000" w:sz="4" w:space="0"/>
              <w:right w:val="single" w:color="000000" w:sz="4" w:space="0"/>
            </w:tcBorders>
            <w:shd w:val="clear" w:color="auto" w:fill="auto"/>
            <w:vAlign w:val="center"/>
          </w:tcPr>
          <w:p w14:paraId="32CE0B4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251" w:type="pct"/>
            <w:vMerge w:val="continue"/>
            <w:tcBorders>
              <w:left w:val="single" w:color="000000" w:sz="4" w:space="0"/>
              <w:bottom w:val="single" w:color="000000" w:sz="4" w:space="0"/>
              <w:right w:val="single" w:color="000000" w:sz="4" w:space="0"/>
            </w:tcBorders>
            <w:shd w:val="clear" w:color="auto" w:fill="auto"/>
            <w:vAlign w:val="center"/>
          </w:tcPr>
          <w:p w14:paraId="34594E91">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158B">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C1663900A040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15A4">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造成重大或特别重大质量事故；存在其他严重违法情节，造成特别恶劣社会影响的。</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9294">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处20万元罚款，吊销资质证书</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A4F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3C91">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36个月</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BE6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bl>
    <w:p w14:paraId="554CEB75">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eastAsia" w:ascii="仿宋_GB2312" w:hAnsi="仿宋_GB2312" w:eastAsia="仿宋_GB2312" w:cs="仿宋_GB2312"/>
          <w:sz w:val="32"/>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1BD085E">
      <w:pPr>
        <w:pStyle w:val="2"/>
        <w:rPr>
          <w:rFonts w:hint="eastAsia" w:ascii="仿宋_GB2312" w:eastAsia="仿宋_GB2312"/>
          <w:spacing w:val="-20"/>
          <w:kern w:val="32"/>
          <w:sz w:val="32"/>
          <w:szCs w:val="32"/>
        </w:rPr>
      </w:pPr>
    </w:p>
    <w:p w14:paraId="58CE185A">
      <w:pPr>
        <w:rPr>
          <w:rFonts w:hint="eastAsia" w:ascii="仿宋_GB2312" w:eastAsia="仿宋_GB2312"/>
          <w:spacing w:val="-20"/>
          <w:kern w:val="32"/>
          <w:sz w:val="32"/>
          <w:szCs w:val="32"/>
        </w:rPr>
      </w:pPr>
    </w:p>
    <w:p w14:paraId="3A8D3397">
      <w:pPr>
        <w:pStyle w:val="2"/>
        <w:rPr>
          <w:rFonts w:hint="eastAsia" w:ascii="仿宋_GB2312" w:eastAsia="仿宋_GB2312"/>
          <w:spacing w:val="-20"/>
          <w:kern w:val="32"/>
          <w:sz w:val="32"/>
          <w:szCs w:val="32"/>
        </w:rPr>
      </w:pPr>
    </w:p>
    <w:p w14:paraId="624EC659">
      <w:pPr>
        <w:rPr>
          <w:rFonts w:hint="eastAsia" w:ascii="仿宋_GB2312" w:eastAsia="仿宋_GB2312"/>
          <w:spacing w:val="-20"/>
          <w:kern w:val="32"/>
          <w:sz w:val="32"/>
          <w:szCs w:val="32"/>
        </w:rPr>
      </w:pPr>
    </w:p>
    <w:p w14:paraId="45314D73">
      <w:pPr>
        <w:pStyle w:val="2"/>
        <w:rPr>
          <w:rFonts w:hint="eastAsia" w:ascii="仿宋_GB2312" w:eastAsia="仿宋_GB2312"/>
          <w:spacing w:val="-20"/>
          <w:kern w:val="32"/>
          <w:sz w:val="32"/>
          <w:szCs w:val="32"/>
        </w:rPr>
      </w:pPr>
    </w:p>
    <w:p w14:paraId="712651FE">
      <w:pPr>
        <w:rPr>
          <w:rFonts w:hint="eastAsia" w:ascii="仿宋_GB2312" w:eastAsia="仿宋_GB2312"/>
          <w:spacing w:val="-20"/>
          <w:kern w:val="32"/>
          <w:sz w:val="32"/>
          <w:szCs w:val="32"/>
        </w:rPr>
      </w:pPr>
    </w:p>
    <w:p w14:paraId="1BB64646">
      <w:pPr>
        <w:pStyle w:val="2"/>
        <w:rPr>
          <w:rFonts w:hint="eastAsia" w:ascii="仿宋_GB2312" w:eastAsia="仿宋_GB2312"/>
          <w:spacing w:val="-20"/>
          <w:kern w:val="32"/>
          <w:sz w:val="32"/>
          <w:szCs w:val="32"/>
        </w:rPr>
      </w:pPr>
    </w:p>
    <w:p w14:paraId="6F7FF2CC">
      <w:pPr>
        <w:rPr>
          <w:rFonts w:hint="eastAsia" w:ascii="仿宋_GB2312" w:eastAsia="仿宋_GB2312"/>
          <w:spacing w:val="-20"/>
          <w:kern w:val="32"/>
          <w:sz w:val="32"/>
          <w:szCs w:val="32"/>
        </w:rPr>
      </w:pPr>
    </w:p>
    <w:p w14:paraId="40447CA0">
      <w:pPr>
        <w:pStyle w:val="2"/>
        <w:rPr>
          <w:rFonts w:hint="eastAsia" w:ascii="仿宋_GB2312" w:eastAsia="仿宋_GB2312"/>
          <w:spacing w:val="-20"/>
          <w:kern w:val="32"/>
          <w:sz w:val="32"/>
          <w:szCs w:val="32"/>
        </w:rPr>
      </w:pPr>
    </w:p>
    <w:p w14:paraId="1A2CB328">
      <w:pPr>
        <w:rPr>
          <w:rFonts w:hint="eastAsia" w:ascii="仿宋_GB2312" w:eastAsia="仿宋_GB2312"/>
          <w:spacing w:val="-20"/>
          <w:kern w:val="32"/>
          <w:sz w:val="32"/>
          <w:szCs w:val="32"/>
        </w:rPr>
      </w:pPr>
    </w:p>
    <w:p w14:paraId="0492B833">
      <w:pPr>
        <w:pStyle w:val="2"/>
        <w:rPr>
          <w:rFonts w:hint="eastAsia" w:ascii="仿宋_GB2312" w:eastAsia="仿宋_GB2312"/>
          <w:spacing w:val="-20"/>
          <w:kern w:val="32"/>
          <w:sz w:val="32"/>
          <w:szCs w:val="32"/>
        </w:rPr>
      </w:pPr>
    </w:p>
    <w:p w14:paraId="446700DD">
      <w:pPr>
        <w:rPr>
          <w:rFonts w:hint="eastAsia" w:ascii="仿宋_GB2312" w:eastAsia="仿宋_GB2312"/>
          <w:spacing w:val="-20"/>
          <w:kern w:val="32"/>
          <w:sz w:val="32"/>
          <w:szCs w:val="32"/>
        </w:rPr>
      </w:pPr>
    </w:p>
    <w:p w14:paraId="706F95CA">
      <w:pPr>
        <w:pStyle w:val="2"/>
        <w:rPr>
          <w:rFonts w:hint="eastAsia" w:ascii="仿宋_GB2312" w:eastAsia="仿宋_GB2312"/>
          <w:spacing w:val="-20"/>
          <w:kern w:val="32"/>
          <w:sz w:val="32"/>
          <w:szCs w:val="32"/>
        </w:rPr>
      </w:pPr>
    </w:p>
    <w:p w14:paraId="57228EF4">
      <w:pPr>
        <w:rPr>
          <w:rFonts w:hint="eastAsia" w:ascii="仿宋_GB2312" w:eastAsia="仿宋_GB2312"/>
          <w:spacing w:val="-20"/>
          <w:kern w:val="32"/>
          <w:sz w:val="32"/>
          <w:szCs w:val="32"/>
        </w:rPr>
      </w:pPr>
    </w:p>
    <w:p w14:paraId="4F4BC892">
      <w:pPr>
        <w:pStyle w:val="2"/>
        <w:rPr>
          <w:rFonts w:hint="eastAsia" w:ascii="仿宋_GB2312" w:eastAsia="仿宋_GB2312"/>
          <w:spacing w:val="-20"/>
          <w:kern w:val="32"/>
          <w:sz w:val="32"/>
          <w:szCs w:val="32"/>
        </w:rPr>
      </w:pPr>
    </w:p>
    <w:p w14:paraId="512018B9">
      <w:pPr>
        <w:rPr>
          <w:rFonts w:hint="eastAsia" w:ascii="仿宋_GB2312" w:eastAsia="仿宋_GB2312"/>
          <w:spacing w:val="-20"/>
          <w:kern w:val="32"/>
          <w:sz w:val="32"/>
          <w:szCs w:val="32"/>
        </w:rPr>
      </w:pPr>
    </w:p>
    <w:p w14:paraId="53C8E8BC">
      <w:pPr>
        <w:pStyle w:val="2"/>
        <w:rPr>
          <w:rFonts w:hint="eastAsia" w:ascii="仿宋_GB2312" w:eastAsia="仿宋_GB2312"/>
          <w:spacing w:val="-20"/>
          <w:kern w:val="32"/>
          <w:sz w:val="32"/>
          <w:szCs w:val="32"/>
        </w:rPr>
      </w:pPr>
    </w:p>
    <w:p w14:paraId="6D5E01DE">
      <w:pPr>
        <w:rPr>
          <w:rFonts w:hint="eastAsia" w:ascii="仿宋_GB2312" w:eastAsia="仿宋_GB2312"/>
          <w:spacing w:val="-20"/>
          <w:kern w:val="32"/>
          <w:sz w:val="32"/>
          <w:szCs w:val="32"/>
        </w:rPr>
      </w:pPr>
    </w:p>
    <w:p w14:paraId="70F43744">
      <w:pPr>
        <w:pStyle w:val="2"/>
        <w:rPr>
          <w:rFonts w:hint="eastAsia" w:ascii="仿宋_GB2312" w:eastAsia="仿宋_GB2312"/>
          <w:spacing w:val="-20"/>
          <w:kern w:val="32"/>
          <w:sz w:val="32"/>
          <w:szCs w:val="32"/>
        </w:rPr>
      </w:pPr>
    </w:p>
    <w:p w14:paraId="34AFDC23">
      <w:pPr>
        <w:rPr>
          <w:rFonts w:hint="eastAsia" w:ascii="仿宋_GB2312" w:eastAsia="仿宋_GB2312"/>
          <w:spacing w:val="-20"/>
          <w:kern w:val="32"/>
          <w:sz w:val="32"/>
          <w:szCs w:val="32"/>
        </w:rPr>
      </w:pPr>
    </w:p>
    <w:p w14:paraId="576FA033">
      <w:pPr>
        <w:pStyle w:val="2"/>
        <w:rPr>
          <w:rFonts w:hint="eastAsia" w:ascii="仿宋_GB2312" w:eastAsia="仿宋_GB2312"/>
          <w:spacing w:val="-20"/>
          <w:kern w:val="32"/>
          <w:sz w:val="32"/>
          <w:szCs w:val="32"/>
        </w:rPr>
      </w:pPr>
    </w:p>
    <w:p w14:paraId="62C44BDB">
      <w:pPr>
        <w:rPr>
          <w:rFonts w:hint="eastAsia" w:ascii="仿宋_GB2312" w:eastAsia="仿宋_GB2312"/>
          <w:spacing w:val="-20"/>
          <w:kern w:val="32"/>
          <w:sz w:val="32"/>
          <w:szCs w:val="32"/>
        </w:rPr>
      </w:pPr>
    </w:p>
    <w:p w14:paraId="33D60BD0">
      <w:pPr>
        <w:pStyle w:val="2"/>
        <w:rPr>
          <w:rFonts w:hint="eastAsia" w:ascii="仿宋_GB2312" w:eastAsia="仿宋_GB2312"/>
          <w:spacing w:val="-20"/>
          <w:kern w:val="32"/>
          <w:sz w:val="32"/>
          <w:szCs w:val="32"/>
        </w:rPr>
      </w:pPr>
    </w:p>
    <w:p w14:paraId="03EEB245">
      <w:pPr>
        <w:rPr>
          <w:rFonts w:hint="eastAsia"/>
        </w:rPr>
      </w:pPr>
    </w:p>
    <w:p w14:paraId="73A2566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pacing w:val="-20"/>
          <w:kern w:val="32"/>
          <w:sz w:val="32"/>
          <w:szCs w:val="32"/>
        </w:rPr>
      </w:pPr>
    </w:p>
    <w:p w14:paraId="4A519255">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pacing w:val="-20"/>
          <w:kern w:val="32"/>
          <w:sz w:val="32"/>
          <w:szCs w:val="32"/>
        </w:rPr>
      </w:pPr>
    </w:p>
    <w:p w14:paraId="32C312B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pacing w:val="-20"/>
          <w:kern w:val="32"/>
          <w:sz w:val="32"/>
          <w:szCs w:val="32"/>
        </w:rPr>
      </w:pPr>
    </w:p>
    <w:p w14:paraId="527B0780">
      <w:pPr>
        <w:pStyle w:val="2"/>
        <w:rPr>
          <w:rFonts w:hint="eastAsia" w:ascii="仿宋_GB2312" w:eastAsia="仿宋_GB2312"/>
          <w:spacing w:val="-20"/>
          <w:kern w:val="32"/>
          <w:sz w:val="32"/>
          <w:szCs w:val="32"/>
        </w:rPr>
      </w:pPr>
    </w:p>
    <w:p w14:paraId="5BDEC78A">
      <w:pPr>
        <w:rPr>
          <w:rFonts w:hint="eastAsia"/>
        </w:rPr>
      </w:pPr>
    </w:p>
    <w:p w14:paraId="50A0A2D5">
      <w:pPr>
        <w:spacing w:line="360" w:lineRule="exact"/>
        <w:rPr>
          <w:rFonts w:hint="eastAsia" w:ascii="仿宋_GB2312" w:eastAsia="仿宋_GB2312"/>
          <w:spacing w:val="-20"/>
          <w:kern w:val="32"/>
          <w:sz w:val="32"/>
          <w:szCs w:val="32"/>
        </w:rPr>
      </w:pPr>
    </w:p>
    <w:p w14:paraId="23D68B91">
      <w:pPr>
        <w:spacing w:line="360" w:lineRule="exact"/>
        <w:ind w:left="1920" w:hanging="1920" w:hangingChars="600"/>
        <w:rPr>
          <w:rFonts w:hint="eastAsia" w:ascii="仿宋_GB2312" w:eastAsia="仿宋_GB2312"/>
          <w:kern w:val="32"/>
          <w:sz w:val="32"/>
          <w:szCs w:val="32"/>
        </w:rPr>
      </w:pPr>
      <w:r>
        <w:rPr>
          <w:rFonts w:hint="eastAsia" w:ascii="仿宋_GB2312" w:eastAsia="仿宋_GB2312"/>
          <w:kern w:val="32"/>
          <w:sz w:val="32"/>
          <w:szCs w:val="32"/>
        </w:rPr>
        <w:t xml:space="preserve">    （此件公开</w:t>
      </w:r>
      <w:r>
        <w:rPr>
          <w:rFonts w:hint="eastAsia" w:ascii="仿宋_GB2312" w:eastAsia="仿宋_GB2312"/>
          <w:kern w:val="32"/>
          <w:sz w:val="32"/>
          <w:szCs w:val="32"/>
          <w:lang w:eastAsia="zh-CN"/>
        </w:rPr>
        <w:t>发布</w:t>
      </w:r>
      <w:r>
        <w:rPr>
          <w:rFonts w:hint="eastAsia" w:ascii="仿宋_GB2312" w:eastAsia="仿宋_GB2312"/>
          <w:kern w:val="32"/>
          <w:sz w:val="32"/>
          <w:szCs w:val="32"/>
        </w:rPr>
        <w:t>）</w:t>
      </w:r>
    </w:p>
    <w:p w14:paraId="05FF278E">
      <w:pPr>
        <w:spacing w:line="560" w:lineRule="exact"/>
        <w:ind w:firstLine="280" w:firstLineChars="100"/>
        <w:rPr>
          <w:rFonts w:hint="eastAsia"/>
        </w:rPr>
      </w:pPr>
      <w:r>
        <w:rPr>
          <w:rFonts w:hint="eastAsia" w:ascii="宋体" w:hAnsi="宋体" w:cs="宋体"/>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22860</wp:posOffset>
                </wp:positionV>
                <wp:extent cx="5600700" cy="0"/>
                <wp:effectExtent l="0" t="0" r="0" b="0"/>
                <wp:wrapNone/>
                <wp:docPr id="3" name="直线 53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34" o:spid="_x0000_s1026" o:spt="20" style="position:absolute;left:0pt;margin-left:0pt;margin-top:1.8pt;height:0pt;width:441pt;z-index:251661312;mso-width-relative:page;mso-height-relative:page;" filled="f" stroked="t" coordsize="21600,21600" o:gfxdata="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Zx5&#10;L9IAAAAEAQAADwAAAAAAAAABACAAAAAiAAAAZHJzL2Rvd25yZXYueG1sUEsBAhQAFAAAAAgAh07i&#10;QPFHFSXvAQAA6wMAAA4AAAAAAAAAAQAgAAAAIQEAAGRycy9lMm9Eb2MueG1sUEsFBgAAAAAGAAYA&#10;WQEAAIIFAAAAAA==&#10;">
                <v:fill on="f" focussize="0,0"/>
                <v:stroke color="#000000" joinstyle="round"/>
                <v:imagedata o:title=""/>
                <o:lock v:ext="edit" aspectratio="f"/>
              </v:line>
            </w:pict>
          </mc:Fallback>
        </mc:AlternateContent>
      </w:r>
      <w:r>
        <w:rPr>
          <w:rFonts w:hint="eastAsia" w:ascii="仿宋_GB2312" w:eastAsia="仿宋_GB2312"/>
          <w:kern w:val="3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377825</wp:posOffset>
                </wp:positionV>
                <wp:extent cx="5600700" cy="0"/>
                <wp:effectExtent l="0" t="0" r="0" b="0"/>
                <wp:wrapNone/>
                <wp:docPr id="4" name="直线 53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33" o:spid="_x0000_s1026" o:spt="20" style="position:absolute;left:0pt;margin-left:0pt;margin-top:29.75pt;height:0pt;width:441pt;z-index:251660288;mso-width-relative:page;mso-height-relative:page;" filled="f" stroked="t" coordsize="21600,21600" o:gfxdata="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nW&#10;udfTAAAABgEAAA8AAAAAAAAAAQAgAAAAIgAAAGRycy9kb3ducmV2LnhtbFBLAQIUABQAAAAIAIdO&#10;4kAKi+1a7wEAAOsDAAAOAAAAAAAAAAEAIAAAACIBAABkcnMvZTJvRG9jLnhtbFBLBQYAAAAABgAG&#10;AFkBAACDBQAAAAA=&#10;">
                <v:fill on="f" focussize="0,0"/>
                <v:stroke color="#000000" joinstyle="round"/>
                <v:imagedata o:title=""/>
                <o:lock v:ext="edit" aspectratio="f"/>
              </v:line>
            </w:pict>
          </mc:Fallback>
        </mc:AlternateContent>
      </w:r>
      <w:r>
        <w:rPr>
          <w:rFonts w:hint="eastAsia" w:ascii="仿宋_GB2312" w:eastAsia="仿宋_GB2312"/>
          <w:kern w:val="32"/>
          <w:sz w:val="28"/>
          <w:szCs w:val="28"/>
        </w:rPr>
        <w:t>北京市住房和城乡建设委员会办公室</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kern w:val="32"/>
          <w:sz w:val="28"/>
          <w:szCs w:val="28"/>
        </w:rPr>
        <w:t>202</w:t>
      </w:r>
      <w:r>
        <w:rPr>
          <w:rFonts w:hint="eastAsia" w:ascii="仿宋_GB2312" w:eastAsia="仿宋_GB2312"/>
          <w:kern w:val="32"/>
          <w:sz w:val="28"/>
          <w:szCs w:val="28"/>
          <w:lang w:val="en-US" w:eastAsia="zh-CN"/>
        </w:rPr>
        <w:t>5</w:t>
      </w:r>
      <w:r>
        <w:rPr>
          <w:rFonts w:hint="eastAsia" w:ascii="仿宋_GB2312" w:eastAsia="仿宋_GB2312"/>
          <w:kern w:val="32"/>
          <w:sz w:val="28"/>
          <w:szCs w:val="28"/>
        </w:rPr>
        <w:t>年</w:t>
      </w:r>
      <w:r>
        <w:rPr>
          <w:rFonts w:hint="eastAsia" w:ascii="仿宋_GB2312" w:eastAsia="仿宋_GB2312"/>
          <w:kern w:val="32"/>
          <w:sz w:val="28"/>
          <w:szCs w:val="28"/>
          <w:lang w:val="en-US" w:eastAsia="zh-CN"/>
        </w:rPr>
        <w:t>4</w:t>
      </w:r>
      <w:r>
        <w:rPr>
          <w:rFonts w:hint="eastAsia" w:ascii="仿宋_GB2312" w:eastAsia="仿宋_GB2312"/>
          <w:kern w:val="32"/>
          <w:sz w:val="28"/>
          <w:szCs w:val="28"/>
        </w:rPr>
        <w:t>月</w:t>
      </w:r>
      <w:r>
        <w:rPr>
          <w:rFonts w:hint="eastAsia" w:ascii="仿宋_GB2312" w:eastAsia="仿宋_GB2312"/>
          <w:kern w:val="32"/>
          <w:sz w:val="28"/>
          <w:szCs w:val="28"/>
          <w:lang w:val="en-US" w:eastAsia="zh-CN"/>
        </w:rPr>
        <w:t>3</w:t>
      </w:r>
      <w:r>
        <w:rPr>
          <w:rFonts w:hint="eastAsia" w:ascii="仿宋_GB2312" w:eastAsia="仿宋_GB2312"/>
          <w:kern w:val="32"/>
          <w:sz w:val="28"/>
          <w:szCs w:val="28"/>
        </w:rPr>
        <w:t>日印</w:t>
      </w:r>
    </w:p>
    <w:sectPr>
      <w:headerReference r:id="rId4" w:type="default"/>
      <w:footerReference r:id="rId5" w:type="default"/>
      <w:footerReference r:id="rId6" w:type="even"/>
      <w:pgSz w:w="11906" w:h="16838"/>
      <w:pgMar w:top="1701" w:right="1474" w:bottom="1701" w:left="1588" w:header="851" w:footer="1588"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6B326">
    <w:pPr>
      <w:pStyle w:val="4"/>
      <w:ind w:left="420" w:leftChars="200" w:right="420" w:rightChars="200"/>
      <w:rPr>
        <w:rFonts w:hint="eastAsia" w:ascii="仿宋_GB2312" w:hAnsi="仿宋_GB2312" w:eastAsia="仿宋_GB2312" w:cs="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3BA7">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25977">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341C5E89">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3012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8EC"/>
    <w:rsid w:val="000758EC"/>
    <w:rsid w:val="000A0760"/>
    <w:rsid w:val="00260BFD"/>
    <w:rsid w:val="003C2E13"/>
    <w:rsid w:val="004F2623"/>
    <w:rsid w:val="00520BA0"/>
    <w:rsid w:val="00861793"/>
    <w:rsid w:val="00A402FF"/>
    <w:rsid w:val="00C12725"/>
    <w:rsid w:val="00D907DF"/>
    <w:rsid w:val="00DF0CF3"/>
    <w:rsid w:val="17ADA193"/>
    <w:rsid w:val="1EFF563F"/>
    <w:rsid w:val="1F3D3E15"/>
    <w:rsid w:val="1FD011E1"/>
    <w:rsid w:val="1FFF2200"/>
    <w:rsid w:val="2FD7B2C1"/>
    <w:rsid w:val="34EBB5F8"/>
    <w:rsid w:val="357FB3EA"/>
    <w:rsid w:val="3707EA7E"/>
    <w:rsid w:val="38FFF7E9"/>
    <w:rsid w:val="3BFEA06F"/>
    <w:rsid w:val="3ED75234"/>
    <w:rsid w:val="3F7D8380"/>
    <w:rsid w:val="4FFB3D0B"/>
    <w:rsid w:val="57FFAB3D"/>
    <w:rsid w:val="59FB70AA"/>
    <w:rsid w:val="5E791F7C"/>
    <w:rsid w:val="5F678918"/>
    <w:rsid w:val="5FFED357"/>
    <w:rsid w:val="65F7CD3F"/>
    <w:rsid w:val="678D7449"/>
    <w:rsid w:val="69BBEAB8"/>
    <w:rsid w:val="6BB5EF81"/>
    <w:rsid w:val="6EBFBEB1"/>
    <w:rsid w:val="6F56946F"/>
    <w:rsid w:val="6FEE6A68"/>
    <w:rsid w:val="6FFEBD5F"/>
    <w:rsid w:val="733D182E"/>
    <w:rsid w:val="733F80EB"/>
    <w:rsid w:val="738C97E2"/>
    <w:rsid w:val="73C7E5F5"/>
    <w:rsid w:val="768FEF01"/>
    <w:rsid w:val="777F2C7B"/>
    <w:rsid w:val="77E5B1C7"/>
    <w:rsid w:val="77F7D125"/>
    <w:rsid w:val="77FF8B61"/>
    <w:rsid w:val="7CF4604B"/>
    <w:rsid w:val="7DFEFE9E"/>
    <w:rsid w:val="7EFF836B"/>
    <w:rsid w:val="7F0F00C6"/>
    <w:rsid w:val="7F770F85"/>
    <w:rsid w:val="7F7BC380"/>
    <w:rsid w:val="7F7F213F"/>
    <w:rsid w:val="7FDF1E3A"/>
    <w:rsid w:val="7FE731E5"/>
    <w:rsid w:val="7FFAEF3E"/>
    <w:rsid w:val="7FFF3A96"/>
    <w:rsid w:val="7FFF5EBD"/>
    <w:rsid w:val="8BFDA898"/>
    <w:rsid w:val="8FFDD148"/>
    <w:rsid w:val="9FBAC597"/>
    <w:rsid w:val="9FFE7D09"/>
    <w:rsid w:val="AC7E0024"/>
    <w:rsid w:val="AFBE765E"/>
    <w:rsid w:val="B2FC90E9"/>
    <w:rsid w:val="B3BF861E"/>
    <w:rsid w:val="B5DF757C"/>
    <w:rsid w:val="BAEF2B95"/>
    <w:rsid w:val="BDF7D333"/>
    <w:rsid w:val="BE7E451A"/>
    <w:rsid w:val="BFE0EB89"/>
    <w:rsid w:val="BFFFF2CA"/>
    <w:rsid w:val="CD6F6696"/>
    <w:rsid w:val="CF6FC4A9"/>
    <w:rsid w:val="CFB74E69"/>
    <w:rsid w:val="D5BFEEB6"/>
    <w:rsid w:val="DBF7FCC4"/>
    <w:rsid w:val="DBFFBBCF"/>
    <w:rsid w:val="DC3B5EEA"/>
    <w:rsid w:val="DEF72BAD"/>
    <w:rsid w:val="E8ED14C2"/>
    <w:rsid w:val="EDFBD642"/>
    <w:rsid w:val="EF7F1A91"/>
    <w:rsid w:val="EF7F340B"/>
    <w:rsid w:val="EF7FC8A2"/>
    <w:rsid w:val="EFB393F3"/>
    <w:rsid w:val="EFB7CA0A"/>
    <w:rsid w:val="EFF5E52A"/>
    <w:rsid w:val="F3FE85DF"/>
    <w:rsid w:val="F68FB4E9"/>
    <w:rsid w:val="F72F02FB"/>
    <w:rsid w:val="F767E6BC"/>
    <w:rsid w:val="F7F7D091"/>
    <w:rsid w:val="FACB6971"/>
    <w:rsid w:val="FBFF9857"/>
    <w:rsid w:val="FC9B0D95"/>
    <w:rsid w:val="FCDCE1F9"/>
    <w:rsid w:val="FDD76829"/>
    <w:rsid w:val="FEFAE5BB"/>
    <w:rsid w:val="FEFE4BCB"/>
    <w:rsid w:val="FF39426C"/>
    <w:rsid w:val="FF3DC9C3"/>
    <w:rsid w:val="FF7D16D7"/>
    <w:rsid w:val="FFBC24B9"/>
    <w:rsid w:val="FFFFD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3">
    <w:name w:val="Body Text"/>
    <w:basedOn w:val="1"/>
    <w:next w:val="1"/>
    <w:qFormat/>
    <w:uiPriority w:val="0"/>
    <w:pPr>
      <w:jc w:val="center"/>
    </w:pPr>
    <w:rPr>
      <w:sz w:val="24"/>
      <w:szCs w:val="20"/>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qFormat/>
    <w:uiPriority w:val="0"/>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70</Words>
  <Characters>401</Characters>
  <Lines>3</Lines>
  <Paragraphs>1</Paragraphs>
  <TotalTime>9</TotalTime>
  <ScaleCrop>false</ScaleCrop>
  <LinksUpToDate>false</LinksUpToDate>
  <CharactersWithSpaces>470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2016-02-12T18:41:00Z</dcterms:created>
  <dc:creator>微软用户</dc:creator>
  <cp:lastModifiedBy>user</cp:lastModifiedBy>
  <cp:lastPrinted>2025-04-04T02:25:00Z</cp:lastPrinted>
  <dcterms:modified xsi:type="dcterms:W3CDTF">2026-05-29T10:12:21Z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F04A5D1B6725D42605F6186A66FF6E9A_43</vt:lpwstr>
  </property>
</Properties>
</file>