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highlight w:val="none"/>
        </w:rPr>
      </w:pPr>
      <w:r>
        <w:rPr>
          <w:rFonts w:hint="eastAsia" w:ascii="Times New Roman" w:hAnsi="Times New Roman" w:eastAsia="方正小标宋简体" w:cs="方正仿宋简体"/>
          <w:color w:val="000000"/>
          <w:sz w:val="32"/>
          <w:szCs w:val="32"/>
          <w:highlight w:val="none"/>
        </w:rPr>
        <w:t>2026年北京市</w:t>
      </w:r>
      <w:r>
        <w:rPr>
          <w:rFonts w:hint="eastAsia" w:ascii="Times New Roman" w:hAnsi="Times New Roman" w:eastAsia="方正小标宋简体" w:cs="方正仿宋简体"/>
          <w:color w:val="000000"/>
          <w:sz w:val="32"/>
          <w:szCs w:val="32"/>
          <w:highlight w:val="none"/>
          <w:lang w:val="en-US" w:eastAsia="zh-CN"/>
        </w:rPr>
        <w:t>西城区</w:t>
      </w:r>
      <w:r>
        <w:rPr>
          <w:rFonts w:hint="eastAsia" w:ascii="Times New Roman" w:hAnsi="Times New Roman" w:eastAsia="方正小标宋简体" w:cs="方正仿宋简体"/>
          <w:color w:val="000000"/>
          <w:sz w:val="32"/>
          <w:szCs w:val="32"/>
          <w:highlight w:val="none"/>
        </w:rPr>
        <w:t>灭火器材产品质量监督抽查实施细则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highlight w:val="none"/>
          <w:lang w:val="en-US" w:eastAsia="zh-CN"/>
        </w:rPr>
      </w:pPr>
      <w:r>
        <w:rPr>
          <w:rFonts w:hint="eastAsia" w:ascii="Times New Roman" w:hAnsi="Times New Roman" w:eastAsia="黑体" w:cs="黑体"/>
          <w:sz w:val="22"/>
          <w:szCs w:val="28"/>
          <w:highlight w:val="none"/>
          <w:lang w:val="en-US" w:eastAsia="zh-CN"/>
        </w:rPr>
        <w:t>1 抽样方法</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宋体"/>
          <w:sz w:val="22"/>
          <w:szCs w:val="28"/>
          <w:highlight w:val="none"/>
        </w:rPr>
      </w:pPr>
      <w:r>
        <w:rPr>
          <w:rFonts w:hint="eastAsia" w:ascii="Times New Roman" w:hAnsi="Times New Roman" w:eastAsia="宋体" w:cs="宋体"/>
          <w:sz w:val="22"/>
          <w:szCs w:val="28"/>
          <w:highlight w:val="none"/>
        </w:rPr>
        <w:t>抽样基数满足抽样数量即可，</w:t>
      </w:r>
      <w:r>
        <w:rPr>
          <w:rFonts w:hint="default" w:ascii="Times New Roman" w:hAnsi="Times New Roman" w:eastAsia="宋体" w:cs="宋体"/>
          <w:sz w:val="22"/>
          <w:szCs w:val="28"/>
          <w:highlight w:val="none"/>
        </w:rPr>
        <w:t>手提式灭火器</w:t>
      </w:r>
      <w:bookmarkStart w:id="0" w:name="OLE_LINK2"/>
      <w:r>
        <w:rPr>
          <w:rFonts w:hint="default" w:ascii="Times New Roman" w:hAnsi="Times New Roman" w:eastAsia="宋体" w:cs="宋体"/>
          <w:sz w:val="22"/>
          <w:szCs w:val="28"/>
          <w:highlight w:val="none"/>
        </w:rPr>
        <w:t>抽取</w:t>
      </w:r>
      <w:r>
        <w:rPr>
          <w:rFonts w:hint="default" w:ascii="Times New Roman" w:hAnsi="Times New Roman" w:eastAsia="宋体" w:cs="宋体"/>
          <w:sz w:val="22"/>
          <w:szCs w:val="28"/>
          <w:highlight w:val="none"/>
          <w:lang w:val="en-US" w:eastAsia="zh-CN"/>
        </w:rPr>
        <w:t>8</w:t>
      </w:r>
      <w:r>
        <w:rPr>
          <w:rFonts w:hint="default" w:ascii="Times New Roman" w:hAnsi="Times New Roman" w:eastAsia="宋体" w:cs="宋体"/>
          <w:sz w:val="22"/>
          <w:szCs w:val="28"/>
          <w:highlight w:val="none"/>
        </w:rPr>
        <w:t>具，</w:t>
      </w:r>
      <w:r>
        <w:rPr>
          <w:rFonts w:hint="default" w:ascii="Times New Roman" w:hAnsi="Times New Roman" w:eastAsia="宋体" w:cs="宋体"/>
          <w:sz w:val="22"/>
          <w:szCs w:val="28"/>
          <w:highlight w:val="none"/>
          <w:lang w:val="en-US" w:eastAsia="zh-CN"/>
        </w:rPr>
        <w:t>4</w:t>
      </w:r>
      <w:r>
        <w:rPr>
          <w:rFonts w:hint="default" w:ascii="Times New Roman" w:hAnsi="Times New Roman" w:eastAsia="宋体" w:cs="宋体"/>
          <w:sz w:val="22"/>
          <w:szCs w:val="28"/>
          <w:highlight w:val="none"/>
        </w:rPr>
        <w:t>具为检验用样品，</w:t>
      </w:r>
      <w:r>
        <w:rPr>
          <w:rFonts w:hint="eastAsia" w:ascii="Times New Roman" w:hAnsi="Times New Roman" w:eastAsia="宋体" w:cs="宋体"/>
          <w:sz w:val="22"/>
          <w:szCs w:val="28"/>
          <w:highlight w:val="none"/>
        </w:rPr>
        <w:t>另</w:t>
      </w:r>
      <w:r>
        <w:rPr>
          <w:rFonts w:hint="default" w:ascii="Times New Roman" w:hAnsi="Times New Roman" w:eastAsia="宋体" w:cs="宋体"/>
          <w:sz w:val="22"/>
          <w:szCs w:val="28"/>
          <w:highlight w:val="none"/>
          <w:lang w:val="en-US" w:eastAsia="zh-CN"/>
        </w:rPr>
        <w:t>4</w:t>
      </w:r>
      <w:r>
        <w:rPr>
          <w:rFonts w:hint="default" w:ascii="Times New Roman" w:hAnsi="Times New Roman" w:eastAsia="宋体" w:cs="宋体"/>
          <w:sz w:val="22"/>
          <w:szCs w:val="28"/>
          <w:highlight w:val="none"/>
        </w:rPr>
        <w:t>具为备用样品</w:t>
      </w:r>
      <w:bookmarkEnd w:id="0"/>
      <w:r>
        <w:rPr>
          <w:rFonts w:hint="default" w:ascii="Times New Roman" w:hAnsi="Times New Roman" w:eastAsia="宋体" w:cs="宋体"/>
          <w:sz w:val="22"/>
          <w:szCs w:val="28"/>
          <w:highlight w:val="none"/>
        </w:rPr>
        <w:t>；推车式灭火器抽取</w:t>
      </w:r>
      <w:r>
        <w:rPr>
          <w:rFonts w:hint="eastAsia" w:ascii="Times New Roman" w:hAnsi="Times New Roman" w:eastAsia="宋体" w:cs="宋体"/>
          <w:sz w:val="22"/>
          <w:szCs w:val="28"/>
          <w:highlight w:val="none"/>
          <w:lang w:val="en-US" w:eastAsia="zh-CN"/>
        </w:rPr>
        <w:t>6</w:t>
      </w:r>
      <w:r>
        <w:rPr>
          <w:rFonts w:hint="default" w:ascii="Times New Roman" w:hAnsi="Times New Roman" w:eastAsia="宋体" w:cs="宋体"/>
          <w:sz w:val="22"/>
          <w:szCs w:val="28"/>
          <w:highlight w:val="none"/>
        </w:rPr>
        <w:t>具，</w:t>
      </w:r>
      <w:r>
        <w:rPr>
          <w:rFonts w:hint="eastAsia" w:ascii="Times New Roman" w:hAnsi="Times New Roman" w:eastAsia="宋体" w:cs="宋体"/>
          <w:sz w:val="22"/>
          <w:szCs w:val="28"/>
          <w:highlight w:val="none"/>
          <w:lang w:val="en-US" w:eastAsia="zh-CN"/>
        </w:rPr>
        <w:t>3</w:t>
      </w:r>
      <w:r>
        <w:rPr>
          <w:rFonts w:hint="default" w:ascii="Times New Roman" w:hAnsi="Times New Roman" w:eastAsia="宋体" w:cs="宋体"/>
          <w:sz w:val="22"/>
          <w:szCs w:val="28"/>
          <w:highlight w:val="none"/>
        </w:rPr>
        <w:t>具为检验用样品，</w:t>
      </w:r>
      <w:r>
        <w:rPr>
          <w:rFonts w:hint="eastAsia" w:ascii="Times New Roman" w:hAnsi="Times New Roman" w:eastAsia="宋体" w:cs="宋体"/>
          <w:sz w:val="22"/>
          <w:szCs w:val="28"/>
          <w:highlight w:val="none"/>
        </w:rPr>
        <w:t>另</w:t>
      </w:r>
      <w:r>
        <w:rPr>
          <w:rFonts w:hint="eastAsia" w:ascii="Times New Roman" w:hAnsi="Times New Roman" w:eastAsia="宋体" w:cs="宋体"/>
          <w:sz w:val="22"/>
          <w:szCs w:val="28"/>
          <w:highlight w:val="none"/>
          <w:lang w:val="en-US" w:eastAsia="zh-CN"/>
        </w:rPr>
        <w:t>3</w:t>
      </w:r>
      <w:r>
        <w:rPr>
          <w:rFonts w:hint="default" w:ascii="Times New Roman" w:hAnsi="Times New Roman" w:eastAsia="宋体" w:cs="宋体"/>
          <w:sz w:val="22"/>
          <w:szCs w:val="28"/>
          <w:highlight w:val="none"/>
        </w:rPr>
        <w:t>具为备用样品；简易式灭火器抽取</w:t>
      </w:r>
      <w:r>
        <w:rPr>
          <w:rFonts w:hint="eastAsia" w:ascii="Times New Roman" w:hAnsi="Times New Roman" w:eastAsia="宋体" w:cs="宋体"/>
          <w:sz w:val="22"/>
          <w:szCs w:val="28"/>
          <w:highlight w:val="none"/>
          <w:lang w:val="en-US" w:eastAsia="zh-CN"/>
        </w:rPr>
        <w:t>6</w:t>
      </w:r>
      <w:r>
        <w:rPr>
          <w:rFonts w:hint="default" w:ascii="Times New Roman" w:hAnsi="Times New Roman" w:eastAsia="宋体" w:cs="宋体"/>
          <w:sz w:val="22"/>
          <w:szCs w:val="28"/>
          <w:highlight w:val="none"/>
        </w:rPr>
        <w:t>具，</w:t>
      </w:r>
      <w:r>
        <w:rPr>
          <w:rFonts w:hint="eastAsia" w:ascii="Times New Roman" w:hAnsi="Times New Roman" w:eastAsia="宋体" w:cs="宋体"/>
          <w:sz w:val="22"/>
          <w:szCs w:val="28"/>
          <w:highlight w:val="none"/>
          <w:lang w:val="en-US" w:eastAsia="zh-CN"/>
        </w:rPr>
        <w:t>3</w:t>
      </w:r>
      <w:r>
        <w:rPr>
          <w:rFonts w:hint="default" w:ascii="Times New Roman" w:hAnsi="Times New Roman" w:eastAsia="宋体" w:cs="宋体"/>
          <w:sz w:val="22"/>
          <w:szCs w:val="28"/>
          <w:highlight w:val="none"/>
        </w:rPr>
        <w:t>具为检验用样品，</w:t>
      </w:r>
      <w:r>
        <w:rPr>
          <w:rFonts w:hint="eastAsia" w:ascii="Times New Roman" w:hAnsi="Times New Roman" w:eastAsia="宋体" w:cs="宋体"/>
          <w:sz w:val="22"/>
          <w:szCs w:val="28"/>
          <w:highlight w:val="none"/>
        </w:rPr>
        <w:t>另</w:t>
      </w:r>
      <w:r>
        <w:rPr>
          <w:rFonts w:hint="eastAsia" w:ascii="Times New Roman" w:hAnsi="Times New Roman" w:eastAsia="宋体" w:cs="宋体"/>
          <w:sz w:val="22"/>
          <w:szCs w:val="28"/>
          <w:highlight w:val="none"/>
          <w:lang w:val="en-US" w:eastAsia="zh-CN"/>
        </w:rPr>
        <w:t>3</w:t>
      </w:r>
      <w:r>
        <w:rPr>
          <w:rFonts w:hint="default" w:ascii="Times New Roman" w:hAnsi="Times New Roman" w:eastAsia="宋体" w:cs="宋体"/>
          <w:sz w:val="22"/>
          <w:szCs w:val="28"/>
          <w:highlight w:val="none"/>
        </w:rPr>
        <w:t>具为备用样品。</w:t>
      </w:r>
      <w:bookmarkStart w:id="5" w:name="_GoBack"/>
      <w:bookmarkEnd w:id="5"/>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宋体"/>
          <w:sz w:val="22"/>
          <w:szCs w:val="28"/>
          <w:highlight w:val="none"/>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highlight w:val="none"/>
          <w:lang w:val="en-US"/>
        </w:rPr>
      </w:pPr>
      <w:r>
        <w:rPr>
          <w:rFonts w:hint="eastAsia" w:ascii="Times New Roman" w:hAnsi="Times New Roman" w:eastAsia="黑体" w:cs="黑体"/>
          <w:sz w:val="22"/>
          <w:szCs w:val="28"/>
          <w:highlight w:val="none"/>
          <w:lang w:val="en-US" w:eastAsia="zh-CN"/>
        </w:rPr>
        <w:t>2 检验依据</w:t>
      </w:r>
    </w:p>
    <w:p>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default" w:ascii="Times New Roman" w:hAnsi="Times New Roman" w:eastAsia="宋体" w:cs="宋体"/>
          <w:sz w:val="22"/>
          <w:szCs w:val="28"/>
          <w:highlight w:val="none"/>
          <w:lang w:val="en-US" w:eastAsia="zh-CN"/>
        </w:rPr>
      </w:pPr>
      <w:r>
        <w:rPr>
          <w:rFonts w:hint="eastAsia" w:ascii="Times New Roman" w:hAnsi="Times New Roman" w:eastAsia="宋体" w:cs="宋体"/>
          <w:sz w:val="22"/>
          <w:szCs w:val="28"/>
          <w:highlight w:val="none"/>
          <w:lang w:val="en-US" w:eastAsia="zh-CN"/>
        </w:rPr>
        <w:t xml:space="preserve">2.1 </w:t>
      </w:r>
      <w:r>
        <w:rPr>
          <w:rFonts w:hint="default" w:ascii="Times New Roman" w:hAnsi="Times New Roman" w:eastAsia="宋体" w:cs="宋体"/>
          <w:sz w:val="22"/>
          <w:szCs w:val="28"/>
          <w:highlight w:val="none"/>
        </w:rPr>
        <w:t>手提式灭火器</w:t>
      </w:r>
    </w:p>
    <w:tbl>
      <w:tblPr>
        <w:tblStyle w:val="6"/>
        <w:tblW w:w="87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96"/>
        <w:gridCol w:w="888"/>
        <w:gridCol w:w="1272"/>
        <w:gridCol w:w="2220"/>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序号</w:t>
            </w:r>
          </w:p>
        </w:tc>
        <w:tc>
          <w:tcPr>
            <w:tcW w:w="3456"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检验项目</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检验依据</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rPr>
            </w:pPr>
            <w:r>
              <w:rPr>
                <w:rFonts w:hint="eastAsia" w:ascii="Times New Roman" w:hAnsi="Times New Roman" w:eastAsia="宋体" w:cs="宋体"/>
                <w:sz w:val="22"/>
                <w:szCs w:val="28"/>
                <w:highlight w:val="none"/>
                <w:vertAlign w:val="baseline"/>
              </w:rPr>
              <w:t>检验</w:t>
            </w:r>
            <w:r>
              <w:rPr>
                <w:rFonts w:hint="eastAsia" w:ascii="Times New Roman" w:hAnsi="Times New Roman" w:eastAsia="宋体" w:cs="宋体"/>
                <w:sz w:val="22"/>
                <w:szCs w:val="28"/>
                <w:highlight w:val="none"/>
                <w:vertAlign w:val="baseline"/>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1</w:t>
            </w:r>
          </w:p>
        </w:tc>
        <w:tc>
          <w:tcPr>
            <w:tcW w:w="1296"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r>
              <w:rPr>
                <w:szCs w:val="21"/>
                <w:highlight w:val="none"/>
              </w:rPr>
              <w:t>20℃时喷射性能</w:t>
            </w:r>
          </w:p>
        </w:tc>
        <w:tc>
          <w:tcPr>
            <w:tcW w:w="2160" w:type="dxa"/>
            <w:gridSpan w:val="2"/>
            <w:vAlign w:val="center"/>
          </w:tcPr>
          <w:p>
            <w:pPr>
              <w:spacing w:line="300" w:lineRule="exact"/>
              <w:jc w:val="center"/>
              <w:rPr>
                <w:rFonts w:asciiTheme="minorHAnsi" w:hAnsiTheme="minorHAnsi" w:eastAsiaTheme="minorEastAsia" w:cstheme="minorBidi"/>
                <w:kern w:val="2"/>
                <w:sz w:val="21"/>
                <w:szCs w:val="21"/>
                <w:highlight w:val="none"/>
                <w:lang w:val="en-US" w:eastAsia="zh-CN" w:bidi="ar-SA"/>
              </w:rPr>
            </w:pPr>
            <w:r>
              <w:rPr>
                <w:szCs w:val="21"/>
                <w:highlight w:val="none"/>
              </w:rPr>
              <w:t>有效喷射时间</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highlight w:val="none"/>
                <w:vertAlign w:val="baseline"/>
                <w:lang w:val="en-US" w:eastAsia="zh-CN" w:bidi="ar-SA"/>
              </w:rPr>
            </w:pPr>
            <w:r>
              <w:rPr>
                <w:szCs w:val="21"/>
                <w:highlight w:val="none"/>
              </w:rPr>
              <w:t>GB 4351</w:t>
            </w:r>
            <w:r>
              <w:rPr>
                <w:color w:val="000000"/>
                <w:szCs w:val="21"/>
                <w:highlight w:val="none"/>
              </w:rPr>
              <w:t>—2023</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highlight w:val="none"/>
                <w:vertAlign w:val="baseline"/>
                <w:lang w:val="en-US" w:eastAsia="zh-CN" w:bidi="ar-SA"/>
              </w:rPr>
            </w:pPr>
            <w:r>
              <w:rPr>
                <w:szCs w:val="21"/>
                <w:highlight w:val="none"/>
              </w:rPr>
              <w:t>GB 4351</w:t>
            </w:r>
            <w:r>
              <w:rPr>
                <w:color w:val="000000"/>
                <w:szCs w:val="21"/>
                <w:highlight w:val="none"/>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p>
        </w:tc>
        <w:tc>
          <w:tcPr>
            <w:tcW w:w="129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p>
        </w:tc>
        <w:tc>
          <w:tcPr>
            <w:tcW w:w="2160" w:type="dxa"/>
            <w:gridSpan w:val="2"/>
            <w:vAlign w:val="center"/>
          </w:tcPr>
          <w:p>
            <w:pPr>
              <w:spacing w:line="300" w:lineRule="exact"/>
              <w:jc w:val="center"/>
              <w:rPr>
                <w:rFonts w:asciiTheme="minorHAnsi" w:hAnsiTheme="minorHAnsi" w:eastAsiaTheme="minorEastAsia" w:cstheme="minorBidi"/>
                <w:kern w:val="2"/>
                <w:sz w:val="21"/>
                <w:szCs w:val="21"/>
                <w:highlight w:val="none"/>
                <w:lang w:val="en-US" w:eastAsia="zh-CN" w:bidi="ar-SA"/>
              </w:rPr>
            </w:pPr>
            <w:r>
              <w:rPr>
                <w:szCs w:val="21"/>
                <w:highlight w:val="none"/>
              </w:rPr>
              <w:t>喷射滞后时间</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highlight w:val="none"/>
                <w:vertAlign w:val="baseline"/>
                <w:lang w:val="en-US" w:eastAsia="zh-CN" w:bidi="ar-SA"/>
              </w:rPr>
            </w:pPr>
            <w:r>
              <w:rPr>
                <w:szCs w:val="21"/>
                <w:highlight w:val="none"/>
              </w:rPr>
              <w:t>GB 4351</w:t>
            </w:r>
            <w:r>
              <w:rPr>
                <w:color w:val="000000"/>
                <w:szCs w:val="21"/>
                <w:highlight w:val="none"/>
              </w:rPr>
              <w:t>—2023</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highlight w:val="none"/>
                <w:vertAlign w:val="baseline"/>
                <w:lang w:val="en-US" w:eastAsia="zh-CN" w:bidi="ar-SA"/>
              </w:rPr>
            </w:pPr>
            <w:r>
              <w:rPr>
                <w:szCs w:val="21"/>
                <w:highlight w:val="none"/>
              </w:rPr>
              <w:t>GB 4351</w:t>
            </w:r>
            <w:r>
              <w:rPr>
                <w:color w:val="000000"/>
                <w:szCs w:val="21"/>
                <w:highlight w:val="none"/>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p>
        </w:tc>
        <w:tc>
          <w:tcPr>
            <w:tcW w:w="129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p>
        </w:tc>
        <w:tc>
          <w:tcPr>
            <w:tcW w:w="2160" w:type="dxa"/>
            <w:gridSpan w:val="2"/>
            <w:vAlign w:val="center"/>
          </w:tcPr>
          <w:p>
            <w:pPr>
              <w:spacing w:line="300" w:lineRule="exact"/>
              <w:jc w:val="center"/>
              <w:rPr>
                <w:rFonts w:asciiTheme="minorHAnsi" w:hAnsiTheme="minorHAnsi" w:eastAsiaTheme="minorEastAsia" w:cstheme="minorBidi"/>
                <w:kern w:val="2"/>
                <w:sz w:val="21"/>
                <w:szCs w:val="21"/>
                <w:highlight w:val="none"/>
                <w:lang w:val="en-US" w:eastAsia="zh-CN" w:bidi="ar-SA"/>
              </w:rPr>
            </w:pPr>
            <w:r>
              <w:rPr>
                <w:szCs w:val="21"/>
                <w:highlight w:val="none"/>
              </w:rPr>
              <w:t>喷射剩余率</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highlight w:val="none"/>
                <w:vertAlign w:val="baseline"/>
                <w:lang w:val="en-US" w:eastAsia="zh-CN" w:bidi="ar-SA"/>
              </w:rPr>
            </w:pPr>
            <w:r>
              <w:rPr>
                <w:szCs w:val="21"/>
                <w:highlight w:val="none"/>
              </w:rPr>
              <w:t>GB 4351</w:t>
            </w:r>
            <w:r>
              <w:rPr>
                <w:color w:val="000000"/>
                <w:szCs w:val="21"/>
                <w:highlight w:val="none"/>
              </w:rPr>
              <w:t>—2023</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highlight w:val="none"/>
                <w:vertAlign w:val="baseline"/>
                <w:lang w:val="en-US" w:eastAsia="zh-CN" w:bidi="ar-SA"/>
              </w:rPr>
            </w:pPr>
            <w:r>
              <w:rPr>
                <w:szCs w:val="21"/>
                <w:highlight w:val="none"/>
              </w:rPr>
              <w:t>GB 4351</w:t>
            </w:r>
            <w:r>
              <w:rPr>
                <w:color w:val="000000"/>
                <w:szCs w:val="21"/>
                <w:highlight w:val="none"/>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p>
        </w:tc>
        <w:tc>
          <w:tcPr>
            <w:tcW w:w="129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p>
        </w:tc>
        <w:tc>
          <w:tcPr>
            <w:tcW w:w="2160" w:type="dxa"/>
            <w:gridSpan w:val="2"/>
            <w:vAlign w:val="center"/>
          </w:tcPr>
          <w:p>
            <w:pPr>
              <w:spacing w:line="300" w:lineRule="exact"/>
              <w:jc w:val="center"/>
              <w:rPr>
                <w:rFonts w:asciiTheme="minorHAnsi" w:hAnsiTheme="minorHAnsi" w:eastAsiaTheme="minorEastAsia" w:cstheme="minorBidi"/>
                <w:kern w:val="2"/>
                <w:sz w:val="21"/>
                <w:szCs w:val="21"/>
                <w:highlight w:val="none"/>
                <w:lang w:val="en-US" w:eastAsia="zh-CN" w:bidi="ar-SA"/>
              </w:rPr>
            </w:pPr>
            <w:r>
              <w:rPr>
                <w:szCs w:val="21"/>
                <w:highlight w:val="none"/>
              </w:rPr>
              <w:t>喷射距离</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highlight w:val="none"/>
                <w:vertAlign w:val="baseline"/>
                <w:lang w:val="en-US" w:eastAsia="zh-CN" w:bidi="ar-SA"/>
              </w:rPr>
            </w:pPr>
            <w:r>
              <w:rPr>
                <w:szCs w:val="21"/>
                <w:highlight w:val="none"/>
              </w:rPr>
              <w:t>GB 4351</w:t>
            </w:r>
            <w:r>
              <w:rPr>
                <w:color w:val="000000"/>
                <w:szCs w:val="21"/>
                <w:highlight w:val="none"/>
              </w:rPr>
              <w:t>—2023</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highlight w:val="none"/>
                <w:vertAlign w:val="baseline"/>
                <w:lang w:val="en-US" w:eastAsia="zh-CN" w:bidi="ar-SA"/>
              </w:rPr>
            </w:pPr>
            <w:r>
              <w:rPr>
                <w:szCs w:val="21"/>
                <w:highlight w:val="none"/>
              </w:rPr>
              <w:t>GB 4351</w:t>
            </w:r>
            <w:r>
              <w:rPr>
                <w:color w:val="000000"/>
                <w:szCs w:val="21"/>
                <w:highlight w:val="none"/>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2</w:t>
            </w:r>
          </w:p>
        </w:tc>
        <w:tc>
          <w:tcPr>
            <w:tcW w:w="1296"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cs="宋体" w:eastAsiaTheme="minorEastAsia"/>
                <w:sz w:val="22"/>
                <w:szCs w:val="28"/>
                <w:highlight w:val="none"/>
                <w:vertAlign w:val="baseline"/>
                <w:lang w:eastAsia="zh-CN"/>
              </w:rPr>
            </w:pPr>
            <w:r>
              <w:rPr>
                <w:szCs w:val="21"/>
                <w:highlight w:val="none"/>
              </w:rPr>
              <w:t>充装要求</w:t>
            </w:r>
          </w:p>
        </w:tc>
        <w:tc>
          <w:tcPr>
            <w:tcW w:w="2160" w:type="dxa"/>
            <w:gridSpan w:val="2"/>
            <w:vAlign w:val="center"/>
          </w:tcPr>
          <w:p>
            <w:pPr>
              <w:spacing w:line="300" w:lineRule="exact"/>
              <w:jc w:val="center"/>
              <w:rPr>
                <w:rFonts w:asciiTheme="minorHAnsi" w:hAnsiTheme="minorHAnsi" w:eastAsiaTheme="minorEastAsia" w:cstheme="minorBidi"/>
                <w:kern w:val="2"/>
                <w:sz w:val="21"/>
                <w:szCs w:val="21"/>
                <w:highlight w:val="none"/>
                <w:lang w:val="en-US" w:eastAsia="zh-CN" w:bidi="ar-SA"/>
              </w:rPr>
            </w:pPr>
            <w:r>
              <w:rPr>
                <w:szCs w:val="21"/>
                <w:highlight w:val="none"/>
              </w:rPr>
              <w:t>充装量</w:t>
            </w:r>
          </w:p>
        </w:tc>
        <w:tc>
          <w:tcPr>
            <w:tcW w:w="22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highlight w:val="none"/>
                <w:vertAlign w:val="baseline"/>
                <w:lang w:val="en-US" w:eastAsia="zh-CN" w:bidi="ar-SA"/>
              </w:rPr>
            </w:pPr>
            <w:r>
              <w:rPr>
                <w:szCs w:val="21"/>
                <w:highlight w:val="none"/>
              </w:rPr>
              <w:t>GB 4351</w:t>
            </w:r>
            <w:r>
              <w:rPr>
                <w:color w:val="000000"/>
                <w:szCs w:val="21"/>
                <w:highlight w:val="none"/>
              </w:rPr>
              <w:t>—2023</w:t>
            </w:r>
          </w:p>
        </w:tc>
        <w:tc>
          <w:tcPr>
            <w:tcW w:w="237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highlight w:val="none"/>
                <w:vertAlign w:val="baseline"/>
                <w:lang w:val="en-US" w:eastAsia="zh-CN" w:bidi="ar-SA"/>
              </w:rPr>
            </w:pPr>
            <w:r>
              <w:rPr>
                <w:szCs w:val="21"/>
                <w:highlight w:val="none"/>
              </w:rPr>
              <w:t>GB 4351</w:t>
            </w:r>
            <w:r>
              <w:rPr>
                <w:color w:val="000000"/>
                <w:szCs w:val="21"/>
                <w:highlight w:val="none"/>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p>
        </w:tc>
        <w:tc>
          <w:tcPr>
            <w:tcW w:w="129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p>
        </w:tc>
        <w:tc>
          <w:tcPr>
            <w:tcW w:w="2160" w:type="dxa"/>
            <w:gridSpan w:val="2"/>
            <w:vAlign w:val="center"/>
          </w:tcPr>
          <w:p>
            <w:pPr>
              <w:spacing w:line="300" w:lineRule="exact"/>
              <w:jc w:val="center"/>
              <w:rPr>
                <w:rFonts w:asciiTheme="minorHAnsi" w:hAnsiTheme="minorHAnsi" w:eastAsiaTheme="minorEastAsia" w:cstheme="minorBidi"/>
                <w:kern w:val="2"/>
                <w:sz w:val="21"/>
                <w:szCs w:val="21"/>
                <w:highlight w:val="none"/>
                <w:lang w:val="en-US" w:eastAsia="zh-CN" w:bidi="ar-SA"/>
              </w:rPr>
            </w:pPr>
            <w:r>
              <w:rPr>
                <w:szCs w:val="21"/>
                <w:highlight w:val="none"/>
              </w:rPr>
              <w:t>充装误差</w:t>
            </w:r>
          </w:p>
        </w:tc>
        <w:tc>
          <w:tcPr>
            <w:tcW w:w="22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highlight w:val="none"/>
                <w:vertAlign w:val="baseline"/>
                <w:lang w:val="en-US" w:eastAsia="zh-CN" w:bidi="ar-SA"/>
              </w:rPr>
            </w:pPr>
            <w:r>
              <w:rPr>
                <w:szCs w:val="21"/>
                <w:highlight w:val="none"/>
              </w:rPr>
              <w:t>GB 4351</w:t>
            </w:r>
            <w:r>
              <w:rPr>
                <w:color w:val="000000"/>
                <w:szCs w:val="21"/>
                <w:highlight w:val="none"/>
              </w:rPr>
              <w:t>—2023</w:t>
            </w:r>
          </w:p>
        </w:tc>
        <w:tc>
          <w:tcPr>
            <w:tcW w:w="237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highlight w:val="none"/>
                <w:vertAlign w:val="baseline"/>
                <w:lang w:val="en-US" w:eastAsia="zh-CN" w:bidi="ar-SA"/>
              </w:rPr>
            </w:pPr>
            <w:r>
              <w:rPr>
                <w:szCs w:val="21"/>
                <w:highlight w:val="none"/>
              </w:rPr>
              <w:t>GB 4351</w:t>
            </w:r>
            <w:r>
              <w:rPr>
                <w:color w:val="000000"/>
                <w:szCs w:val="21"/>
                <w:highlight w:val="none"/>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3</w:t>
            </w:r>
          </w:p>
        </w:tc>
        <w:tc>
          <w:tcPr>
            <w:tcW w:w="1296"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szCs w:val="21"/>
                <w:highlight w:val="none"/>
              </w:rPr>
              <w:t>瓶体</w:t>
            </w:r>
          </w:p>
        </w:tc>
        <w:tc>
          <w:tcPr>
            <w:tcW w:w="216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r>
              <w:rPr>
                <w:szCs w:val="21"/>
                <w:highlight w:val="none"/>
              </w:rPr>
              <w:t>爆破性能</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rPr>
            </w:pPr>
            <w:r>
              <w:rPr>
                <w:szCs w:val="21"/>
                <w:highlight w:val="none"/>
              </w:rPr>
              <w:t>GB 4351</w:t>
            </w:r>
            <w:r>
              <w:rPr>
                <w:color w:val="000000"/>
                <w:szCs w:val="21"/>
                <w:highlight w:val="none"/>
              </w:rPr>
              <w:t>—2023</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highlight w:val="none"/>
                <w:vertAlign w:val="baseline"/>
                <w:lang w:val="en-US" w:eastAsia="zh-CN" w:bidi="ar-SA"/>
              </w:rPr>
            </w:pPr>
            <w:r>
              <w:rPr>
                <w:szCs w:val="21"/>
                <w:highlight w:val="none"/>
              </w:rPr>
              <w:t>GB 4351</w:t>
            </w:r>
            <w:r>
              <w:rPr>
                <w:color w:val="000000"/>
                <w:szCs w:val="21"/>
                <w:highlight w:val="none"/>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4</w:t>
            </w:r>
          </w:p>
        </w:tc>
        <w:tc>
          <w:tcPr>
            <w:tcW w:w="1296"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szCs w:val="21"/>
                <w:highlight w:val="none"/>
              </w:rPr>
              <w:t>灭火剂</w:t>
            </w:r>
          </w:p>
        </w:tc>
        <w:tc>
          <w:tcPr>
            <w:tcW w:w="88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r>
              <w:rPr>
                <w:szCs w:val="21"/>
                <w:highlight w:val="none"/>
              </w:rPr>
              <w:t>干粉灭火剂</w:t>
            </w:r>
          </w:p>
        </w:tc>
        <w:tc>
          <w:tcPr>
            <w:tcW w:w="127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r>
              <w:rPr>
                <w:szCs w:val="21"/>
                <w:highlight w:val="none"/>
              </w:rPr>
              <w:t>第一主要组分含量</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color w:val="000000"/>
                <w:szCs w:val="21"/>
                <w:highlight w:val="none"/>
                <w:lang w:eastAsia="zh-CN"/>
              </w:rPr>
            </w:pPr>
            <w:r>
              <w:rPr>
                <w:szCs w:val="21"/>
                <w:highlight w:val="none"/>
              </w:rPr>
              <w:t>GB 4351</w:t>
            </w:r>
            <w:r>
              <w:rPr>
                <w:color w:val="000000"/>
                <w:szCs w:val="21"/>
                <w:highlight w:val="none"/>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2"/>
                <w:szCs w:val="28"/>
                <w:highlight w:val="none"/>
                <w:vertAlign w:val="baseline"/>
                <w:lang w:val="en-US" w:eastAsia="zh-CN" w:bidi="ar-SA"/>
              </w:rPr>
            </w:pPr>
            <w:r>
              <w:rPr>
                <w:szCs w:val="21"/>
                <w:highlight w:val="none"/>
              </w:rPr>
              <w:t>GB 4066</w:t>
            </w:r>
            <w:r>
              <w:rPr>
                <w:color w:val="000000"/>
                <w:szCs w:val="21"/>
                <w:highlight w:val="none"/>
              </w:rPr>
              <w:t>—2017</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color w:val="000000"/>
                <w:szCs w:val="21"/>
                <w:highlight w:val="none"/>
                <w:lang w:eastAsia="zh-CN"/>
              </w:rPr>
            </w:pPr>
            <w:r>
              <w:rPr>
                <w:szCs w:val="21"/>
                <w:highlight w:val="none"/>
              </w:rPr>
              <w:t>GB 4351</w:t>
            </w:r>
            <w:r>
              <w:rPr>
                <w:color w:val="000000"/>
                <w:szCs w:val="21"/>
                <w:highlight w:val="none"/>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szCs w:val="21"/>
                <w:highlight w:val="none"/>
              </w:rPr>
              <w:t>GB 4066</w:t>
            </w:r>
            <w:r>
              <w:rPr>
                <w:color w:val="000000"/>
                <w:szCs w:val="21"/>
                <w:highlight w:val="none"/>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p>
        </w:tc>
        <w:tc>
          <w:tcPr>
            <w:tcW w:w="129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p>
        </w:tc>
        <w:tc>
          <w:tcPr>
            <w:tcW w:w="888"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r>
              <w:rPr>
                <w:rFonts w:hint="eastAsia" w:ascii="宋体" w:hAnsi="宋体" w:cs="宋体"/>
                <w:color w:val="000000"/>
                <w:kern w:val="0"/>
                <w:highlight w:val="none"/>
              </w:rPr>
              <w:t>水系灭火剂</w:t>
            </w:r>
          </w:p>
        </w:tc>
        <w:tc>
          <w:tcPr>
            <w:tcW w:w="127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r>
              <w:rPr>
                <w:rFonts w:hint="eastAsia"/>
                <w:szCs w:val="21"/>
                <w:highlight w:val="none"/>
              </w:rPr>
              <w:t>凝固点</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color w:val="000000"/>
                <w:szCs w:val="21"/>
                <w:highlight w:val="none"/>
                <w:lang w:eastAsia="zh-CN"/>
              </w:rPr>
            </w:pPr>
            <w:r>
              <w:rPr>
                <w:szCs w:val="21"/>
                <w:highlight w:val="none"/>
              </w:rPr>
              <w:t>GB 4351</w:t>
            </w:r>
            <w:r>
              <w:rPr>
                <w:color w:val="000000"/>
                <w:szCs w:val="21"/>
                <w:highlight w:val="none"/>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heme="minorHAnsi" w:hAnsiTheme="minorHAnsi" w:eastAsiaTheme="minorEastAsia" w:cstheme="minorBidi"/>
                <w:kern w:val="2"/>
                <w:sz w:val="21"/>
                <w:szCs w:val="21"/>
                <w:highlight w:val="none"/>
                <w:lang w:val="en-US" w:eastAsia="zh-CN" w:bidi="ar-SA"/>
              </w:rPr>
            </w:pPr>
            <w:r>
              <w:rPr>
                <w:rFonts w:ascii="Times New Roman" w:hAnsi="Times New Roman" w:eastAsia="仿宋_GB2312" w:cs="Times New Roman"/>
                <w:color w:val="000000"/>
                <w:kern w:val="0"/>
                <w:highlight w:val="none"/>
              </w:rPr>
              <w:t>GB 17835</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2024</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color w:val="000000"/>
                <w:szCs w:val="21"/>
                <w:highlight w:val="none"/>
                <w:lang w:eastAsia="zh-CN"/>
              </w:rPr>
            </w:pPr>
            <w:r>
              <w:rPr>
                <w:szCs w:val="21"/>
                <w:highlight w:val="none"/>
              </w:rPr>
              <w:t>GB 4351</w:t>
            </w:r>
            <w:r>
              <w:rPr>
                <w:color w:val="000000"/>
                <w:szCs w:val="21"/>
                <w:highlight w:val="none"/>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heme="minorHAnsi" w:hAnsiTheme="minorHAnsi" w:eastAsiaTheme="minorEastAsia" w:cstheme="minorBidi"/>
                <w:kern w:val="2"/>
                <w:sz w:val="21"/>
                <w:szCs w:val="21"/>
                <w:highlight w:val="none"/>
                <w:lang w:val="en-US" w:eastAsia="zh-CN" w:bidi="ar-SA"/>
              </w:rPr>
            </w:pPr>
            <w:r>
              <w:rPr>
                <w:rFonts w:ascii="Times New Roman" w:hAnsi="Times New Roman" w:eastAsia="仿宋_GB2312" w:cs="Times New Roman"/>
                <w:color w:val="000000"/>
                <w:kern w:val="0"/>
                <w:highlight w:val="none"/>
              </w:rPr>
              <w:t>GB 17835</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p>
        </w:tc>
        <w:tc>
          <w:tcPr>
            <w:tcW w:w="129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p>
        </w:tc>
        <w:tc>
          <w:tcPr>
            <w:tcW w:w="888"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p>
        </w:tc>
        <w:tc>
          <w:tcPr>
            <w:tcW w:w="127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r>
              <w:rPr>
                <w:rFonts w:hint="eastAsia"/>
                <w:szCs w:val="21"/>
                <w:highlight w:val="none"/>
              </w:rPr>
              <w:t>pH值</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color w:val="000000"/>
                <w:szCs w:val="21"/>
                <w:highlight w:val="none"/>
                <w:lang w:eastAsia="zh-CN"/>
              </w:rPr>
            </w:pPr>
            <w:r>
              <w:rPr>
                <w:szCs w:val="21"/>
                <w:highlight w:val="none"/>
              </w:rPr>
              <w:t>GB 4351</w:t>
            </w:r>
            <w:r>
              <w:rPr>
                <w:color w:val="000000"/>
                <w:szCs w:val="21"/>
                <w:highlight w:val="none"/>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Theme="minorHAnsi" w:hAnsiTheme="minorHAnsi" w:eastAsiaTheme="minorEastAsia" w:cstheme="minorBidi"/>
                <w:kern w:val="2"/>
                <w:sz w:val="21"/>
                <w:szCs w:val="21"/>
                <w:highlight w:val="none"/>
                <w:lang w:val="en-US" w:eastAsia="zh-CN" w:bidi="ar-SA"/>
              </w:rPr>
            </w:pPr>
            <w:r>
              <w:rPr>
                <w:rFonts w:ascii="Times New Roman" w:hAnsi="Times New Roman" w:eastAsia="仿宋_GB2312" w:cs="Times New Roman"/>
                <w:color w:val="000000"/>
                <w:kern w:val="0"/>
                <w:highlight w:val="none"/>
              </w:rPr>
              <w:t>GB 17835</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2024</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color w:val="000000"/>
                <w:szCs w:val="21"/>
                <w:highlight w:val="none"/>
                <w:lang w:eastAsia="zh-CN"/>
              </w:rPr>
            </w:pPr>
            <w:r>
              <w:rPr>
                <w:szCs w:val="21"/>
                <w:highlight w:val="none"/>
              </w:rPr>
              <w:t>GB 4351</w:t>
            </w:r>
            <w:r>
              <w:rPr>
                <w:color w:val="000000"/>
                <w:szCs w:val="21"/>
                <w:highlight w:val="none"/>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Theme="minorHAnsi" w:hAnsiTheme="minorHAnsi" w:eastAsiaTheme="minorEastAsia" w:cstheme="minorBidi"/>
                <w:kern w:val="2"/>
                <w:sz w:val="21"/>
                <w:szCs w:val="21"/>
                <w:highlight w:val="none"/>
                <w:lang w:val="en-US" w:eastAsia="zh-CN" w:bidi="ar-SA"/>
              </w:rPr>
            </w:pPr>
            <w:r>
              <w:rPr>
                <w:rFonts w:ascii="Times New Roman" w:hAnsi="Times New Roman" w:eastAsia="仿宋_GB2312" w:cs="Times New Roman"/>
                <w:color w:val="000000"/>
                <w:kern w:val="0"/>
                <w:highlight w:val="none"/>
              </w:rPr>
              <w:t>GB 17835</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2024</w:t>
            </w:r>
          </w:p>
        </w:tc>
      </w:tr>
    </w:tbl>
    <w:p>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Times New Roman" w:hAnsi="Times New Roman" w:eastAsia="宋体" w:cs="宋体"/>
          <w:sz w:val="22"/>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Times New Roman" w:hAnsi="Times New Roman" w:eastAsia="宋体" w:cs="宋体"/>
          <w:sz w:val="22"/>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lang w:val="en-US" w:eastAsia="zh-CN"/>
        </w:rPr>
        <w:t xml:space="preserve">2.2 </w:t>
      </w:r>
      <w:r>
        <w:rPr>
          <w:rFonts w:hint="default" w:ascii="Times New Roman" w:hAnsi="Times New Roman" w:eastAsia="宋体" w:cs="宋体"/>
          <w:sz w:val="22"/>
          <w:szCs w:val="28"/>
          <w:highlight w:val="none"/>
        </w:rPr>
        <w:t>推车式灭火器</w:t>
      </w:r>
    </w:p>
    <w:tbl>
      <w:tblPr>
        <w:tblStyle w:val="6"/>
        <w:tblW w:w="87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96"/>
        <w:gridCol w:w="17"/>
        <w:gridCol w:w="871"/>
        <w:gridCol w:w="1272"/>
        <w:gridCol w:w="2220"/>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序号</w:t>
            </w:r>
          </w:p>
        </w:tc>
        <w:tc>
          <w:tcPr>
            <w:tcW w:w="3456"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检验项目</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检验依据</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rPr>
            </w:pPr>
            <w:r>
              <w:rPr>
                <w:rFonts w:hint="eastAsia" w:ascii="Times New Roman" w:hAnsi="Times New Roman" w:eastAsia="宋体" w:cs="宋体"/>
                <w:sz w:val="22"/>
                <w:szCs w:val="28"/>
                <w:highlight w:val="none"/>
                <w:vertAlign w:val="baseline"/>
              </w:rPr>
              <w:t>检验</w:t>
            </w:r>
            <w:r>
              <w:rPr>
                <w:rFonts w:hint="eastAsia" w:ascii="Times New Roman" w:hAnsi="Times New Roman" w:eastAsia="宋体" w:cs="宋体"/>
                <w:sz w:val="22"/>
                <w:szCs w:val="28"/>
                <w:highlight w:val="none"/>
                <w:vertAlign w:val="baseline"/>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bookmarkStart w:id="1" w:name="OLE_LINK1" w:colFirst="3" w:colLast="4"/>
            <w:r>
              <w:rPr>
                <w:rFonts w:hint="eastAsia" w:ascii="Times New Roman" w:hAnsi="Times New Roman" w:eastAsia="宋体" w:cs="宋体"/>
                <w:sz w:val="22"/>
                <w:szCs w:val="28"/>
                <w:highlight w:val="none"/>
                <w:vertAlign w:val="baseline"/>
                <w:lang w:val="en-US" w:eastAsia="zh-CN"/>
              </w:rPr>
              <w:t>1</w:t>
            </w:r>
          </w:p>
        </w:tc>
        <w:tc>
          <w:tcPr>
            <w:tcW w:w="1313" w:type="dxa"/>
            <w:gridSpan w:val="2"/>
            <w:vMerge w:val="restart"/>
            <w:vAlign w:val="center"/>
          </w:tcPr>
          <w:p>
            <w:pPr>
              <w:widowControl/>
              <w:spacing w:before="100" w:beforeAutospacing="1" w:after="100" w:afterAutospacing="1"/>
              <w:jc w:val="center"/>
              <w:rPr>
                <w:rFonts w:hint="eastAsia" w:ascii="宋体" w:hAnsi="宋体" w:cs="宋体" w:eastAsiaTheme="minorEastAsia"/>
                <w:color w:val="000000"/>
                <w:kern w:val="0"/>
                <w:sz w:val="21"/>
                <w:szCs w:val="24"/>
                <w:highlight w:val="none"/>
                <w:lang w:val="en-US" w:eastAsia="zh-CN" w:bidi="ar-SA"/>
              </w:rPr>
            </w:pPr>
            <w:r>
              <w:rPr>
                <w:rFonts w:hint="eastAsia" w:ascii="宋体" w:hAnsi="宋体" w:cs="宋体"/>
                <w:color w:val="000000"/>
                <w:kern w:val="0"/>
                <w:highlight w:val="none"/>
              </w:rPr>
              <w:t>充装</w:t>
            </w:r>
            <w:r>
              <w:rPr>
                <w:rFonts w:hint="eastAsia" w:ascii="宋体" w:hAnsi="宋体" w:cs="宋体"/>
                <w:color w:val="000000"/>
                <w:kern w:val="0"/>
                <w:highlight w:val="none"/>
                <w:lang w:val="en-US" w:eastAsia="zh-CN"/>
              </w:rPr>
              <w:t>要求</w:t>
            </w:r>
          </w:p>
        </w:tc>
        <w:tc>
          <w:tcPr>
            <w:tcW w:w="2143" w:type="dxa"/>
            <w:gridSpan w:val="2"/>
            <w:vAlign w:val="center"/>
          </w:tcPr>
          <w:p>
            <w:pPr>
              <w:spacing w:line="300" w:lineRule="exact"/>
              <w:jc w:val="center"/>
              <w:rPr>
                <w:rFonts w:hint="eastAsia" w:asciiTheme="minorHAnsi" w:hAnsiTheme="minorHAnsi" w:eastAsiaTheme="minorEastAsia" w:cstheme="minorBidi"/>
                <w:kern w:val="2"/>
                <w:sz w:val="21"/>
                <w:szCs w:val="21"/>
                <w:highlight w:val="none"/>
                <w:lang w:val="en-US" w:eastAsia="zh-CN" w:bidi="ar-SA"/>
              </w:rPr>
            </w:pPr>
            <w:r>
              <w:rPr>
                <w:szCs w:val="21"/>
                <w:highlight w:val="none"/>
              </w:rPr>
              <w:t>充装量</w:t>
            </w:r>
          </w:p>
        </w:tc>
        <w:tc>
          <w:tcPr>
            <w:tcW w:w="2220" w:type="dxa"/>
            <w:vAlign w:val="center"/>
          </w:tcPr>
          <w:p>
            <w:pPr>
              <w:widowControl/>
              <w:spacing w:before="100" w:beforeAutospacing="1" w:after="100" w:afterAutospacing="1"/>
              <w:jc w:val="center"/>
              <w:rPr>
                <w:rFonts w:hint="eastAsia" w:ascii="宋体" w:hAnsi="宋体" w:cs="宋体" w:eastAsiaTheme="minorEastAsia"/>
                <w:color w:val="000000"/>
                <w:kern w:val="0"/>
                <w:sz w:val="21"/>
                <w:szCs w:val="24"/>
                <w:highlight w:val="none"/>
                <w:lang w:val="en-US" w:eastAsia="zh-CN" w:bidi="ar-SA"/>
              </w:rPr>
            </w:pPr>
            <w:r>
              <w:rPr>
                <w:rFonts w:ascii="Times New Roman" w:hAnsi="Times New Roman" w:eastAsia="仿宋_GB2312" w:cs="Times New Roman"/>
                <w:color w:val="000000"/>
                <w:kern w:val="0"/>
                <w:highlight w:val="none"/>
              </w:rPr>
              <w:t>GB 8109</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2023</w:t>
            </w:r>
          </w:p>
        </w:tc>
        <w:tc>
          <w:tcPr>
            <w:tcW w:w="2375" w:type="dxa"/>
            <w:vAlign w:val="center"/>
          </w:tcPr>
          <w:p>
            <w:pPr>
              <w:widowControl/>
              <w:spacing w:before="100" w:beforeAutospacing="1" w:after="100" w:afterAutospacing="1"/>
              <w:jc w:val="center"/>
              <w:rPr>
                <w:rFonts w:hint="eastAsia" w:ascii="Times New Roman" w:hAnsi="Times New Roman" w:eastAsia="仿宋_GB2312" w:cs="Times New Roman"/>
                <w:color w:val="000000"/>
                <w:kern w:val="0"/>
                <w:sz w:val="21"/>
                <w:szCs w:val="24"/>
                <w:highlight w:val="none"/>
                <w:lang w:val="en-US" w:eastAsia="zh-CN" w:bidi="ar-SA"/>
              </w:rPr>
            </w:pPr>
            <w:r>
              <w:rPr>
                <w:rFonts w:ascii="Times New Roman" w:hAnsi="Times New Roman" w:eastAsia="仿宋_GB2312" w:cs="Times New Roman"/>
                <w:color w:val="000000"/>
                <w:kern w:val="0"/>
                <w:highlight w:val="none"/>
              </w:rPr>
              <w:t>GB 8109</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2023</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bookmarkStart w:id="2" w:name="OLE_LINK3" w:colFirst="3" w:colLast="4"/>
          </w:p>
        </w:tc>
        <w:tc>
          <w:tcPr>
            <w:tcW w:w="1313" w:type="dxa"/>
            <w:gridSpan w:val="2"/>
            <w:vMerge w:val="continue"/>
            <w:vAlign w:val="center"/>
          </w:tcPr>
          <w:p>
            <w:pPr>
              <w:widowControl/>
              <w:spacing w:before="100" w:beforeAutospacing="1" w:after="100" w:afterAutospacing="1"/>
              <w:jc w:val="center"/>
              <w:rPr>
                <w:rFonts w:hint="eastAsia" w:ascii="宋体" w:hAnsi="宋体" w:cs="宋体"/>
                <w:color w:val="000000"/>
                <w:kern w:val="0"/>
                <w:highlight w:val="none"/>
              </w:rPr>
            </w:pPr>
          </w:p>
        </w:tc>
        <w:tc>
          <w:tcPr>
            <w:tcW w:w="2143" w:type="dxa"/>
            <w:gridSpan w:val="2"/>
            <w:vAlign w:val="center"/>
          </w:tcPr>
          <w:p>
            <w:pPr>
              <w:spacing w:line="300" w:lineRule="exact"/>
              <w:jc w:val="center"/>
              <w:rPr>
                <w:rFonts w:hint="eastAsia" w:asciiTheme="minorHAnsi" w:hAnsiTheme="minorHAnsi" w:eastAsiaTheme="minorEastAsia" w:cstheme="minorBidi"/>
                <w:kern w:val="2"/>
                <w:sz w:val="21"/>
                <w:szCs w:val="21"/>
                <w:highlight w:val="none"/>
                <w:lang w:val="en-US" w:eastAsia="zh-CN" w:bidi="ar-SA"/>
              </w:rPr>
            </w:pPr>
            <w:r>
              <w:rPr>
                <w:szCs w:val="21"/>
                <w:highlight w:val="none"/>
              </w:rPr>
              <w:t>充装误差</w:t>
            </w:r>
          </w:p>
        </w:tc>
        <w:tc>
          <w:tcPr>
            <w:tcW w:w="2220" w:type="dxa"/>
            <w:vAlign w:val="center"/>
          </w:tcPr>
          <w:p>
            <w:pPr>
              <w:widowControl/>
              <w:spacing w:before="100" w:beforeAutospacing="1" w:after="100" w:afterAutospacing="1"/>
              <w:jc w:val="center"/>
              <w:rPr>
                <w:rFonts w:hint="eastAsia" w:ascii="宋体" w:hAnsi="宋体" w:cs="宋体" w:eastAsiaTheme="minorEastAsia"/>
                <w:color w:val="000000"/>
                <w:kern w:val="0"/>
                <w:sz w:val="21"/>
                <w:szCs w:val="24"/>
                <w:highlight w:val="none"/>
                <w:lang w:val="en-US" w:eastAsia="zh-CN" w:bidi="ar-SA"/>
              </w:rPr>
            </w:pPr>
            <w:r>
              <w:rPr>
                <w:rFonts w:ascii="Times New Roman" w:hAnsi="Times New Roman" w:eastAsia="仿宋_GB2312" w:cs="Times New Roman"/>
                <w:color w:val="000000"/>
                <w:kern w:val="0"/>
                <w:highlight w:val="none"/>
              </w:rPr>
              <w:t>GB 8109</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2023</w:t>
            </w:r>
          </w:p>
        </w:tc>
        <w:tc>
          <w:tcPr>
            <w:tcW w:w="2375" w:type="dxa"/>
            <w:vAlign w:val="center"/>
          </w:tcPr>
          <w:p>
            <w:pPr>
              <w:widowControl/>
              <w:spacing w:before="100" w:beforeAutospacing="1" w:after="100" w:afterAutospacing="1"/>
              <w:jc w:val="center"/>
              <w:rPr>
                <w:rFonts w:hint="eastAsia" w:ascii="Times New Roman" w:hAnsi="Times New Roman" w:eastAsia="仿宋_GB2312" w:cs="Times New Roman"/>
                <w:color w:val="000000"/>
                <w:kern w:val="0"/>
                <w:sz w:val="21"/>
                <w:szCs w:val="24"/>
                <w:highlight w:val="none"/>
                <w:lang w:val="en-US" w:eastAsia="zh-CN" w:bidi="ar-SA"/>
              </w:rPr>
            </w:pPr>
            <w:r>
              <w:rPr>
                <w:rFonts w:ascii="Times New Roman" w:hAnsi="Times New Roman" w:eastAsia="仿宋_GB2312" w:cs="Times New Roman"/>
                <w:color w:val="000000"/>
                <w:kern w:val="0"/>
                <w:highlight w:val="none"/>
              </w:rPr>
              <w:t>GB 8109</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2023</w:t>
            </w: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2</w:t>
            </w:r>
          </w:p>
        </w:tc>
        <w:tc>
          <w:tcPr>
            <w:tcW w:w="1313" w:type="dxa"/>
            <w:gridSpan w:val="2"/>
            <w:vMerge w:val="restart"/>
            <w:vAlign w:val="center"/>
          </w:tcPr>
          <w:p>
            <w:pPr>
              <w:widowControl/>
              <w:spacing w:before="100" w:beforeAutospacing="1" w:after="100" w:afterAutospacing="1"/>
              <w:jc w:val="center"/>
              <w:rPr>
                <w:rFonts w:hint="eastAsia" w:ascii="宋体" w:hAnsi="宋体" w:cs="宋体"/>
                <w:color w:val="000000"/>
                <w:kern w:val="0"/>
                <w:highlight w:val="none"/>
              </w:rPr>
            </w:pPr>
            <w:r>
              <w:rPr>
                <w:rFonts w:hint="default" w:ascii="Times New Roman" w:hAnsi="Times New Roman" w:cs="Times New Roman"/>
                <w:color w:val="000000"/>
                <w:kern w:val="0"/>
                <w:highlight w:val="none"/>
              </w:rPr>
              <w:t>20℃</w:t>
            </w:r>
            <w:r>
              <w:rPr>
                <w:rFonts w:hint="default" w:ascii="Times New Roman" w:hAnsi="Times New Roman" w:cs="Times New Roman"/>
                <w:color w:val="000000"/>
                <w:kern w:val="0"/>
                <w:highlight w:val="none"/>
                <w:lang w:val="en-US" w:eastAsia="zh-CN"/>
              </w:rPr>
              <w:t>时</w:t>
            </w:r>
            <w:r>
              <w:rPr>
                <w:rFonts w:hint="eastAsia" w:ascii="宋体" w:hAnsi="宋体" w:cs="宋体"/>
                <w:color w:val="000000"/>
                <w:kern w:val="0"/>
                <w:highlight w:val="none"/>
              </w:rPr>
              <w:t>喷射性能</w:t>
            </w:r>
          </w:p>
        </w:tc>
        <w:tc>
          <w:tcPr>
            <w:tcW w:w="2143" w:type="dxa"/>
            <w:gridSpan w:val="2"/>
            <w:vAlign w:val="center"/>
          </w:tcPr>
          <w:p>
            <w:pPr>
              <w:spacing w:line="300" w:lineRule="exact"/>
              <w:jc w:val="center"/>
              <w:rPr>
                <w:szCs w:val="21"/>
                <w:highlight w:val="none"/>
              </w:rPr>
            </w:pPr>
            <w:r>
              <w:rPr>
                <w:rFonts w:hint="default"/>
                <w:szCs w:val="21"/>
                <w:highlight w:val="none"/>
              </w:rPr>
              <w:t>有效喷射时间</w:t>
            </w:r>
          </w:p>
        </w:tc>
        <w:tc>
          <w:tcPr>
            <w:tcW w:w="2220" w:type="dxa"/>
            <w:vAlign w:val="center"/>
          </w:tcPr>
          <w:p>
            <w:pPr>
              <w:widowControl/>
              <w:spacing w:before="100" w:beforeAutospacing="1" w:after="100" w:afterAutospacing="1"/>
              <w:jc w:val="center"/>
              <w:rPr>
                <w:rFonts w:hint="eastAsia" w:ascii="宋体" w:hAnsi="宋体" w:cs="宋体" w:eastAsiaTheme="minorEastAsia"/>
                <w:color w:val="000000"/>
                <w:kern w:val="0"/>
                <w:sz w:val="21"/>
                <w:szCs w:val="24"/>
                <w:highlight w:val="none"/>
                <w:lang w:val="en-US" w:eastAsia="zh-CN" w:bidi="ar-SA"/>
              </w:rPr>
            </w:pPr>
            <w:r>
              <w:rPr>
                <w:rFonts w:ascii="Times New Roman" w:hAnsi="Times New Roman" w:eastAsia="仿宋_GB2312" w:cs="Times New Roman"/>
                <w:color w:val="000000"/>
                <w:kern w:val="0"/>
                <w:highlight w:val="none"/>
              </w:rPr>
              <w:t>GB 8109</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2023</w:t>
            </w:r>
          </w:p>
        </w:tc>
        <w:tc>
          <w:tcPr>
            <w:tcW w:w="2375" w:type="dxa"/>
            <w:vAlign w:val="center"/>
          </w:tcPr>
          <w:p>
            <w:pPr>
              <w:widowControl/>
              <w:spacing w:before="100" w:beforeAutospacing="1" w:after="100" w:afterAutospacing="1"/>
              <w:jc w:val="center"/>
              <w:rPr>
                <w:rFonts w:hint="eastAsia" w:ascii="Times New Roman" w:hAnsi="Times New Roman" w:eastAsia="仿宋_GB2312" w:cs="Times New Roman"/>
                <w:color w:val="000000"/>
                <w:kern w:val="0"/>
                <w:sz w:val="21"/>
                <w:szCs w:val="24"/>
                <w:highlight w:val="none"/>
                <w:lang w:val="en-US" w:eastAsia="zh-CN" w:bidi="ar-SA"/>
              </w:rPr>
            </w:pPr>
            <w:r>
              <w:rPr>
                <w:rFonts w:ascii="Times New Roman" w:hAnsi="Times New Roman" w:eastAsia="仿宋_GB2312" w:cs="Times New Roman"/>
                <w:color w:val="000000"/>
                <w:kern w:val="0"/>
                <w:highlight w:val="none"/>
              </w:rPr>
              <w:t>GB 8109</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p>
        </w:tc>
        <w:tc>
          <w:tcPr>
            <w:tcW w:w="1313" w:type="dxa"/>
            <w:gridSpan w:val="2"/>
            <w:vMerge w:val="continue"/>
            <w:vAlign w:val="center"/>
          </w:tcPr>
          <w:p>
            <w:pPr>
              <w:widowControl/>
              <w:spacing w:before="100" w:beforeAutospacing="1" w:after="100" w:afterAutospacing="1"/>
              <w:jc w:val="center"/>
              <w:rPr>
                <w:rFonts w:hint="eastAsia" w:ascii="宋体" w:hAnsi="宋体" w:cs="宋体"/>
                <w:color w:val="000000"/>
                <w:kern w:val="0"/>
                <w:highlight w:val="none"/>
              </w:rPr>
            </w:pPr>
          </w:p>
        </w:tc>
        <w:tc>
          <w:tcPr>
            <w:tcW w:w="2143" w:type="dxa"/>
            <w:gridSpan w:val="2"/>
            <w:vAlign w:val="center"/>
          </w:tcPr>
          <w:p>
            <w:pPr>
              <w:spacing w:line="300" w:lineRule="exact"/>
              <w:jc w:val="center"/>
              <w:rPr>
                <w:szCs w:val="21"/>
                <w:highlight w:val="none"/>
              </w:rPr>
            </w:pPr>
            <w:r>
              <w:rPr>
                <w:rFonts w:hint="default"/>
                <w:szCs w:val="21"/>
                <w:highlight w:val="none"/>
              </w:rPr>
              <w:t>喷射距离</w:t>
            </w:r>
          </w:p>
        </w:tc>
        <w:tc>
          <w:tcPr>
            <w:tcW w:w="2220" w:type="dxa"/>
            <w:vAlign w:val="center"/>
          </w:tcPr>
          <w:p>
            <w:pPr>
              <w:widowControl/>
              <w:spacing w:before="100" w:beforeAutospacing="1" w:after="100" w:afterAutospacing="1"/>
              <w:jc w:val="center"/>
              <w:rPr>
                <w:rFonts w:hint="eastAsia" w:ascii="宋体" w:hAnsi="宋体" w:cs="宋体" w:eastAsiaTheme="minorEastAsia"/>
                <w:color w:val="000000"/>
                <w:kern w:val="0"/>
                <w:sz w:val="21"/>
                <w:szCs w:val="24"/>
                <w:highlight w:val="none"/>
                <w:lang w:val="en-US" w:eastAsia="zh-CN" w:bidi="ar-SA"/>
              </w:rPr>
            </w:pPr>
            <w:r>
              <w:rPr>
                <w:rFonts w:ascii="Times New Roman" w:hAnsi="Times New Roman" w:eastAsia="仿宋_GB2312" w:cs="Times New Roman"/>
                <w:color w:val="000000"/>
                <w:kern w:val="0"/>
                <w:highlight w:val="none"/>
              </w:rPr>
              <w:t>GB 8109</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2023</w:t>
            </w:r>
          </w:p>
        </w:tc>
        <w:tc>
          <w:tcPr>
            <w:tcW w:w="2375" w:type="dxa"/>
            <w:vAlign w:val="center"/>
          </w:tcPr>
          <w:p>
            <w:pPr>
              <w:widowControl/>
              <w:spacing w:before="100" w:beforeAutospacing="1" w:after="100" w:afterAutospacing="1"/>
              <w:jc w:val="center"/>
              <w:rPr>
                <w:rFonts w:hint="eastAsia" w:ascii="Times New Roman" w:hAnsi="Times New Roman" w:eastAsia="仿宋_GB2312" w:cs="Times New Roman"/>
                <w:color w:val="000000"/>
                <w:kern w:val="0"/>
                <w:sz w:val="21"/>
                <w:szCs w:val="24"/>
                <w:highlight w:val="none"/>
                <w:lang w:val="en-US" w:eastAsia="zh-CN" w:bidi="ar-SA"/>
              </w:rPr>
            </w:pPr>
            <w:r>
              <w:rPr>
                <w:rFonts w:ascii="Times New Roman" w:hAnsi="Times New Roman" w:eastAsia="仿宋_GB2312" w:cs="Times New Roman"/>
                <w:color w:val="000000"/>
                <w:kern w:val="0"/>
                <w:highlight w:val="none"/>
              </w:rPr>
              <w:t>GB 8109</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3</w:t>
            </w:r>
          </w:p>
        </w:tc>
        <w:tc>
          <w:tcPr>
            <w:tcW w:w="1296"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szCs w:val="21"/>
                <w:highlight w:val="none"/>
              </w:rPr>
              <w:t>灭火剂</w:t>
            </w:r>
          </w:p>
        </w:tc>
        <w:tc>
          <w:tcPr>
            <w:tcW w:w="888"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r>
              <w:rPr>
                <w:szCs w:val="21"/>
                <w:highlight w:val="none"/>
              </w:rPr>
              <w:t>干粉灭火剂</w:t>
            </w:r>
          </w:p>
        </w:tc>
        <w:tc>
          <w:tcPr>
            <w:tcW w:w="127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r>
              <w:rPr>
                <w:szCs w:val="21"/>
                <w:highlight w:val="none"/>
              </w:rPr>
              <w:t>第一主要组分含量</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color w:val="000000"/>
                <w:kern w:val="0"/>
                <w:highlight w:val="none"/>
                <w:lang w:val="en-US" w:eastAsia="zh-CN"/>
              </w:rPr>
            </w:pPr>
            <w:bookmarkStart w:id="3" w:name="OLE_LINK4"/>
            <w:r>
              <w:rPr>
                <w:rFonts w:ascii="Times New Roman" w:hAnsi="Times New Roman" w:eastAsia="仿宋_GB2312" w:cs="Times New Roman"/>
                <w:color w:val="000000"/>
                <w:kern w:val="0"/>
                <w:highlight w:val="none"/>
              </w:rPr>
              <w:t>GB 8109</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2023</w:t>
            </w:r>
          </w:p>
          <w:bookmarkEnd w:id="3"/>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2"/>
                <w:szCs w:val="28"/>
                <w:highlight w:val="none"/>
                <w:vertAlign w:val="baseline"/>
                <w:lang w:val="en-US" w:eastAsia="zh-CN" w:bidi="ar-SA"/>
              </w:rPr>
            </w:pPr>
            <w:r>
              <w:rPr>
                <w:szCs w:val="21"/>
                <w:highlight w:val="none"/>
              </w:rPr>
              <w:t>GB 4066</w:t>
            </w:r>
            <w:r>
              <w:rPr>
                <w:color w:val="000000"/>
                <w:szCs w:val="21"/>
                <w:highlight w:val="none"/>
              </w:rPr>
              <w:t>—2017</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color w:val="000000"/>
                <w:kern w:val="0"/>
                <w:highlight w:val="none"/>
                <w:lang w:val="en-US" w:eastAsia="zh-CN"/>
              </w:rPr>
            </w:pPr>
            <w:r>
              <w:rPr>
                <w:rFonts w:ascii="Times New Roman" w:hAnsi="Times New Roman" w:eastAsia="仿宋_GB2312" w:cs="Times New Roman"/>
                <w:color w:val="000000"/>
                <w:kern w:val="0"/>
                <w:highlight w:val="none"/>
              </w:rPr>
              <w:t>GB 8109</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szCs w:val="21"/>
                <w:highlight w:val="none"/>
              </w:rPr>
              <w:t>GB 4066</w:t>
            </w:r>
            <w:r>
              <w:rPr>
                <w:color w:val="000000"/>
                <w:szCs w:val="21"/>
                <w:highlight w:val="none"/>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p>
        </w:tc>
        <w:tc>
          <w:tcPr>
            <w:tcW w:w="129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p>
        </w:tc>
        <w:tc>
          <w:tcPr>
            <w:tcW w:w="888" w:type="dxa"/>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r>
              <w:rPr>
                <w:rFonts w:hint="eastAsia" w:ascii="宋体" w:hAnsi="宋体" w:cs="宋体"/>
                <w:color w:val="000000"/>
                <w:kern w:val="0"/>
                <w:highlight w:val="none"/>
              </w:rPr>
              <w:t>水系灭火剂</w:t>
            </w:r>
          </w:p>
        </w:tc>
        <w:tc>
          <w:tcPr>
            <w:tcW w:w="127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r>
              <w:rPr>
                <w:rFonts w:hint="eastAsia"/>
                <w:szCs w:val="21"/>
                <w:highlight w:val="none"/>
              </w:rPr>
              <w:t>凝固点</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color w:val="000000"/>
                <w:kern w:val="0"/>
                <w:highlight w:val="none"/>
                <w:lang w:val="en-US" w:eastAsia="zh-CN"/>
              </w:rPr>
            </w:pPr>
            <w:r>
              <w:rPr>
                <w:rFonts w:ascii="Times New Roman" w:hAnsi="Times New Roman" w:eastAsia="仿宋_GB2312" w:cs="Times New Roman"/>
                <w:color w:val="000000"/>
                <w:kern w:val="0"/>
                <w:highlight w:val="none"/>
              </w:rPr>
              <w:t>GB 8109</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heme="minorHAnsi" w:hAnsiTheme="minorHAnsi" w:eastAsiaTheme="minorEastAsia" w:cstheme="minorBidi"/>
                <w:kern w:val="2"/>
                <w:sz w:val="21"/>
                <w:szCs w:val="21"/>
                <w:highlight w:val="none"/>
                <w:lang w:val="en-US" w:eastAsia="zh-CN" w:bidi="ar-SA"/>
              </w:rPr>
            </w:pPr>
            <w:r>
              <w:rPr>
                <w:rFonts w:ascii="Times New Roman" w:hAnsi="Times New Roman" w:eastAsia="仿宋_GB2312" w:cs="Times New Roman"/>
                <w:color w:val="000000"/>
                <w:kern w:val="0"/>
                <w:highlight w:val="none"/>
              </w:rPr>
              <w:t>GB 17835</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2024</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color w:val="000000"/>
                <w:kern w:val="0"/>
                <w:highlight w:val="none"/>
                <w:lang w:val="en-US" w:eastAsia="zh-CN"/>
              </w:rPr>
            </w:pPr>
            <w:r>
              <w:rPr>
                <w:rFonts w:ascii="Times New Roman" w:hAnsi="Times New Roman" w:eastAsia="仿宋_GB2312" w:cs="Times New Roman"/>
                <w:color w:val="000000"/>
                <w:kern w:val="0"/>
                <w:highlight w:val="none"/>
              </w:rPr>
              <w:t>GB 8109</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heme="minorHAnsi" w:hAnsiTheme="minorHAnsi" w:eastAsiaTheme="minorEastAsia" w:cstheme="minorBidi"/>
                <w:kern w:val="2"/>
                <w:sz w:val="21"/>
                <w:szCs w:val="21"/>
                <w:highlight w:val="none"/>
                <w:lang w:val="en-US" w:eastAsia="zh-CN" w:bidi="ar-SA"/>
              </w:rPr>
            </w:pPr>
            <w:r>
              <w:rPr>
                <w:rFonts w:ascii="Times New Roman" w:hAnsi="Times New Roman" w:eastAsia="仿宋_GB2312" w:cs="Times New Roman"/>
                <w:color w:val="000000"/>
                <w:kern w:val="0"/>
                <w:highlight w:val="none"/>
              </w:rPr>
              <w:t>GB 17835</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67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p>
        </w:tc>
        <w:tc>
          <w:tcPr>
            <w:tcW w:w="129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p>
        </w:tc>
        <w:tc>
          <w:tcPr>
            <w:tcW w:w="888"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p>
        </w:tc>
        <w:tc>
          <w:tcPr>
            <w:tcW w:w="127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highlight w:val="none"/>
              </w:rPr>
            </w:pPr>
            <w:r>
              <w:rPr>
                <w:rFonts w:hint="eastAsia"/>
                <w:szCs w:val="21"/>
                <w:highlight w:val="none"/>
              </w:rPr>
              <w:t>pH值</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color w:val="000000"/>
                <w:kern w:val="0"/>
                <w:highlight w:val="none"/>
                <w:lang w:val="en-US" w:eastAsia="zh-CN"/>
              </w:rPr>
            </w:pPr>
            <w:r>
              <w:rPr>
                <w:rFonts w:ascii="Times New Roman" w:hAnsi="Times New Roman" w:eastAsia="仿宋_GB2312" w:cs="Times New Roman"/>
                <w:color w:val="000000"/>
                <w:kern w:val="0"/>
                <w:highlight w:val="none"/>
              </w:rPr>
              <w:t>GB 8109</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Theme="minorHAnsi" w:hAnsiTheme="minorHAnsi" w:eastAsiaTheme="minorEastAsia" w:cstheme="minorBidi"/>
                <w:kern w:val="2"/>
                <w:sz w:val="21"/>
                <w:szCs w:val="21"/>
                <w:highlight w:val="none"/>
                <w:lang w:val="en-US" w:eastAsia="zh-CN" w:bidi="ar-SA"/>
              </w:rPr>
            </w:pPr>
            <w:r>
              <w:rPr>
                <w:rFonts w:ascii="Times New Roman" w:hAnsi="Times New Roman" w:eastAsia="仿宋_GB2312" w:cs="Times New Roman"/>
                <w:color w:val="000000"/>
                <w:kern w:val="0"/>
                <w:highlight w:val="none"/>
              </w:rPr>
              <w:t>GB 17835</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2024</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color w:val="000000"/>
                <w:kern w:val="0"/>
                <w:highlight w:val="none"/>
                <w:lang w:val="en-US" w:eastAsia="zh-CN"/>
              </w:rPr>
            </w:pPr>
            <w:r>
              <w:rPr>
                <w:rFonts w:ascii="Times New Roman" w:hAnsi="Times New Roman" w:eastAsia="仿宋_GB2312" w:cs="Times New Roman"/>
                <w:color w:val="000000"/>
                <w:kern w:val="0"/>
                <w:highlight w:val="none"/>
              </w:rPr>
              <w:t>GB 8109</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Theme="minorHAnsi" w:hAnsiTheme="minorHAnsi" w:eastAsiaTheme="minorEastAsia" w:cstheme="minorBidi"/>
                <w:kern w:val="2"/>
                <w:sz w:val="21"/>
                <w:szCs w:val="21"/>
                <w:highlight w:val="none"/>
                <w:lang w:val="en-US" w:eastAsia="zh-CN" w:bidi="ar-SA"/>
              </w:rPr>
            </w:pPr>
            <w:r>
              <w:rPr>
                <w:rFonts w:ascii="Times New Roman" w:hAnsi="Times New Roman" w:eastAsia="仿宋_GB2312" w:cs="Times New Roman"/>
                <w:color w:val="000000"/>
                <w:kern w:val="0"/>
                <w:highlight w:val="none"/>
              </w:rPr>
              <w:t>GB 17835</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2024</w:t>
            </w:r>
          </w:p>
        </w:tc>
      </w:tr>
    </w:tbl>
    <w:p>
      <w:pPr>
        <w:widowControl/>
        <w:snapToGrid/>
        <w:spacing w:line="440" w:lineRule="exact"/>
        <w:jc w:val="left"/>
        <w:rPr>
          <w:rFonts w:hint="default" w:ascii="Times New Roman" w:hAnsi="Times New Roman" w:eastAsia="宋体" w:cs="Times New Roman"/>
          <w:color w:val="000000"/>
          <w:sz w:val="21"/>
          <w:szCs w:val="21"/>
          <w:highlight w:val="none"/>
        </w:rPr>
      </w:pPr>
    </w:p>
    <w:p>
      <w:pPr>
        <w:widowControl/>
        <w:snapToGrid/>
        <w:spacing w:line="440" w:lineRule="exact"/>
        <w:jc w:val="left"/>
        <w:rPr>
          <w:rFonts w:hint="default" w:ascii="Times New Roman" w:hAnsi="Times New Roman" w:eastAsia="宋体" w:cs="Times New Roman"/>
          <w:color w:val="000000"/>
          <w:kern w:val="0"/>
          <w:highlight w:val="none"/>
        </w:rPr>
      </w:pPr>
      <w:r>
        <w:rPr>
          <w:rFonts w:hint="default" w:ascii="Times New Roman" w:hAnsi="Times New Roman" w:eastAsia="宋体" w:cs="Times New Roman"/>
          <w:color w:val="000000"/>
          <w:sz w:val="21"/>
          <w:szCs w:val="21"/>
          <w:highlight w:val="none"/>
        </w:rPr>
        <w:t>2.3</w:t>
      </w:r>
      <w:r>
        <w:rPr>
          <w:rFonts w:hint="default" w:ascii="Times New Roman" w:hAnsi="Times New Roman" w:eastAsia="宋体" w:cs="Times New Roman"/>
          <w:color w:val="000000"/>
          <w:kern w:val="0"/>
          <w:highlight w:val="none"/>
        </w:rPr>
        <w:t>简易式灭火器</w:t>
      </w:r>
    </w:p>
    <w:tbl>
      <w:tblPr>
        <w:tblStyle w:val="5"/>
        <w:tblW w:w="87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4"/>
        <w:gridCol w:w="879"/>
        <w:gridCol w:w="1296"/>
        <w:gridCol w:w="2209"/>
        <w:gridCol w:w="2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tblHeader/>
          <w:jc w:val="center"/>
        </w:trPr>
        <w:tc>
          <w:tcPr>
            <w:tcW w:w="709" w:type="dxa"/>
            <w:noWrap w:val="0"/>
            <w:vAlign w:val="center"/>
          </w:tcPr>
          <w:p>
            <w:pPr>
              <w:snapToGrid w:val="0"/>
              <w:jc w:val="center"/>
              <w:rPr>
                <w:rFonts w:ascii="Times New Roman" w:hAnsi="Times New Roman" w:cs="Times New Roman"/>
                <w:color w:val="000000"/>
                <w:highlight w:val="none"/>
              </w:rPr>
            </w:pPr>
            <w:r>
              <w:rPr>
                <w:rFonts w:ascii="Times New Roman" w:hAnsi="Times New Roman" w:cs="Times New Roman"/>
                <w:color w:val="000000"/>
                <w:highlight w:val="none"/>
              </w:rPr>
              <w:t>序号</w:t>
            </w:r>
          </w:p>
        </w:tc>
        <w:tc>
          <w:tcPr>
            <w:tcW w:w="3449" w:type="dxa"/>
            <w:gridSpan w:val="3"/>
            <w:noWrap w:val="0"/>
            <w:vAlign w:val="center"/>
          </w:tcPr>
          <w:p>
            <w:pPr>
              <w:snapToGrid w:val="0"/>
              <w:jc w:val="center"/>
              <w:rPr>
                <w:rFonts w:hint="eastAsia" w:ascii="宋体" w:hAnsi="宋体" w:cs="宋体"/>
                <w:color w:val="000000"/>
                <w:highlight w:val="none"/>
              </w:rPr>
            </w:pPr>
            <w:r>
              <w:rPr>
                <w:rFonts w:hint="eastAsia" w:ascii="宋体" w:hAnsi="宋体" w:cs="宋体"/>
                <w:color w:val="000000"/>
                <w:highlight w:val="none"/>
              </w:rPr>
              <w:t>检验项目</w:t>
            </w:r>
          </w:p>
        </w:tc>
        <w:tc>
          <w:tcPr>
            <w:tcW w:w="2209" w:type="dxa"/>
            <w:noWrap w:val="0"/>
            <w:vAlign w:val="center"/>
          </w:tcPr>
          <w:p>
            <w:pPr>
              <w:snapToGrid w:val="0"/>
              <w:jc w:val="center"/>
              <w:rPr>
                <w:rFonts w:ascii="Times New Roman" w:hAnsi="Times New Roman" w:cs="Times New Roman"/>
                <w:color w:val="000000"/>
                <w:highlight w:val="none"/>
              </w:rPr>
            </w:pPr>
            <w:r>
              <w:rPr>
                <w:rFonts w:hint="eastAsia" w:ascii="Times New Roman" w:hAnsi="Times New Roman" w:cs="Times New Roman"/>
                <w:color w:val="000000"/>
                <w:highlight w:val="none"/>
                <w:lang w:val="en-US" w:eastAsia="zh-CN"/>
              </w:rPr>
              <w:t>检验依据</w:t>
            </w:r>
          </w:p>
        </w:tc>
        <w:tc>
          <w:tcPr>
            <w:tcW w:w="2390" w:type="dxa"/>
            <w:noWrap w:val="0"/>
            <w:vAlign w:val="center"/>
          </w:tcPr>
          <w:p>
            <w:pPr>
              <w:snapToGrid w:val="0"/>
              <w:jc w:val="center"/>
              <w:rPr>
                <w:rFonts w:ascii="Times New Roman" w:hAnsi="Times New Roman" w:cs="Times New Roman"/>
                <w:color w:val="000000"/>
                <w:kern w:val="2"/>
                <w:sz w:val="21"/>
                <w:szCs w:val="21"/>
                <w:highlight w:val="none"/>
                <w:lang w:val="en-US" w:eastAsia="zh-CN" w:bidi="ar-SA"/>
              </w:rPr>
            </w:pPr>
            <w:r>
              <w:rPr>
                <w:rFonts w:ascii="Times New Roman" w:hAnsi="Times New Roman" w:cs="Times New Roman"/>
                <w:color w:val="000000"/>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709" w:type="dxa"/>
            <w:noWrap w:val="0"/>
            <w:vAlign w:val="center"/>
          </w:tcPr>
          <w:p>
            <w:pPr>
              <w:widowControl/>
              <w:spacing w:before="100" w:beforeAutospacing="1" w:after="100" w:afterAutospacing="1"/>
              <w:jc w:val="center"/>
              <w:rPr>
                <w:rFonts w:ascii="Times New Roman" w:hAnsi="Times New Roman" w:eastAsia="仿宋_GB2312" w:cs="Times New Roman"/>
                <w:color w:val="000000"/>
                <w:kern w:val="0"/>
                <w:highlight w:val="none"/>
              </w:rPr>
            </w:pPr>
            <w:r>
              <w:rPr>
                <w:rFonts w:ascii="Times New Roman" w:hAnsi="Times New Roman" w:eastAsia="仿宋_GB2312" w:cs="Times New Roman"/>
                <w:color w:val="000000"/>
                <w:kern w:val="0"/>
                <w:highlight w:val="none"/>
              </w:rPr>
              <w:t>1</w:t>
            </w:r>
          </w:p>
        </w:tc>
        <w:tc>
          <w:tcPr>
            <w:tcW w:w="3449" w:type="dxa"/>
            <w:gridSpan w:val="3"/>
            <w:noWrap w:val="0"/>
            <w:vAlign w:val="center"/>
          </w:tcPr>
          <w:p>
            <w:pPr>
              <w:widowControl/>
              <w:spacing w:before="100" w:beforeAutospacing="1" w:after="100" w:afterAutospacing="1"/>
              <w:jc w:val="center"/>
              <w:rPr>
                <w:rFonts w:hint="eastAsia" w:ascii="宋体" w:hAnsi="宋体" w:cs="宋体"/>
                <w:color w:val="000000"/>
                <w:kern w:val="0"/>
                <w:highlight w:val="none"/>
              </w:rPr>
            </w:pPr>
            <w:r>
              <w:rPr>
                <w:rFonts w:hint="eastAsia" w:ascii="宋体" w:hAnsi="宋体" w:cs="宋体"/>
                <w:color w:val="000000"/>
                <w:kern w:val="0"/>
                <w:highlight w:val="none"/>
              </w:rPr>
              <w:t>灭火剂充装误差</w:t>
            </w:r>
          </w:p>
        </w:tc>
        <w:tc>
          <w:tcPr>
            <w:tcW w:w="2209" w:type="dxa"/>
            <w:noWrap w:val="0"/>
            <w:vAlign w:val="center"/>
          </w:tcPr>
          <w:p>
            <w:pPr>
              <w:widowControl/>
              <w:spacing w:before="100" w:beforeAutospacing="1" w:after="100" w:afterAutospacing="1"/>
              <w:jc w:val="center"/>
              <w:rPr>
                <w:rFonts w:hint="default" w:ascii="Times New Roman" w:hAnsi="Times New Roman" w:eastAsia="仿宋_GB2312" w:cs="Times New Roman"/>
                <w:color w:val="000000"/>
                <w:kern w:val="0"/>
                <w:highlight w:val="none"/>
                <w:lang w:val="en-US" w:eastAsia="zh-CN"/>
              </w:rPr>
            </w:pPr>
            <w:r>
              <w:rPr>
                <w:rFonts w:ascii="Times New Roman" w:hAnsi="Times New Roman" w:eastAsia="仿宋_GB2312" w:cs="Times New Roman"/>
                <w:color w:val="000000"/>
                <w:kern w:val="0"/>
                <w:highlight w:val="none"/>
              </w:rPr>
              <w:t>XF 86</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2009</w:t>
            </w:r>
          </w:p>
        </w:tc>
        <w:tc>
          <w:tcPr>
            <w:tcW w:w="2390" w:type="dxa"/>
            <w:noWrap w:val="0"/>
            <w:vAlign w:val="center"/>
          </w:tcPr>
          <w:p>
            <w:pPr>
              <w:widowControl/>
              <w:spacing w:before="100" w:beforeAutospacing="1" w:after="100" w:afterAutospacing="1"/>
              <w:jc w:val="center"/>
              <w:rPr>
                <w:rFonts w:hint="default" w:ascii="Times New Roman" w:hAnsi="Times New Roman" w:eastAsia="仿宋_GB2312" w:cs="Times New Roman"/>
                <w:color w:val="000000"/>
                <w:kern w:val="0"/>
                <w:sz w:val="21"/>
                <w:szCs w:val="21"/>
                <w:highlight w:val="none"/>
                <w:lang w:val="en-US" w:eastAsia="zh-CN" w:bidi="ar-SA"/>
              </w:rPr>
            </w:pPr>
            <w:r>
              <w:rPr>
                <w:rFonts w:ascii="Times New Roman" w:hAnsi="Times New Roman" w:eastAsia="仿宋_GB2312" w:cs="Times New Roman"/>
                <w:color w:val="000000"/>
                <w:kern w:val="0"/>
                <w:highlight w:val="none"/>
              </w:rPr>
              <w:t>XF 86</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709" w:type="dxa"/>
            <w:noWrap w:val="0"/>
            <w:vAlign w:val="center"/>
          </w:tcPr>
          <w:p>
            <w:pPr>
              <w:widowControl/>
              <w:spacing w:before="100" w:beforeAutospacing="1" w:after="100" w:afterAutospacing="1"/>
              <w:jc w:val="center"/>
              <w:rPr>
                <w:rFonts w:ascii="Times New Roman" w:hAnsi="Times New Roman" w:eastAsia="仿宋_GB2312" w:cs="Times New Roman"/>
                <w:color w:val="000000"/>
                <w:kern w:val="0"/>
                <w:highlight w:val="none"/>
              </w:rPr>
            </w:pPr>
            <w:r>
              <w:rPr>
                <w:rFonts w:ascii="Times New Roman" w:hAnsi="Times New Roman" w:eastAsia="仿宋_GB2312" w:cs="Times New Roman"/>
                <w:color w:val="000000"/>
                <w:kern w:val="0"/>
                <w:highlight w:val="none"/>
              </w:rPr>
              <w:t>2</w:t>
            </w:r>
          </w:p>
        </w:tc>
        <w:tc>
          <w:tcPr>
            <w:tcW w:w="3449" w:type="dxa"/>
            <w:gridSpan w:val="3"/>
            <w:noWrap w:val="0"/>
            <w:vAlign w:val="center"/>
          </w:tcPr>
          <w:p>
            <w:pPr>
              <w:widowControl/>
              <w:spacing w:before="100" w:beforeAutospacing="1" w:after="100" w:afterAutospacing="1"/>
              <w:jc w:val="center"/>
              <w:rPr>
                <w:rFonts w:hint="default" w:ascii="Times New Roman" w:hAnsi="Times New Roman" w:cs="Times New Roman"/>
                <w:color w:val="000000"/>
                <w:kern w:val="0"/>
                <w:highlight w:val="none"/>
              </w:rPr>
            </w:pPr>
            <w:r>
              <w:rPr>
                <w:rFonts w:hint="default" w:ascii="Times New Roman" w:hAnsi="Times New Roman" w:cs="Times New Roman"/>
                <w:color w:val="000000"/>
                <w:kern w:val="0"/>
                <w:highlight w:val="none"/>
              </w:rPr>
              <w:t>20℃±5℃有效喷射时间</w:t>
            </w:r>
          </w:p>
        </w:tc>
        <w:tc>
          <w:tcPr>
            <w:tcW w:w="2209" w:type="dxa"/>
            <w:noWrap w:val="0"/>
            <w:vAlign w:val="center"/>
          </w:tcPr>
          <w:p>
            <w:pPr>
              <w:widowControl/>
              <w:spacing w:before="100" w:beforeAutospacing="1" w:after="100" w:afterAutospacing="1"/>
              <w:jc w:val="center"/>
              <w:rPr>
                <w:rFonts w:ascii="Times New Roman" w:hAnsi="Times New Roman" w:eastAsia="仿宋_GB2312" w:cs="Times New Roman"/>
                <w:color w:val="000000"/>
                <w:kern w:val="0"/>
                <w:highlight w:val="none"/>
              </w:rPr>
            </w:pPr>
            <w:r>
              <w:rPr>
                <w:rFonts w:ascii="Times New Roman" w:hAnsi="Times New Roman" w:eastAsia="仿宋_GB2312" w:cs="Times New Roman"/>
                <w:color w:val="000000"/>
                <w:kern w:val="0"/>
                <w:highlight w:val="none"/>
              </w:rPr>
              <w:t>XF 86</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2009</w:t>
            </w:r>
          </w:p>
        </w:tc>
        <w:tc>
          <w:tcPr>
            <w:tcW w:w="2390" w:type="dxa"/>
            <w:noWrap w:val="0"/>
            <w:vAlign w:val="center"/>
          </w:tcPr>
          <w:p>
            <w:pPr>
              <w:widowControl/>
              <w:spacing w:before="100" w:beforeAutospacing="1" w:after="100" w:afterAutospacing="1"/>
              <w:jc w:val="center"/>
              <w:rPr>
                <w:rFonts w:ascii="Times New Roman" w:hAnsi="Times New Roman" w:eastAsia="仿宋_GB2312" w:cs="Times New Roman"/>
                <w:color w:val="000000"/>
                <w:kern w:val="0"/>
                <w:sz w:val="21"/>
                <w:szCs w:val="21"/>
                <w:highlight w:val="none"/>
                <w:lang w:val="en-US" w:eastAsia="zh-CN" w:bidi="ar-SA"/>
              </w:rPr>
            </w:pPr>
            <w:r>
              <w:rPr>
                <w:rFonts w:ascii="Times New Roman" w:hAnsi="Times New Roman" w:eastAsia="仿宋_GB2312" w:cs="Times New Roman"/>
                <w:color w:val="000000"/>
                <w:kern w:val="0"/>
                <w:highlight w:val="none"/>
              </w:rPr>
              <w:t>XF 86</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709" w:type="dxa"/>
            <w:noWrap w:val="0"/>
            <w:vAlign w:val="center"/>
          </w:tcPr>
          <w:p>
            <w:pPr>
              <w:widowControl/>
              <w:spacing w:before="100" w:beforeAutospacing="1" w:after="100" w:afterAutospacing="1"/>
              <w:jc w:val="center"/>
              <w:rPr>
                <w:rFonts w:ascii="Times New Roman" w:hAnsi="Times New Roman" w:eastAsia="仿宋_GB2312" w:cs="Times New Roman"/>
                <w:color w:val="000000"/>
                <w:kern w:val="0"/>
                <w:highlight w:val="none"/>
              </w:rPr>
            </w:pPr>
            <w:r>
              <w:rPr>
                <w:rFonts w:ascii="Times New Roman" w:hAnsi="Times New Roman" w:eastAsia="仿宋_GB2312" w:cs="Times New Roman"/>
                <w:color w:val="000000"/>
                <w:kern w:val="0"/>
                <w:highlight w:val="none"/>
              </w:rPr>
              <w:t>3</w:t>
            </w:r>
          </w:p>
        </w:tc>
        <w:tc>
          <w:tcPr>
            <w:tcW w:w="3449" w:type="dxa"/>
            <w:gridSpan w:val="3"/>
            <w:noWrap w:val="0"/>
            <w:vAlign w:val="center"/>
          </w:tcPr>
          <w:p>
            <w:pPr>
              <w:widowControl/>
              <w:spacing w:before="100" w:beforeAutospacing="1" w:after="100" w:afterAutospacing="1"/>
              <w:jc w:val="center"/>
              <w:rPr>
                <w:rFonts w:hint="default" w:ascii="Times New Roman" w:hAnsi="Times New Roman" w:cs="Times New Roman"/>
                <w:color w:val="000000"/>
                <w:kern w:val="0"/>
                <w:highlight w:val="none"/>
              </w:rPr>
            </w:pPr>
            <w:r>
              <w:rPr>
                <w:rFonts w:hint="default" w:ascii="Times New Roman" w:hAnsi="Times New Roman" w:cs="Times New Roman"/>
                <w:color w:val="000000"/>
                <w:kern w:val="0"/>
                <w:highlight w:val="none"/>
              </w:rPr>
              <w:t>20℃±5℃喷射滞后时间</w:t>
            </w:r>
          </w:p>
        </w:tc>
        <w:tc>
          <w:tcPr>
            <w:tcW w:w="2209" w:type="dxa"/>
            <w:noWrap w:val="0"/>
            <w:vAlign w:val="center"/>
          </w:tcPr>
          <w:p>
            <w:pPr>
              <w:widowControl/>
              <w:spacing w:before="100" w:beforeAutospacing="1" w:after="100" w:afterAutospacing="1"/>
              <w:jc w:val="center"/>
              <w:rPr>
                <w:rFonts w:ascii="Times New Roman" w:hAnsi="Times New Roman" w:eastAsia="仿宋_GB2312" w:cs="Times New Roman"/>
                <w:color w:val="000000"/>
                <w:kern w:val="0"/>
                <w:highlight w:val="none"/>
              </w:rPr>
            </w:pPr>
            <w:r>
              <w:rPr>
                <w:rFonts w:ascii="Times New Roman" w:hAnsi="Times New Roman" w:eastAsia="仿宋_GB2312" w:cs="Times New Roman"/>
                <w:color w:val="000000"/>
                <w:kern w:val="0"/>
                <w:highlight w:val="none"/>
              </w:rPr>
              <w:t>XF 86</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2009</w:t>
            </w:r>
          </w:p>
        </w:tc>
        <w:tc>
          <w:tcPr>
            <w:tcW w:w="2390" w:type="dxa"/>
            <w:noWrap w:val="0"/>
            <w:vAlign w:val="center"/>
          </w:tcPr>
          <w:p>
            <w:pPr>
              <w:widowControl/>
              <w:spacing w:before="100" w:beforeAutospacing="1" w:after="100" w:afterAutospacing="1"/>
              <w:jc w:val="center"/>
              <w:rPr>
                <w:rFonts w:ascii="Times New Roman" w:hAnsi="Times New Roman" w:eastAsia="仿宋_GB2312" w:cs="Times New Roman"/>
                <w:color w:val="000000"/>
                <w:kern w:val="0"/>
                <w:sz w:val="21"/>
                <w:szCs w:val="21"/>
                <w:highlight w:val="none"/>
                <w:lang w:val="en-US" w:eastAsia="zh-CN" w:bidi="ar-SA"/>
              </w:rPr>
            </w:pPr>
            <w:r>
              <w:rPr>
                <w:rFonts w:ascii="Times New Roman" w:hAnsi="Times New Roman" w:eastAsia="仿宋_GB2312" w:cs="Times New Roman"/>
                <w:color w:val="000000"/>
                <w:kern w:val="0"/>
                <w:highlight w:val="none"/>
              </w:rPr>
              <w:t>XF 86</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709" w:type="dxa"/>
            <w:noWrap w:val="0"/>
            <w:vAlign w:val="center"/>
          </w:tcPr>
          <w:p>
            <w:pPr>
              <w:widowControl/>
              <w:spacing w:before="100" w:beforeAutospacing="1" w:after="100" w:afterAutospacing="1"/>
              <w:jc w:val="center"/>
              <w:rPr>
                <w:rFonts w:ascii="Times New Roman" w:hAnsi="Times New Roman" w:eastAsia="仿宋_GB2312" w:cs="Times New Roman"/>
                <w:color w:val="000000"/>
                <w:kern w:val="0"/>
                <w:highlight w:val="none"/>
              </w:rPr>
            </w:pPr>
            <w:r>
              <w:rPr>
                <w:rFonts w:ascii="Times New Roman" w:hAnsi="Times New Roman" w:eastAsia="仿宋_GB2312" w:cs="Times New Roman"/>
                <w:color w:val="000000"/>
                <w:kern w:val="0"/>
                <w:highlight w:val="none"/>
              </w:rPr>
              <w:t>4</w:t>
            </w:r>
          </w:p>
        </w:tc>
        <w:tc>
          <w:tcPr>
            <w:tcW w:w="3449" w:type="dxa"/>
            <w:gridSpan w:val="3"/>
            <w:noWrap w:val="0"/>
            <w:vAlign w:val="center"/>
          </w:tcPr>
          <w:p>
            <w:pPr>
              <w:widowControl/>
              <w:spacing w:before="100" w:beforeAutospacing="1" w:after="100" w:afterAutospacing="1"/>
              <w:jc w:val="center"/>
              <w:rPr>
                <w:rFonts w:hint="default" w:ascii="Times New Roman" w:hAnsi="Times New Roman" w:cs="Times New Roman"/>
                <w:color w:val="000000"/>
                <w:kern w:val="0"/>
                <w:highlight w:val="none"/>
              </w:rPr>
            </w:pPr>
            <w:r>
              <w:rPr>
                <w:rFonts w:hint="default" w:ascii="Times New Roman" w:hAnsi="Times New Roman" w:cs="Times New Roman"/>
                <w:color w:val="000000"/>
                <w:kern w:val="0"/>
                <w:highlight w:val="none"/>
              </w:rPr>
              <w:t>20℃±5℃喷射剩余率</w:t>
            </w:r>
          </w:p>
        </w:tc>
        <w:tc>
          <w:tcPr>
            <w:tcW w:w="2209" w:type="dxa"/>
            <w:noWrap w:val="0"/>
            <w:vAlign w:val="center"/>
          </w:tcPr>
          <w:p>
            <w:pPr>
              <w:widowControl/>
              <w:spacing w:before="100" w:beforeAutospacing="1" w:after="100" w:afterAutospacing="1"/>
              <w:jc w:val="center"/>
              <w:rPr>
                <w:rFonts w:ascii="Times New Roman" w:hAnsi="Times New Roman" w:eastAsia="仿宋_GB2312" w:cs="Times New Roman"/>
                <w:color w:val="000000"/>
                <w:kern w:val="0"/>
                <w:highlight w:val="none"/>
              </w:rPr>
            </w:pPr>
            <w:r>
              <w:rPr>
                <w:rFonts w:ascii="Times New Roman" w:hAnsi="Times New Roman" w:eastAsia="仿宋_GB2312" w:cs="Times New Roman"/>
                <w:color w:val="000000"/>
                <w:kern w:val="0"/>
                <w:highlight w:val="none"/>
              </w:rPr>
              <w:t>XF 86</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2009</w:t>
            </w:r>
          </w:p>
        </w:tc>
        <w:tc>
          <w:tcPr>
            <w:tcW w:w="2390" w:type="dxa"/>
            <w:noWrap w:val="0"/>
            <w:vAlign w:val="center"/>
          </w:tcPr>
          <w:p>
            <w:pPr>
              <w:widowControl/>
              <w:spacing w:before="100" w:beforeAutospacing="1" w:after="100" w:afterAutospacing="1"/>
              <w:jc w:val="center"/>
              <w:rPr>
                <w:rFonts w:ascii="Times New Roman" w:hAnsi="Times New Roman" w:eastAsia="仿宋_GB2312" w:cs="Times New Roman"/>
                <w:color w:val="000000"/>
                <w:kern w:val="0"/>
                <w:sz w:val="21"/>
                <w:szCs w:val="21"/>
                <w:highlight w:val="none"/>
                <w:lang w:val="en-US" w:eastAsia="zh-CN" w:bidi="ar-SA"/>
              </w:rPr>
            </w:pPr>
            <w:r>
              <w:rPr>
                <w:rFonts w:ascii="Times New Roman" w:hAnsi="Times New Roman" w:eastAsia="仿宋_GB2312" w:cs="Times New Roman"/>
                <w:color w:val="000000"/>
                <w:kern w:val="0"/>
                <w:highlight w:val="none"/>
              </w:rPr>
              <w:t>XF 86</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709" w:type="dxa"/>
            <w:noWrap w:val="0"/>
            <w:vAlign w:val="center"/>
          </w:tcPr>
          <w:p>
            <w:pPr>
              <w:widowControl/>
              <w:spacing w:before="100" w:beforeAutospacing="1" w:after="100" w:afterAutospacing="1"/>
              <w:jc w:val="center"/>
              <w:rPr>
                <w:rFonts w:ascii="Times New Roman" w:hAnsi="Times New Roman" w:eastAsia="仿宋_GB2312" w:cs="Times New Roman"/>
                <w:color w:val="000000"/>
                <w:kern w:val="0"/>
                <w:highlight w:val="none"/>
              </w:rPr>
            </w:pPr>
            <w:r>
              <w:rPr>
                <w:rFonts w:ascii="Times New Roman" w:hAnsi="Times New Roman" w:eastAsia="仿宋_GB2312" w:cs="Times New Roman"/>
                <w:color w:val="000000"/>
                <w:kern w:val="0"/>
                <w:highlight w:val="none"/>
              </w:rPr>
              <w:t>5</w:t>
            </w:r>
          </w:p>
        </w:tc>
        <w:tc>
          <w:tcPr>
            <w:tcW w:w="3449" w:type="dxa"/>
            <w:gridSpan w:val="3"/>
            <w:noWrap w:val="0"/>
            <w:vAlign w:val="center"/>
          </w:tcPr>
          <w:p>
            <w:pPr>
              <w:widowControl/>
              <w:spacing w:before="100" w:beforeAutospacing="1" w:after="100" w:afterAutospacing="1"/>
              <w:jc w:val="center"/>
              <w:rPr>
                <w:rFonts w:hint="default" w:ascii="Times New Roman" w:hAnsi="Times New Roman" w:cs="Times New Roman"/>
                <w:color w:val="000000"/>
                <w:kern w:val="0"/>
                <w:highlight w:val="none"/>
              </w:rPr>
            </w:pPr>
            <w:r>
              <w:rPr>
                <w:rFonts w:hint="default" w:ascii="Times New Roman" w:hAnsi="Times New Roman" w:cs="Times New Roman"/>
                <w:color w:val="000000"/>
                <w:kern w:val="0"/>
                <w:highlight w:val="none"/>
              </w:rPr>
              <w:t>20℃±5℃有效喷射距离</w:t>
            </w:r>
          </w:p>
        </w:tc>
        <w:tc>
          <w:tcPr>
            <w:tcW w:w="2209" w:type="dxa"/>
            <w:noWrap w:val="0"/>
            <w:vAlign w:val="center"/>
          </w:tcPr>
          <w:p>
            <w:pPr>
              <w:widowControl/>
              <w:spacing w:before="100" w:beforeAutospacing="1" w:after="100" w:afterAutospacing="1"/>
              <w:jc w:val="center"/>
              <w:rPr>
                <w:rFonts w:ascii="Times New Roman" w:hAnsi="Times New Roman" w:eastAsia="仿宋_GB2312" w:cs="Times New Roman"/>
                <w:color w:val="000000"/>
                <w:kern w:val="0"/>
                <w:highlight w:val="none"/>
              </w:rPr>
            </w:pPr>
            <w:r>
              <w:rPr>
                <w:rFonts w:ascii="Times New Roman" w:hAnsi="Times New Roman" w:eastAsia="仿宋_GB2312" w:cs="Times New Roman"/>
                <w:color w:val="000000"/>
                <w:kern w:val="0"/>
                <w:highlight w:val="none"/>
              </w:rPr>
              <w:t>XF 86</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2009</w:t>
            </w:r>
          </w:p>
        </w:tc>
        <w:tc>
          <w:tcPr>
            <w:tcW w:w="2390" w:type="dxa"/>
            <w:noWrap w:val="0"/>
            <w:vAlign w:val="center"/>
          </w:tcPr>
          <w:p>
            <w:pPr>
              <w:widowControl/>
              <w:spacing w:before="100" w:beforeAutospacing="1" w:after="100" w:afterAutospacing="1"/>
              <w:jc w:val="center"/>
              <w:rPr>
                <w:rFonts w:ascii="Times New Roman" w:hAnsi="Times New Roman" w:eastAsia="仿宋_GB2312" w:cs="Times New Roman"/>
                <w:color w:val="000000"/>
                <w:kern w:val="0"/>
                <w:sz w:val="21"/>
                <w:szCs w:val="21"/>
                <w:highlight w:val="none"/>
                <w:lang w:val="en-US" w:eastAsia="zh-CN" w:bidi="ar-SA"/>
              </w:rPr>
            </w:pPr>
            <w:r>
              <w:rPr>
                <w:rFonts w:ascii="Times New Roman" w:hAnsi="Times New Roman" w:eastAsia="仿宋_GB2312" w:cs="Times New Roman"/>
                <w:color w:val="000000"/>
                <w:kern w:val="0"/>
                <w:highlight w:val="none"/>
              </w:rPr>
              <w:t>XF 86</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709" w:type="dxa"/>
            <w:vMerge w:val="restart"/>
            <w:noWrap w:val="0"/>
            <w:vAlign w:val="center"/>
          </w:tcPr>
          <w:p>
            <w:pPr>
              <w:widowControl/>
              <w:spacing w:before="100" w:beforeAutospacing="1" w:after="100" w:afterAutospacing="1"/>
              <w:jc w:val="center"/>
              <w:rPr>
                <w:rFonts w:ascii="Times New Roman" w:hAnsi="Times New Roman" w:eastAsia="仿宋_GB2312" w:cs="Times New Roman"/>
                <w:color w:val="000000"/>
                <w:kern w:val="0"/>
                <w:highlight w:val="none"/>
              </w:rPr>
            </w:pPr>
            <w:r>
              <w:rPr>
                <w:rFonts w:hint="eastAsia" w:ascii="Times New Roman" w:hAnsi="Times New Roman" w:eastAsia="仿宋_GB2312" w:cs="Times New Roman"/>
                <w:color w:val="000000"/>
                <w:kern w:val="0"/>
                <w:highlight w:val="none"/>
                <w:lang w:val="en-US" w:eastAsia="zh-CN"/>
              </w:rPr>
              <w:t>6</w:t>
            </w:r>
          </w:p>
        </w:tc>
        <w:tc>
          <w:tcPr>
            <w:tcW w:w="1274" w:type="dxa"/>
            <w:vMerge w:val="restart"/>
            <w:noWrap w:val="0"/>
            <w:vAlign w:val="center"/>
          </w:tcPr>
          <w:p>
            <w:pPr>
              <w:widowControl/>
              <w:spacing w:before="100" w:beforeAutospacing="1" w:after="100" w:afterAutospacing="1"/>
              <w:jc w:val="center"/>
              <w:rPr>
                <w:rFonts w:hint="eastAsia" w:ascii="宋体" w:hAnsi="宋体" w:cs="宋体"/>
                <w:color w:val="000000"/>
                <w:kern w:val="0"/>
                <w:highlight w:val="none"/>
              </w:rPr>
            </w:pPr>
            <w:r>
              <w:rPr>
                <w:rFonts w:hint="eastAsia" w:ascii="宋体" w:hAnsi="宋体" w:cs="宋体"/>
                <w:color w:val="000000"/>
                <w:kern w:val="0"/>
                <w:highlight w:val="none"/>
              </w:rPr>
              <w:t>机械强度</w:t>
            </w:r>
          </w:p>
        </w:tc>
        <w:tc>
          <w:tcPr>
            <w:tcW w:w="2175" w:type="dxa"/>
            <w:gridSpan w:val="2"/>
            <w:noWrap w:val="0"/>
            <w:vAlign w:val="center"/>
          </w:tcPr>
          <w:p>
            <w:pPr>
              <w:widowControl/>
              <w:spacing w:before="100" w:beforeAutospacing="1" w:after="100" w:afterAutospacing="1"/>
              <w:jc w:val="center"/>
              <w:rPr>
                <w:rFonts w:hint="eastAsia" w:ascii="宋体" w:hAnsi="宋体" w:cs="宋体"/>
                <w:color w:val="000000"/>
                <w:kern w:val="0"/>
                <w:highlight w:val="none"/>
              </w:rPr>
            </w:pPr>
            <w:r>
              <w:rPr>
                <w:rFonts w:hint="eastAsia" w:ascii="宋体" w:hAnsi="宋体" w:cs="宋体"/>
                <w:color w:val="000000"/>
                <w:kern w:val="0"/>
                <w:highlight w:val="none"/>
              </w:rPr>
              <w:t>变形试验</w:t>
            </w:r>
          </w:p>
        </w:tc>
        <w:tc>
          <w:tcPr>
            <w:tcW w:w="2209" w:type="dxa"/>
            <w:noWrap w:val="0"/>
            <w:vAlign w:val="center"/>
          </w:tcPr>
          <w:p>
            <w:pPr>
              <w:widowControl/>
              <w:spacing w:before="100" w:beforeAutospacing="1" w:after="100" w:afterAutospacing="1"/>
              <w:jc w:val="center"/>
              <w:rPr>
                <w:rFonts w:ascii="Times New Roman" w:hAnsi="Times New Roman" w:eastAsia="仿宋_GB2312" w:cs="Times New Roman"/>
                <w:color w:val="000000"/>
                <w:kern w:val="0"/>
                <w:highlight w:val="none"/>
              </w:rPr>
            </w:pPr>
            <w:r>
              <w:rPr>
                <w:rFonts w:ascii="Times New Roman" w:hAnsi="Times New Roman" w:eastAsia="仿宋_GB2312" w:cs="Times New Roman"/>
                <w:color w:val="000000"/>
                <w:kern w:val="0"/>
                <w:highlight w:val="none"/>
              </w:rPr>
              <w:t>XF 86</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2009</w:t>
            </w:r>
          </w:p>
        </w:tc>
        <w:tc>
          <w:tcPr>
            <w:tcW w:w="2390" w:type="dxa"/>
            <w:noWrap w:val="0"/>
            <w:vAlign w:val="center"/>
          </w:tcPr>
          <w:p>
            <w:pPr>
              <w:widowControl/>
              <w:spacing w:before="100" w:beforeAutospacing="1" w:after="100" w:afterAutospacing="1"/>
              <w:jc w:val="center"/>
              <w:rPr>
                <w:rFonts w:ascii="Times New Roman" w:hAnsi="Times New Roman" w:eastAsia="仿宋_GB2312" w:cs="Times New Roman"/>
                <w:color w:val="000000"/>
                <w:kern w:val="0"/>
                <w:highlight w:val="none"/>
              </w:rPr>
            </w:pPr>
            <w:r>
              <w:rPr>
                <w:rFonts w:ascii="Times New Roman" w:hAnsi="Times New Roman" w:eastAsia="仿宋_GB2312" w:cs="Times New Roman"/>
                <w:color w:val="000000"/>
                <w:kern w:val="0"/>
                <w:highlight w:val="none"/>
              </w:rPr>
              <w:t>XF 86</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709" w:type="dxa"/>
            <w:vMerge w:val="continue"/>
            <w:noWrap w:val="0"/>
            <w:vAlign w:val="center"/>
          </w:tcPr>
          <w:p>
            <w:pPr>
              <w:widowControl/>
              <w:spacing w:before="100" w:beforeAutospacing="1" w:after="100" w:afterAutospacing="1"/>
              <w:jc w:val="center"/>
              <w:rPr>
                <w:rFonts w:ascii="Times New Roman" w:hAnsi="Times New Roman" w:eastAsia="仿宋_GB2312" w:cs="Times New Roman"/>
                <w:color w:val="000000"/>
                <w:kern w:val="0"/>
                <w:highlight w:val="none"/>
              </w:rPr>
            </w:pPr>
          </w:p>
        </w:tc>
        <w:tc>
          <w:tcPr>
            <w:tcW w:w="1274" w:type="dxa"/>
            <w:vMerge w:val="continue"/>
            <w:noWrap w:val="0"/>
            <w:vAlign w:val="center"/>
          </w:tcPr>
          <w:p>
            <w:pPr>
              <w:widowControl/>
              <w:spacing w:before="100" w:beforeAutospacing="1" w:after="100" w:afterAutospacing="1"/>
              <w:jc w:val="center"/>
              <w:rPr>
                <w:rFonts w:hint="eastAsia" w:ascii="宋体" w:hAnsi="宋体" w:cs="宋体"/>
                <w:color w:val="000000"/>
                <w:kern w:val="0"/>
                <w:highlight w:val="none"/>
              </w:rPr>
            </w:pPr>
          </w:p>
        </w:tc>
        <w:tc>
          <w:tcPr>
            <w:tcW w:w="2175" w:type="dxa"/>
            <w:gridSpan w:val="2"/>
            <w:noWrap w:val="0"/>
            <w:vAlign w:val="center"/>
          </w:tcPr>
          <w:p>
            <w:pPr>
              <w:widowControl/>
              <w:spacing w:before="100" w:beforeAutospacing="1" w:after="100" w:afterAutospacing="1"/>
              <w:jc w:val="center"/>
              <w:rPr>
                <w:rFonts w:hint="eastAsia" w:ascii="宋体" w:hAnsi="宋体" w:cs="宋体"/>
                <w:color w:val="000000"/>
                <w:kern w:val="0"/>
                <w:highlight w:val="none"/>
              </w:rPr>
            </w:pPr>
            <w:r>
              <w:rPr>
                <w:rFonts w:hint="eastAsia" w:ascii="宋体" w:hAnsi="宋体" w:cs="宋体"/>
                <w:color w:val="000000"/>
                <w:kern w:val="0"/>
                <w:highlight w:val="none"/>
              </w:rPr>
              <w:t>水压爆破试验</w:t>
            </w:r>
          </w:p>
        </w:tc>
        <w:tc>
          <w:tcPr>
            <w:tcW w:w="2209" w:type="dxa"/>
            <w:noWrap w:val="0"/>
            <w:vAlign w:val="center"/>
          </w:tcPr>
          <w:p>
            <w:pPr>
              <w:widowControl/>
              <w:spacing w:before="100" w:beforeAutospacing="1" w:after="100" w:afterAutospacing="1"/>
              <w:jc w:val="center"/>
              <w:rPr>
                <w:rFonts w:ascii="Times New Roman" w:hAnsi="Times New Roman" w:eastAsia="仿宋_GB2312" w:cs="Times New Roman"/>
                <w:color w:val="000000"/>
                <w:kern w:val="0"/>
                <w:highlight w:val="none"/>
              </w:rPr>
            </w:pPr>
            <w:r>
              <w:rPr>
                <w:rFonts w:ascii="Times New Roman" w:hAnsi="Times New Roman" w:eastAsia="仿宋_GB2312" w:cs="Times New Roman"/>
                <w:color w:val="000000"/>
                <w:kern w:val="0"/>
                <w:highlight w:val="none"/>
              </w:rPr>
              <w:t>XF 86</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2009</w:t>
            </w:r>
          </w:p>
        </w:tc>
        <w:tc>
          <w:tcPr>
            <w:tcW w:w="2390" w:type="dxa"/>
            <w:noWrap w:val="0"/>
            <w:vAlign w:val="center"/>
          </w:tcPr>
          <w:p>
            <w:pPr>
              <w:widowControl/>
              <w:spacing w:before="100" w:beforeAutospacing="1" w:after="100" w:afterAutospacing="1"/>
              <w:jc w:val="center"/>
              <w:rPr>
                <w:rFonts w:ascii="Times New Roman" w:hAnsi="Times New Roman" w:eastAsia="仿宋_GB2312" w:cs="Times New Roman"/>
                <w:color w:val="000000"/>
                <w:kern w:val="0"/>
                <w:highlight w:val="none"/>
              </w:rPr>
            </w:pPr>
            <w:r>
              <w:rPr>
                <w:rFonts w:ascii="Times New Roman" w:hAnsi="Times New Roman" w:eastAsia="仿宋_GB2312" w:cs="Times New Roman"/>
                <w:color w:val="000000"/>
                <w:kern w:val="0"/>
                <w:highlight w:val="none"/>
              </w:rPr>
              <w:t>XF 86</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709" w:type="dxa"/>
            <w:vMerge w:val="restart"/>
            <w:noWrap w:val="0"/>
            <w:vAlign w:val="center"/>
          </w:tcPr>
          <w:p>
            <w:pPr>
              <w:widowControl/>
              <w:spacing w:before="100" w:beforeAutospacing="1" w:after="100" w:afterAutospacing="1"/>
              <w:jc w:val="center"/>
              <w:rPr>
                <w:rFonts w:ascii="Times New Roman" w:hAnsi="Times New Roman" w:eastAsia="仿宋_GB2312" w:cs="Times New Roman"/>
                <w:color w:val="000000"/>
                <w:kern w:val="0"/>
                <w:highlight w:val="none"/>
              </w:rPr>
            </w:pPr>
            <w:r>
              <w:rPr>
                <w:rFonts w:hint="eastAsia" w:ascii="Times New Roman" w:hAnsi="Times New Roman" w:eastAsia="仿宋_GB2312" w:cs="Times New Roman"/>
                <w:color w:val="000000"/>
                <w:kern w:val="0"/>
                <w:highlight w:val="none"/>
                <w:lang w:val="en-US" w:eastAsia="zh-CN"/>
              </w:rPr>
              <w:t>7</w:t>
            </w:r>
          </w:p>
        </w:tc>
        <w:tc>
          <w:tcPr>
            <w:tcW w:w="1274" w:type="dxa"/>
            <w:vMerge w:val="restart"/>
            <w:noWrap w:val="0"/>
            <w:vAlign w:val="center"/>
          </w:tcPr>
          <w:p>
            <w:pPr>
              <w:keepNext w:val="0"/>
              <w:keepLines w:val="0"/>
              <w:pageBreakBefore w:val="0"/>
              <w:widowControl/>
              <w:kinsoku/>
              <w:wordWrap/>
              <w:overflowPunct/>
              <w:topLinePunct w:val="0"/>
              <w:autoSpaceDE/>
              <w:autoSpaceDN/>
              <w:bidi w:val="0"/>
              <w:adjustRightInd/>
              <w:snapToGrid/>
              <w:spacing w:beforeAutospacing="0" w:afterAutospacing="0"/>
              <w:jc w:val="center"/>
              <w:textAlignment w:val="auto"/>
              <w:rPr>
                <w:rFonts w:hint="eastAsia" w:ascii="宋体" w:hAnsi="宋体" w:cs="宋体"/>
                <w:color w:val="000000"/>
                <w:kern w:val="0"/>
                <w:highlight w:val="none"/>
              </w:rPr>
            </w:pPr>
            <w:r>
              <w:rPr>
                <w:rFonts w:hint="eastAsia" w:ascii="宋体" w:hAnsi="宋体" w:cs="宋体"/>
                <w:color w:val="000000"/>
                <w:kern w:val="0"/>
                <w:highlight w:val="none"/>
              </w:rPr>
              <w:t>材料</w:t>
            </w:r>
          </w:p>
          <w:p>
            <w:pPr>
              <w:keepNext w:val="0"/>
              <w:keepLines w:val="0"/>
              <w:pageBreakBefore w:val="0"/>
              <w:widowControl/>
              <w:kinsoku/>
              <w:wordWrap/>
              <w:overflowPunct/>
              <w:topLinePunct w:val="0"/>
              <w:autoSpaceDE/>
              <w:autoSpaceDN/>
              <w:bidi w:val="0"/>
              <w:adjustRightInd/>
              <w:snapToGrid/>
              <w:spacing w:beforeAutospacing="0" w:afterAutospacing="0"/>
              <w:jc w:val="center"/>
              <w:textAlignment w:val="auto"/>
              <w:rPr>
                <w:rFonts w:hint="eastAsia" w:ascii="宋体" w:hAnsi="宋体" w:cs="宋体"/>
                <w:color w:val="000000"/>
                <w:kern w:val="0"/>
                <w:highlight w:val="none"/>
              </w:rPr>
            </w:pPr>
            <w:r>
              <w:rPr>
                <w:rFonts w:hint="eastAsia" w:ascii="宋体" w:hAnsi="宋体" w:cs="宋体"/>
                <w:color w:val="000000"/>
                <w:kern w:val="0"/>
                <w:highlight w:val="none"/>
              </w:rPr>
              <w:t>（灭火剂）</w:t>
            </w:r>
          </w:p>
        </w:tc>
        <w:tc>
          <w:tcPr>
            <w:tcW w:w="879" w:type="dxa"/>
            <w:noWrap w:val="0"/>
            <w:vAlign w:val="center"/>
          </w:tcPr>
          <w:p>
            <w:pPr>
              <w:widowControl/>
              <w:snapToGrid w:val="0"/>
              <w:jc w:val="center"/>
              <w:rPr>
                <w:rFonts w:hint="eastAsia" w:ascii="宋体" w:hAnsi="宋体" w:cs="宋体"/>
                <w:kern w:val="0"/>
                <w:highlight w:val="none"/>
              </w:rPr>
            </w:pPr>
            <w:r>
              <w:rPr>
                <w:rFonts w:hint="eastAsia" w:ascii="宋体" w:hAnsi="宋体" w:cs="宋体"/>
                <w:kern w:val="0"/>
                <w:highlight w:val="none"/>
              </w:rPr>
              <w:t>干粉灭火剂</w:t>
            </w:r>
          </w:p>
        </w:tc>
        <w:tc>
          <w:tcPr>
            <w:tcW w:w="1296" w:type="dxa"/>
            <w:noWrap w:val="0"/>
            <w:vAlign w:val="center"/>
          </w:tcPr>
          <w:p>
            <w:pPr>
              <w:widowControl/>
              <w:snapToGrid w:val="0"/>
              <w:jc w:val="center"/>
              <w:rPr>
                <w:rFonts w:hint="eastAsia" w:ascii="宋体" w:hAnsi="宋体" w:cs="宋体"/>
                <w:kern w:val="0"/>
                <w:highlight w:val="none"/>
              </w:rPr>
            </w:pPr>
            <w:r>
              <w:rPr>
                <w:rFonts w:hint="eastAsia" w:ascii="宋体" w:hAnsi="宋体" w:cs="宋体"/>
                <w:kern w:val="0"/>
                <w:highlight w:val="none"/>
                <w:lang w:val="en-US" w:eastAsia="zh-CN"/>
              </w:rPr>
              <w:t>第一</w:t>
            </w:r>
            <w:r>
              <w:rPr>
                <w:rFonts w:hint="eastAsia" w:ascii="宋体" w:hAnsi="宋体" w:cs="宋体"/>
                <w:kern w:val="0"/>
                <w:highlight w:val="none"/>
              </w:rPr>
              <w:t>主要组分含量</w:t>
            </w:r>
          </w:p>
        </w:tc>
        <w:tc>
          <w:tcPr>
            <w:tcW w:w="2209" w:type="dxa"/>
            <w:noWrap w:val="0"/>
            <w:vAlign w:val="center"/>
          </w:tcPr>
          <w:p>
            <w:pPr>
              <w:widowControl/>
              <w:spacing w:before="100" w:beforeAutospacing="1" w:after="100" w:afterAutospacing="1"/>
              <w:jc w:val="center"/>
              <w:rPr>
                <w:rFonts w:hint="default" w:ascii="Times New Roman" w:hAnsi="Times New Roman" w:eastAsia="仿宋_GB2312" w:cs="Times New Roman"/>
                <w:color w:val="000000"/>
                <w:kern w:val="0"/>
                <w:highlight w:val="none"/>
                <w:lang w:val="en-US" w:eastAsia="zh-CN"/>
              </w:rPr>
            </w:pPr>
            <w:r>
              <w:rPr>
                <w:rFonts w:ascii="Times New Roman" w:hAnsi="Times New Roman" w:eastAsia="仿宋_GB2312" w:cs="Times New Roman"/>
                <w:kern w:val="0"/>
                <w:highlight w:val="none"/>
              </w:rPr>
              <w:t>GB 4066</w:t>
            </w:r>
            <w:r>
              <w:rPr>
                <w:rFonts w:ascii="Times New Roman" w:hAnsi="Times New Roman"/>
                <w:szCs w:val="22"/>
                <w:highlight w:val="none"/>
              </w:rPr>
              <w:t>—</w:t>
            </w:r>
            <w:r>
              <w:rPr>
                <w:rFonts w:hint="eastAsia" w:ascii="Times New Roman" w:hAnsi="Times New Roman" w:eastAsia="仿宋_GB2312" w:cs="Times New Roman"/>
                <w:kern w:val="0"/>
                <w:highlight w:val="none"/>
                <w:lang w:val="en-US" w:eastAsia="zh-CN"/>
              </w:rPr>
              <w:t>2017</w:t>
            </w:r>
          </w:p>
        </w:tc>
        <w:tc>
          <w:tcPr>
            <w:tcW w:w="2390" w:type="dxa"/>
            <w:noWrap w:val="0"/>
            <w:vAlign w:val="center"/>
          </w:tcPr>
          <w:p>
            <w:pPr>
              <w:widowControl/>
              <w:spacing w:before="100" w:beforeAutospacing="1" w:after="100" w:afterAutospacing="1"/>
              <w:jc w:val="center"/>
              <w:rPr>
                <w:rFonts w:ascii="Times New Roman" w:hAnsi="Times New Roman" w:eastAsia="仿宋_GB2312" w:cs="Times New Roman"/>
                <w:kern w:val="0"/>
                <w:highlight w:val="none"/>
              </w:rPr>
            </w:pPr>
            <w:r>
              <w:rPr>
                <w:rFonts w:ascii="Times New Roman" w:hAnsi="Times New Roman" w:eastAsia="仿宋_GB2312" w:cs="Times New Roman"/>
                <w:kern w:val="0"/>
                <w:highlight w:val="none"/>
              </w:rPr>
              <w:t>GB 4066</w:t>
            </w:r>
            <w:r>
              <w:rPr>
                <w:rFonts w:ascii="Times New Roman" w:hAnsi="Times New Roman"/>
                <w:szCs w:val="22"/>
                <w:highlight w:val="none"/>
              </w:rPr>
              <w:t>—</w:t>
            </w:r>
            <w:r>
              <w:rPr>
                <w:rFonts w:hint="eastAsia" w:ascii="Times New Roman" w:hAnsi="Times New Roman" w:eastAsia="仿宋_GB2312" w:cs="Times New Roman"/>
                <w:kern w:val="0"/>
                <w:highlight w:val="none"/>
                <w:lang w:val="en-US" w:eastAsia="zh-CN"/>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709" w:type="dxa"/>
            <w:vMerge w:val="continue"/>
            <w:noWrap w:val="0"/>
            <w:vAlign w:val="center"/>
          </w:tcPr>
          <w:p>
            <w:pPr>
              <w:widowControl/>
              <w:spacing w:before="100" w:beforeAutospacing="1" w:after="100" w:afterAutospacing="1"/>
              <w:jc w:val="center"/>
              <w:rPr>
                <w:rFonts w:ascii="Times New Roman" w:hAnsi="Times New Roman" w:eastAsia="仿宋_GB2312" w:cs="Times New Roman"/>
                <w:color w:val="000000"/>
                <w:kern w:val="0"/>
                <w:highlight w:val="none"/>
              </w:rPr>
            </w:pPr>
          </w:p>
        </w:tc>
        <w:tc>
          <w:tcPr>
            <w:tcW w:w="1274" w:type="dxa"/>
            <w:vMerge w:val="continue"/>
            <w:noWrap w:val="0"/>
            <w:vAlign w:val="center"/>
          </w:tcPr>
          <w:p>
            <w:pPr>
              <w:widowControl/>
              <w:spacing w:before="100" w:beforeAutospacing="1" w:after="100" w:afterAutospacing="1"/>
              <w:jc w:val="center"/>
              <w:rPr>
                <w:rFonts w:hint="eastAsia" w:ascii="宋体" w:hAnsi="宋体" w:cs="宋体"/>
                <w:color w:val="000000"/>
                <w:kern w:val="0"/>
                <w:highlight w:val="none"/>
              </w:rPr>
            </w:pPr>
          </w:p>
        </w:tc>
        <w:tc>
          <w:tcPr>
            <w:tcW w:w="879" w:type="dxa"/>
            <w:vMerge w:val="restart"/>
            <w:noWrap w:val="0"/>
            <w:vAlign w:val="center"/>
          </w:tcPr>
          <w:p>
            <w:pPr>
              <w:widowControl/>
              <w:snapToGrid w:val="0"/>
              <w:jc w:val="center"/>
              <w:rPr>
                <w:rFonts w:hint="eastAsia" w:ascii="宋体" w:hAnsi="宋体" w:cs="宋体"/>
                <w:color w:val="000000"/>
                <w:kern w:val="0"/>
                <w:highlight w:val="none"/>
              </w:rPr>
            </w:pPr>
            <w:r>
              <w:rPr>
                <w:rFonts w:hint="eastAsia" w:ascii="宋体" w:hAnsi="宋体" w:cs="宋体"/>
                <w:color w:val="000000"/>
                <w:kern w:val="0"/>
                <w:highlight w:val="none"/>
              </w:rPr>
              <w:t>水系灭火剂</w:t>
            </w:r>
          </w:p>
        </w:tc>
        <w:tc>
          <w:tcPr>
            <w:tcW w:w="129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heme="minorHAnsi" w:hAnsiTheme="minorHAnsi" w:eastAsiaTheme="minorEastAsia" w:cstheme="minorBidi"/>
                <w:kern w:val="2"/>
                <w:sz w:val="21"/>
                <w:szCs w:val="21"/>
                <w:highlight w:val="none"/>
                <w:lang w:val="en-US" w:eastAsia="zh-CN" w:bidi="ar-SA"/>
              </w:rPr>
            </w:pPr>
            <w:r>
              <w:rPr>
                <w:rFonts w:hint="eastAsia"/>
                <w:szCs w:val="21"/>
                <w:highlight w:val="none"/>
              </w:rPr>
              <w:t>凝固点</w:t>
            </w:r>
          </w:p>
        </w:tc>
        <w:tc>
          <w:tcPr>
            <w:tcW w:w="220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_GB2312" w:cs="Times New Roman"/>
                <w:color w:val="000000"/>
                <w:kern w:val="0"/>
                <w:highlight w:val="none"/>
                <w:lang w:val="en-US" w:eastAsia="zh-CN"/>
              </w:rPr>
            </w:pPr>
            <w:r>
              <w:rPr>
                <w:rFonts w:ascii="Times New Roman" w:hAnsi="Times New Roman" w:eastAsia="仿宋_GB2312" w:cs="Times New Roman"/>
                <w:color w:val="000000"/>
                <w:kern w:val="0"/>
                <w:highlight w:val="none"/>
              </w:rPr>
              <w:t>GB 17835</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2024</w:t>
            </w:r>
          </w:p>
        </w:tc>
        <w:tc>
          <w:tcPr>
            <w:tcW w:w="2390" w:type="dxa"/>
            <w:noWrap w:val="0"/>
            <w:vAlign w:val="center"/>
          </w:tcPr>
          <w:p>
            <w:pPr>
              <w:widowControl/>
              <w:spacing w:before="100" w:beforeAutospacing="1" w:after="100" w:afterAutospacing="1"/>
              <w:jc w:val="center"/>
              <w:rPr>
                <w:rFonts w:ascii="Times New Roman" w:hAnsi="Times New Roman" w:eastAsia="仿宋_GB2312" w:cs="Times New Roman"/>
                <w:color w:val="000000"/>
                <w:kern w:val="0"/>
                <w:highlight w:val="none"/>
              </w:rPr>
            </w:pPr>
            <w:r>
              <w:rPr>
                <w:rFonts w:ascii="Times New Roman" w:hAnsi="Times New Roman" w:eastAsia="仿宋_GB2312" w:cs="Times New Roman"/>
                <w:color w:val="000000"/>
                <w:kern w:val="0"/>
                <w:highlight w:val="none"/>
              </w:rPr>
              <w:t>GB 17835</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709" w:type="dxa"/>
            <w:vMerge w:val="continue"/>
            <w:noWrap w:val="0"/>
            <w:vAlign w:val="center"/>
          </w:tcPr>
          <w:p>
            <w:pPr>
              <w:widowControl/>
              <w:spacing w:before="100" w:beforeAutospacing="1" w:after="100" w:afterAutospacing="1"/>
              <w:jc w:val="center"/>
              <w:rPr>
                <w:rFonts w:ascii="Times New Roman" w:hAnsi="Times New Roman" w:eastAsia="仿宋_GB2312" w:cs="Times New Roman"/>
                <w:color w:val="000000"/>
                <w:kern w:val="0"/>
                <w:highlight w:val="none"/>
              </w:rPr>
            </w:pPr>
          </w:p>
        </w:tc>
        <w:tc>
          <w:tcPr>
            <w:tcW w:w="1274" w:type="dxa"/>
            <w:vMerge w:val="continue"/>
            <w:noWrap w:val="0"/>
            <w:vAlign w:val="center"/>
          </w:tcPr>
          <w:p>
            <w:pPr>
              <w:widowControl/>
              <w:spacing w:before="100" w:beforeAutospacing="1" w:after="100" w:afterAutospacing="1"/>
              <w:jc w:val="center"/>
              <w:rPr>
                <w:rFonts w:hint="eastAsia" w:ascii="宋体" w:hAnsi="宋体" w:cs="宋体"/>
                <w:color w:val="000000"/>
                <w:kern w:val="0"/>
                <w:highlight w:val="none"/>
              </w:rPr>
            </w:pPr>
          </w:p>
        </w:tc>
        <w:tc>
          <w:tcPr>
            <w:tcW w:w="879" w:type="dxa"/>
            <w:vMerge w:val="continue"/>
            <w:noWrap w:val="0"/>
            <w:vAlign w:val="center"/>
          </w:tcPr>
          <w:p>
            <w:pPr>
              <w:widowControl/>
              <w:snapToGrid w:val="0"/>
              <w:jc w:val="center"/>
              <w:rPr>
                <w:rFonts w:hint="eastAsia" w:ascii="宋体" w:hAnsi="宋体" w:cs="宋体"/>
                <w:color w:val="000000"/>
                <w:kern w:val="0"/>
                <w:highlight w:val="none"/>
              </w:rPr>
            </w:pPr>
          </w:p>
        </w:tc>
        <w:tc>
          <w:tcPr>
            <w:tcW w:w="129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heme="minorHAnsi" w:hAnsiTheme="minorHAnsi" w:eastAsiaTheme="minorEastAsia" w:cstheme="minorBidi"/>
                <w:kern w:val="2"/>
                <w:sz w:val="21"/>
                <w:szCs w:val="21"/>
                <w:highlight w:val="none"/>
                <w:lang w:val="en-US" w:eastAsia="zh-CN" w:bidi="ar-SA"/>
              </w:rPr>
            </w:pPr>
            <w:r>
              <w:rPr>
                <w:rFonts w:hint="eastAsia"/>
                <w:szCs w:val="21"/>
                <w:highlight w:val="none"/>
              </w:rPr>
              <w:t>pH值</w:t>
            </w:r>
          </w:p>
        </w:tc>
        <w:tc>
          <w:tcPr>
            <w:tcW w:w="220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Theme="minorHAnsi" w:hAnsiTheme="minorHAnsi" w:eastAsiaTheme="minorEastAsia" w:cstheme="minorBidi"/>
                <w:kern w:val="2"/>
                <w:sz w:val="21"/>
                <w:szCs w:val="21"/>
                <w:highlight w:val="none"/>
                <w:lang w:val="en-US" w:eastAsia="zh-CN" w:bidi="ar-SA"/>
              </w:rPr>
            </w:pPr>
            <w:bookmarkStart w:id="4" w:name="OLE_LINK5"/>
            <w:r>
              <w:rPr>
                <w:rFonts w:ascii="Times New Roman" w:hAnsi="Times New Roman" w:eastAsia="仿宋_GB2312" w:cs="Times New Roman"/>
                <w:color w:val="000000"/>
                <w:kern w:val="0"/>
                <w:highlight w:val="none"/>
              </w:rPr>
              <w:t>GB 17835</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2024</w:t>
            </w:r>
            <w:bookmarkEnd w:id="4"/>
          </w:p>
        </w:tc>
        <w:tc>
          <w:tcPr>
            <w:tcW w:w="23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Theme="minorHAnsi" w:hAnsiTheme="minorHAnsi" w:eastAsiaTheme="minorEastAsia" w:cstheme="minorBidi"/>
                <w:kern w:val="2"/>
                <w:sz w:val="21"/>
                <w:szCs w:val="21"/>
                <w:highlight w:val="none"/>
                <w:lang w:val="en-US" w:eastAsia="zh-CN" w:bidi="ar-SA"/>
              </w:rPr>
            </w:pPr>
            <w:r>
              <w:rPr>
                <w:rFonts w:ascii="Times New Roman" w:hAnsi="Times New Roman" w:eastAsia="仿宋_GB2312" w:cs="Times New Roman"/>
                <w:color w:val="000000"/>
                <w:kern w:val="0"/>
                <w:highlight w:val="none"/>
              </w:rPr>
              <w:t>GB 17835</w:t>
            </w:r>
            <w:r>
              <w:rPr>
                <w:rFonts w:ascii="Times New Roman" w:hAnsi="Times New Roman"/>
                <w:szCs w:val="22"/>
                <w:highlight w:val="none"/>
              </w:rPr>
              <w:t>—</w:t>
            </w:r>
            <w:r>
              <w:rPr>
                <w:rFonts w:hint="eastAsia" w:ascii="Times New Roman" w:hAnsi="Times New Roman" w:eastAsia="仿宋_GB2312" w:cs="Times New Roman"/>
                <w:color w:val="000000"/>
                <w:kern w:val="0"/>
                <w:highlight w:val="none"/>
                <w:lang w:val="en-US" w:eastAsia="zh-CN"/>
              </w:rPr>
              <w:t>2024</w:t>
            </w:r>
          </w:p>
        </w:tc>
      </w:tr>
    </w:tbl>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highlight w:val="none"/>
          <w:lang w:val="en-US"/>
        </w:rPr>
      </w:pPr>
      <w:r>
        <w:rPr>
          <w:rFonts w:hint="eastAsia" w:ascii="Times New Roman" w:hAnsi="Times New Roman" w:eastAsia="黑体" w:cs="黑体"/>
          <w:sz w:val="22"/>
          <w:szCs w:val="28"/>
          <w:highlight w:val="none"/>
          <w:lang w:val="en-US" w:eastAsia="zh-CN"/>
        </w:rPr>
        <w:t>3 判定规则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highlight w:val="none"/>
          <w:lang w:val="en-US" w:eastAsia="zh-CN"/>
        </w:rPr>
      </w:pPr>
      <w:r>
        <w:rPr>
          <w:rFonts w:hint="eastAsia" w:ascii="Times New Roman" w:hAnsi="Times New Roman" w:eastAsia="宋体" w:cs="宋体"/>
          <w:sz w:val="22"/>
          <w:szCs w:val="28"/>
          <w:highlight w:val="none"/>
          <w:lang w:val="en-US" w:eastAsia="zh-CN"/>
        </w:rPr>
        <w:t>3.1 依据标准</w:t>
      </w:r>
    </w:p>
    <w:p>
      <w:pPr>
        <w:widowControl/>
        <w:spacing w:line="440" w:lineRule="exact"/>
        <w:ind w:firstLine="420" w:firstLineChars="200"/>
        <w:jc w:val="left"/>
        <w:rPr>
          <w:rFonts w:ascii="Times New Roman" w:hAnsi="Times New Roman" w:cs="Times New Roman"/>
          <w:color w:val="000000"/>
          <w:kern w:val="0"/>
          <w:highlight w:val="none"/>
        </w:rPr>
      </w:pPr>
      <w:r>
        <w:rPr>
          <w:rFonts w:ascii="Times New Roman" w:hAnsi="Times New Roman" w:cs="Times New Roman"/>
          <w:color w:val="000000"/>
          <w:kern w:val="0"/>
          <w:highlight w:val="none"/>
        </w:rPr>
        <w:t>GB</w:t>
      </w:r>
      <w:r>
        <w:rPr>
          <w:rFonts w:hint="eastAsia" w:ascii="Times New Roman" w:hAnsi="Times New Roman" w:cs="Times New Roman"/>
          <w:color w:val="000000"/>
          <w:kern w:val="0"/>
          <w:highlight w:val="none"/>
          <w:lang w:val="en-US" w:eastAsia="zh-CN"/>
        </w:rPr>
        <w:t xml:space="preserve"> </w:t>
      </w:r>
      <w:r>
        <w:rPr>
          <w:rFonts w:ascii="Times New Roman" w:hAnsi="Times New Roman" w:cs="Times New Roman"/>
          <w:color w:val="000000"/>
          <w:kern w:val="0"/>
          <w:highlight w:val="none"/>
        </w:rPr>
        <w:t>4351</w:t>
      </w:r>
      <w:r>
        <w:rPr>
          <w:rFonts w:ascii="Times New Roman" w:hAnsi="Times New Roman"/>
          <w:szCs w:val="22"/>
          <w:highlight w:val="none"/>
        </w:rPr>
        <w:t>—</w:t>
      </w:r>
      <w:r>
        <w:rPr>
          <w:rFonts w:hint="eastAsia" w:ascii="Times New Roman" w:hAnsi="Times New Roman" w:cs="Times New Roman"/>
          <w:color w:val="000000"/>
          <w:kern w:val="0"/>
          <w:highlight w:val="none"/>
          <w:lang w:val="en-US" w:eastAsia="zh-CN"/>
        </w:rPr>
        <w:t>2023</w:t>
      </w:r>
      <w:r>
        <w:rPr>
          <w:rFonts w:ascii="Times New Roman" w:hAnsi="Times New Roman" w:cs="Times New Roman"/>
          <w:color w:val="000000"/>
          <w:kern w:val="0"/>
          <w:highlight w:val="none"/>
        </w:rPr>
        <w:t xml:space="preserve"> 手提式灭火器</w:t>
      </w:r>
    </w:p>
    <w:p>
      <w:pPr>
        <w:widowControl/>
        <w:spacing w:line="440" w:lineRule="exact"/>
        <w:ind w:firstLine="420" w:firstLineChars="200"/>
        <w:jc w:val="left"/>
        <w:rPr>
          <w:rFonts w:ascii="Times New Roman" w:hAnsi="Times New Roman" w:cs="Times New Roman"/>
          <w:color w:val="000000"/>
          <w:kern w:val="0"/>
          <w:highlight w:val="none"/>
        </w:rPr>
      </w:pPr>
      <w:r>
        <w:rPr>
          <w:rFonts w:ascii="Times New Roman" w:hAnsi="Times New Roman" w:cs="Times New Roman"/>
          <w:color w:val="000000"/>
          <w:kern w:val="0"/>
          <w:highlight w:val="none"/>
        </w:rPr>
        <w:t>GB 8109</w:t>
      </w:r>
      <w:r>
        <w:rPr>
          <w:rFonts w:ascii="Times New Roman" w:hAnsi="Times New Roman"/>
          <w:szCs w:val="22"/>
          <w:highlight w:val="none"/>
        </w:rPr>
        <w:t>—</w:t>
      </w:r>
      <w:r>
        <w:rPr>
          <w:rFonts w:hint="eastAsia" w:ascii="Times New Roman" w:hAnsi="Times New Roman" w:cs="Times New Roman"/>
          <w:color w:val="000000"/>
          <w:kern w:val="0"/>
          <w:highlight w:val="none"/>
          <w:lang w:val="en-US" w:eastAsia="zh-CN"/>
        </w:rPr>
        <w:t xml:space="preserve">2023 </w:t>
      </w:r>
      <w:r>
        <w:rPr>
          <w:rFonts w:ascii="Times New Roman" w:hAnsi="Times New Roman" w:cs="Times New Roman"/>
          <w:color w:val="000000"/>
          <w:kern w:val="0"/>
          <w:highlight w:val="none"/>
        </w:rPr>
        <w:t>推车式灭火器</w:t>
      </w:r>
    </w:p>
    <w:p>
      <w:pPr>
        <w:snapToGrid w:val="0"/>
        <w:spacing w:line="440" w:lineRule="exact"/>
        <w:ind w:firstLine="420" w:firstLineChars="200"/>
        <w:rPr>
          <w:rFonts w:ascii="Times New Roman" w:hAnsi="Times New Roman" w:cs="Times New Roman"/>
          <w:color w:val="000000"/>
          <w:kern w:val="0"/>
          <w:highlight w:val="none"/>
        </w:rPr>
      </w:pPr>
      <w:r>
        <w:rPr>
          <w:rFonts w:ascii="Times New Roman" w:hAnsi="Times New Roman" w:cs="Times New Roman"/>
          <w:color w:val="000000"/>
          <w:kern w:val="0"/>
          <w:highlight w:val="none"/>
        </w:rPr>
        <w:t>XF 86</w:t>
      </w:r>
      <w:r>
        <w:rPr>
          <w:rFonts w:ascii="Times New Roman" w:hAnsi="Times New Roman"/>
          <w:szCs w:val="22"/>
          <w:highlight w:val="none"/>
        </w:rPr>
        <w:t>—</w:t>
      </w:r>
      <w:r>
        <w:rPr>
          <w:rFonts w:hint="eastAsia" w:ascii="Times New Roman" w:hAnsi="Times New Roman" w:cs="Times New Roman"/>
          <w:color w:val="000000"/>
          <w:kern w:val="0"/>
          <w:highlight w:val="none"/>
          <w:lang w:val="en-US" w:eastAsia="zh-CN"/>
        </w:rPr>
        <w:t>2009</w:t>
      </w:r>
      <w:r>
        <w:rPr>
          <w:rFonts w:ascii="Times New Roman" w:hAnsi="Times New Roman" w:cs="Times New Roman"/>
          <w:color w:val="000000"/>
          <w:kern w:val="0"/>
          <w:highlight w:val="none"/>
        </w:rPr>
        <w:t xml:space="preserve"> 简易式灭火器</w:t>
      </w:r>
    </w:p>
    <w:p>
      <w:pPr>
        <w:widowControl/>
        <w:spacing w:line="440" w:lineRule="exact"/>
        <w:ind w:firstLine="420" w:firstLineChars="200"/>
        <w:jc w:val="left"/>
        <w:rPr>
          <w:rFonts w:hint="eastAsia" w:ascii="Times New Roman" w:hAnsi="Times New Roman" w:cs="Times New Roman"/>
          <w:color w:val="000000"/>
          <w:kern w:val="0"/>
          <w:highlight w:val="none"/>
          <w:lang w:val="en-US" w:eastAsia="zh-CN"/>
        </w:rPr>
      </w:pPr>
      <w:r>
        <w:rPr>
          <w:rFonts w:hint="eastAsia"/>
          <w:highlight w:val="none"/>
        </w:rPr>
        <w:t>GB</w:t>
      </w:r>
      <w:r>
        <w:rPr>
          <w:rFonts w:hint="eastAsia"/>
          <w:highlight w:val="none"/>
          <w:lang w:val="en-US" w:eastAsia="zh-CN"/>
        </w:rPr>
        <w:t xml:space="preserve"> </w:t>
      </w:r>
      <w:r>
        <w:rPr>
          <w:rFonts w:hint="eastAsia"/>
          <w:highlight w:val="none"/>
        </w:rPr>
        <w:t>4</w:t>
      </w:r>
      <w:r>
        <w:rPr>
          <w:rFonts w:hint="eastAsia" w:ascii="Times New Roman" w:hAnsi="Times New Roman" w:cs="Times New Roman"/>
          <w:color w:val="000000"/>
          <w:kern w:val="0"/>
          <w:highlight w:val="none"/>
          <w:lang w:val="en-US" w:eastAsia="zh-CN"/>
        </w:rPr>
        <w:t>066—2017 干粉灭火剂</w:t>
      </w:r>
    </w:p>
    <w:p>
      <w:pPr>
        <w:widowControl/>
        <w:spacing w:line="440" w:lineRule="exact"/>
        <w:ind w:firstLine="420" w:firstLineChars="200"/>
        <w:jc w:val="left"/>
        <w:rPr>
          <w:rFonts w:hint="default" w:ascii="Times New Roman" w:hAnsi="Times New Roman" w:cs="Times New Roman"/>
          <w:color w:val="000000"/>
          <w:kern w:val="0"/>
          <w:highlight w:val="none"/>
          <w:lang w:val="en-US" w:eastAsia="zh-CN"/>
        </w:rPr>
      </w:pPr>
      <w:r>
        <w:rPr>
          <w:rFonts w:hint="eastAsia" w:ascii="Times New Roman" w:hAnsi="Times New Roman" w:cs="Times New Roman"/>
          <w:color w:val="000000"/>
          <w:kern w:val="0"/>
          <w:highlight w:val="none"/>
          <w:lang w:val="en-US" w:eastAsia="zh-CN"/>
        </w:rPr>
        <w:t xml:space="preserve">GB 17835—2024 </w:t>
      </w:r>
      <w:r>
        <w:rPr>
          <w:rFonts w:hint="default" w:ascii="Times New Roman" w:hAnsi="Times New Roman" w:cs="Times New Roman"/>
          <w:color w:val="000000"/>
          <w:kern w:val="0"/>
          <w:highlight w:val="none"/>
          <w:lang w:val="en-US" w:eastAsia="zh-CN"/>
        </w:rPr>
        <w:t>水系灭火剂</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lang w:val="en-US" w:eastAsia="zh-CN"/>
        </w:rPr>
        <w:t>3.2 判定原则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r>
        <w:rPr>
          <w:rFonts w:hint="eastAsia" w:ascii="Times New Roman" w:hAnsi="Times New Roman" w:eastAsia="宋体" w:cs="宋体"/>
          <w:sz w:val="22"/>
          <w:szCs w:val="28"/>
          <w:highlight w:val="none"/>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highlight w:val="none"/>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highlight w:val="none"/>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MzZhMmM5MDk1YzljNDBkOWZkNzY5NjNlM2ZmNmEifQ=="/>
  </w:docVars>
  <w:rsids>
    <w:rsidRoot w:val="00000000"/>
    <w:rsid w:val="009326DE"/>
    <w:rsid w:val="0095088C"/>
    <w:rsid w:val="00F44F67"/>
    <w:rsid w:val="00F9687D"/>
    <w:rsid w:val="01D70351"/>
    <w:rsid w:val="02551A35"/>
    <w:rsid w:val="036455F8"/>
    <w:rsid w:val="06E03F13"/>
    <w:rsid w:val="070E6657"/>
    <w:rsid w:val="09B14CEA"/>
    <w:rsid w:val="0BD53BE7"/>
    <w:rsid w:val="0CAF61E6"/>
    <w:rsid w:val="0CD143AE"/>
    <w:rsid w:val="0D343503"/>
    <w:rsid w:val="0E87741A"/>
    <w:rsid w:val="0EFB3964"/>
    <w:rsid w:val="13144FF5"/>
    <w:rsid w:val="14770AD1"/>
    <w:rsid w:val="149E7B87"/>
    <w:rsid w:val="156C55BC"/>
    <w:rsid w:val="15867E05"/>
    <w:rsid w:val="196C2483"/>
    <w:rsid w:val="19BB441C"/>
    <w:rsid w:val="1B211995"/>
    <w:rsid w:val="1E167D96"/>
    <w:rsid w:val="1E7B23CC"/>
    <w:rsid w:val="20B9542D"/>
    <w:rsid w:val="222A1341"/>
    <w:rsid w:val="227635D6"/>
    <w:rsid w:val="22CE3701"/>
    <w:rsid w:val="23C5787C"/>
    <w:rsid w:val="271D560E"/>
    <w:rsid w:val="29B570DA"/>
    <w:rsid w:val="2B4863B8"/>
    <w:rsid w:val="2B830B12"/>
    <w:rsid w:val="2E343932"/>
    <w:rsid w:val="2E4E00D9"/>
    <w:rsid w:val="2E5977D4"/>
    <w:rsid w:val="2E6E5AA9"/>
    <w:rsid w:val="2E8C4181"/>
    <w:rsid w:val="2ED81174"/>
    <w:rsid w:val="30DE4928"/>
    <w:rsid w:val="32A23F73"/>
    <w:rsid w:val="33024A12"/>
    <w:rsid w:val="33DE722D"/>
    <w:rsid w:val="35577297"/>
    <w:rsid w:val="36714D18"/>
    <w:rsid w:val="38A81BB8"/>
    <w:rsid w:val="3A360EFD"/>
    <w:rsid w:val="3B7D732B"/>
    <w:rsid w:val="3B8B7C29"/>
    <w:rsid w:val="3DBD17B8"/>
    <w:rsid w:val="3FE3517F"/>
    <w:rsid w:val="408E5B37"/>
    <w:rsid w:val="42C54070"/>
    <w:rsid w:val="43081BD1"/>
    <w:rsid w:val="43185030"/>
    <w:rsid w:val="433B01F8"/>
    <w:rsid w:val="43485D41"/>
    <w:rsid w:val="439E0D9F"/>
    <w:rsid w:val="45E76415"/>
    <w:rsid w:val="46050649"/>
    <w:rsid w:val="46416AD6"/>
    <w:rsid w:val="46E12E64"/>
    <w:rsid w:val="46F26E20"/>
    <w:rsid w:val="470C0994"/>
    <w:rsid w:val="48797678"/>
    <w:rsid w:val="4C2061DD"/>
    <w:rsid w:val="4C6D02BD"/>
    <w:rsid w:val="4E227B86"/>
    <w:rsid w:val="4E3A2F69"/>
    <w:rsid w:val="50A70C7B"/>
    <w:rsid w:val="50BD56BE"/>
    <w:rsid w:val="511F63EB"/>
    <w:rsid w:val="523C53F3"/>
    <w:rsid w:val="53407165"/>
    <w:rsid w:val="534B6AD2"/>
    <w:rsid w:val="534D3EB1"/>
    <w:rsid w:val="55B300C2"/>
    <w:rsid w:val="58705DF6"/>
    <w:rsid w:val="592E4311"/>
    <w:rsid w:val="59601568"/>
    <w:rsid w:val="5B6465CD"/>
    <w:rsid w:val="5FCB425A"/>
    <w:rsid w:val="614D4BC3"/>
    <w:rsid w:val="62830793"/>
    <w:rsid w:val="631657EC"/>
    <w:rsid w:val="63EF5CF2"/>
    <w:rsid w:val="649B4036"/>
    <w:rsid w:val="64EB0B26"/>
    <w:rsid w:val="6553506E"/>
    <w:rsid w:val="655F1E1A"/>
    <w:rsid w:val="66B40970"/>
    <w:rsid w:val="67185FD7"/>
    <w:rsid w:val="68196220"/>
    <w:rsid w:val="687E630D"/>
    <w:rsid w:val="68932257"/>
    <w:rsid w:val="696F5C56"/>
    <w:rsid w:val="69DD77E5"/>
    <w:rsid w:val="69E77EE2"/>
    <w:rsid w:val="6B1A261E"/>
    <w:rsid w:val="6B766AF2"/>
    <w:rsid w:val="6C8D2FC3"/>
    <w:rsid w:val="6CD26C28"/>
    <w:rsid w:val="6E79418D"/>
    <w:rsid w:val="6FA5414E"/>
    <w:rsid w:val="6FD607DD"/>
    <w:rsid w:val="6FF46EB5"/>
    <w:rsid w:val="71BA4C42"/>
    <w:rsid w:val="72F366C3"/>
    <w:rsid w:val="72F772B8"/>
    <w:rsid w:val="737C0D9D"/>
    <w:rsid w:val="73C038EC"/>
    <w:rsid w:val="74422159"/>
    <w:rsid w:val="76E732D0"/>
    <w:rsid w:val="77062301"/>
    <w:rsid w:val="782D12A8"/>
    <w:rsid w:val="78810918"/>
    <w:rsid w:val="7947444E"/>
    <w:rsid w:val="799A287B"/>
    <w:rsid w:val="7C093CE8"/>
    <w:rsid w:val="7E1C5F55"/>
    <w:rsid w:val="7E8D0C00"/>
    <w:rsid w:val="7F21077F"/>
    <w:rsid w:val="7F887308"/>
    <w:rsid w:val="7FCE6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1069</Words>
  <Characters>1726</Characters>
  <Lines>0</Lines>
  <Paragraphs>0</Paragraphs>
  <TotalTime>17</TotalTime>
  <ScaleCrop>false</ScaleCrop>
  <LinksUpToDate>false</LinksUpToDate>
  <CharactersWithSpaces>1809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胖炳文</cp:lastModifiedBy>
  <dcterms:modified xsi:type="dcterms:W3CDTF">2026-05-27T02:30:35Z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43830E761592465AAA141990618BB56F_12</vt:lpwstr>
  </property>
  <property fmtid="{D5CDD505-2E9C-101B-9397-08002B2CF9AE}" pid="4" name="KSOTemplateDocerSaveRecord">
    <vt:lpwstr>eyJoZGlkIjoiZDg0ZTEyYTcyYWRkN2VhMWQ4ZWVjOTk2ZGMxYTNkOWMiLCJ1c2VySWQiOiIzNjUyMDE1OTUifQ==</vt:lpwstr>
  </property>
</Properties>
</file>