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ascii="Times New Roman" w:hAnsi="Times New Roman" w:eastAsia="方正小标宋简体" w:cs="Times New Roman"/>
          <w:color w:val="auto"/>
          <w:sz w:val="32"/>
          <w:szCs w:val="32"/>
          <w:highlight w:val="none"/>
        </w:rPr>
      </w:pPr>
      <w:r>
        <w:rPr>
          <w:rFonts w:ascii="Times New Roman" w:hAnsi="Times New Roman" w:eastAsia="方正小标宋简体" w:cs="Times New Roman"/>
          <w:color w:val="auto"/>
          <w:sz w:val="32"/>
          <w:szCs w:val="32"/>
          <w:highlight w:val="none"/>
        </w:rPr>
        <w:t>202</w:t>
      </w:r>
      <w:r>
        <w:rPr>
          <w:rFonts w:hint="eastAsia" w:ascii="Times New Roman" w:hAnsi="Times New Roman" w:eastAsia="方正小标宋简体" w:cs="Times New Roman"/>
          <w:color w:val="auto"/>
          <w:sz w:val="32"/>
          <w:szCs w:val="32"/>
          <w:highlight w:val="none"/>
        </w:rPr>
        <w:t>6</w:t>
      </w:r>
      <w:r>
        <w:rPr>
          <w:rFonts w:ascii="Times New Roman" w:hAnsi="Times New Roman" w:eastAsia="方正小标宋简体" w:cs="Times New Roman"/>
          <w:color w:val="auto"/>
          <w:sz w:val="32"/>
          <w:szCs w:val="32"/>
          <w:highlight w:val="none"/>
        </w:rPr>
        <w:t>年北京市</w:t>
      </w:r>
      <w:r>
        <w:rPr>
          <w:rFonts w:hint="eastAsia" w:ascii="Times New Roman" w:hAnsi="Times New Roman" w:eastAsia="方正小标宋简体" w:cs="Times New Roman"/>
          <w:color w:val="auto"/>
          <w:sz w:val="32"/>
          <w:szCs w:val="32"/>
          <w:highlight w:val="none"/>
          <w:lang w:val="en-US" w:eastAsia="zh-CN"/>
        </w:rPr>
        <w:t>西城区</w:t>
      </w:r>
      <w:r>
        <w:rPr>
          <w:rFonts w:ascii="Times New Roman" w:hAnsi="Times New Roman" w:eastAsia="方正小标宋简体" w:cs="Times New Roman"/>
          <w:color w:val="auto"/>
          <w:sz w:val="32"/>
          <w:szCs w:val="32"/>
          <w:highlight w:val="none"/>
        </w:rPr>
        <w:t>隔热材料（保温板）产品质量监督抽查实施细则</w:t>
      </w:r>
    </w:p>
    <w:p>
      <w:pPr>
        <w:rPr>
          <w:rFonts w:ascii="Times New Roman" w:hAnsi="Times New Roman" w:eastAsia="仿宋_GB2312" w:cs="Times New Roman"/>
          <w:b/>
          <w:bCs/>
          <w:color w:val="auto"/>
          <w:sz w:val="28"/>
          <w:szCs w:val="28"/>
          <w:highlight w:val="none"/>
        </w:rPr>
      </w:pPr>
    </w:p>
    <w:p>
      <w:pPr>
        <w:snapToGrid w:val="0"/>
        <w:spacing w:line="440" w:lineRule="exact"/>
        <w:rPr>
          <w:rFonts w:ascii="Times New Roman" w:hAnsi="Times New Roman" w:eastAsia="黑体" w:cs="Times New Roman"/>
          <w:color w:val="auto"/>
          <w:highlight w:val="none"/>
        </w:rPr>
      </w:pPr>
      <w:r>
        <w:rPr>
          <w:rFonts w:ascii="Times New Roman" w:hAnsi="Times New Roman" w:eastAsia="黑体" w:cs="Times New Roman"/>
          <w:color w:val="auto"/>
          <w:highlight w:val="none"/>
        </w:rPr>
        <w:t>1 抽样方法</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以随机抽样的方式在被抽样生产者、销售者的待销产品中抽取。</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随机数一般可使用随机数表等方法产生。</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抽样基数满足抽样数量即可，抽样数量及抽样要求见下表：</w:t>
      </w:r>
    </w:p>
    <w:tbl>
      <w:tblPr>
        <w:tblStyle w:val="8"/>
        <w:tblW w:w="90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2076"/>
        <w:gridCol w:w="2733"/>
        <w:gridCol w:w="1419"/>
        <w:gridCol w:w="1404"/>
        <w:gridCol w:w="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tblHeader/>
          <w:jc w:val="center"/>
        </w:trPr>
        <w:tc>
          <w:tcPr>
            <w:tcW w:w="700" w:type="dxa"/>
            <w:vAlign w:val="center"/>
          </w:tcPr>
          <w:p>
            <w:pPr>
              <w:adjustRightInd w:val="0"/>
              <w:jc w:val="center"/>
              <w:rPr>
                <w:rFonts w:ascii="Times New Roman" w:hAnsi="Times New Roman" w:cs="Times New Roman"/>
                <w:bCs/>
                <w:color w:val="auto"/>
                <w:kern w:val="0"/>
                <w:highlight w:val="none"/>
              </w:rPr>
            </w:pPr>
            <w:r>
              <w:rPr>
                <w:rFonts w:ascii="Times New Roman" w:hAnsi="Times New Roman" w:cs="Times New Roman"/>
                <w:bCs/>
                <w:color w:val="auto"/>
                <w:kern w:val="0"/>
                <w:highlight w:val="none"/>
              </w:rPr>
              <w:t>序号</w:t>
            </w:r>
          </w:p>
        </w:tc>
        <w:tc>
          <w:tcPr>
            <w:tcW w:w="2076" w:type="dxa"/>
            <w:vAlign w:val="center"/>
          </w:tcPr>
          <w:p>
            <w:pPr>
              <w:adjustRightInd w:val="0"/>
              <w:jc w:val="center"/>
              <w:rPr>
                <w:rFonts w:ascii="Times New Roman" w:hAnsi="Times New Roman" w:cs="Times New Roman"/>
                <w:bCs/>
                <w:color w:val="auto"/>
                <w:kern w:val="0"/>
                <w:highlight w:val="none"/>
              </w:rPr>
            </w:pPr>
            <w:r>
              <w:rPr>
                <w:rFonts w:ascii="Times New Roman" w:hAnsi="Times New Roman" w:cs="Times New Roman"/>
                <w:bCs/>
                <w:color w:val="auto"/>
                <w:kern w:val="0"/>
                <w:highlight w:val="none"/>
              </w:rPr>
              <w:t>产品名称</w:t>
            </w:r>
          </w:p>
        </w:tc>
        <w:tc>
          <w:tcPr>
            <w:tcW w:w="2733" w:type="dxa"/>
            <w:vAlign w:val="center"/>
          </w:tcPr>
          <w:p>
            <w:pPr>
              <w:adjustRightInd w:val="0"/>
              <w:jc w:val="center"/>
              <w:rPr>
                <w:rFonts w:ascii="Times New Roman" w:hAnsi="Times New Roman" w:cs="Times New Roman"/>
                <w:bCs/>
                <w:color w:val="auto"/>
                <w:kern w:val="0"/>
                <w:highlight w:val="none"/>
              </w:rPr>
            </w:pPr>
            <w:r>
              <w:rPr>
                <w:rFonts w:ascii="Times New Roman" w:hAnsi="Times New Roman" w:cs="Times New Roman"/>
                <w:bCs/>
                <w:color w:val="auto"/>
                <w:kern w:val="0"/>
                <w:highlight w:val="none"/>
              </w:rPr>
              <w:t>抽样数量</w:t>
            </w:r>
          </w:p>
        </w:tc>
        <w:tc>
          <w:tcPr>
            <w:tcW w:w="1419" w:type="dxa"/>
            <w:vAlign w:val="center"/>
          </w:tcPr>
          <w:p>
            <w:pPr>
              <w:adjustRightInd w:val="0"/>
              <w:jc w:val="center"/>
              <w:rPr>
                <w:rFonts w:ascii="Times New Roman" w:hAnsi="Times New Roman" w:cs="Times New Roman"/>
                <w:bCs/>
                <w:color w:val="auto"/>
                <w:kern w:val="0"/>
                <w:highlight w:val="none"/>
              </w:rPr>
            </w:pPr>
            <w:r>
              <w:rPr>
                <w:rFonts w:ascii="Times New Roman" w:hAnsi="Times New Roman" w:cs="Times New Roman"/>
                <w:bCs/>
                <w:color w:val="auto"/>
                <w:kern w:val="0"/>
                <w:highlight w:val="none"/>
              </w:rPr>
              <w:t>抽样注意事项</w:t>
            </w:r>
          </w:p>
        </w:tc>
        <w:tc>
          <w:tcPr>
            <w:tcW w:w="1404" w:type="dxa"/>
            <w:vAlign w:val="center"/>
          </w:tcPr>
          <w:p>
            <w:pPr>
              <w:adjustRightInd w:val="0"/>
              <w:jc w:val="center"/>
              <w:rPr>
                <w:rFonts w:ascii="Times New Roman" w:hAnsi="Times New Roman" w:cs="Times New Roman"/>
                <w:bCs/>
                <w:color w:val="auto"/>
                <w:kern w:val="0"/>
                <w:highlight w:val="none"/>
              </w:rPr>
            </w:pPr>
            <w:r>
              <w:rPr>
                <w:rFonts w:ascii="Times New Roman" w:hAnsi="Times New Roman" w:cs="Times New Roman"/>
                <w:bCs/>
                <w:color w:val="auto"/>
                <w:kern w:val="0"/>
                <w:highlight w:val="none"/>
              </w:rPr>
              <w:t>需注明信息</w:t>
            </w:r>
          </w:p>
        </w:tc>
        <w:tc>
          <w:tcPr>
            <w:tcW w:w="729" w:type="dxa"/>
            <w:vAlign w:val="center"/>
          </w:tcPr>
          <w:p>
            <w:pPr>
              <w:adjustRightInd w:val="0"/>
              <w:jc w:val="center"/>
              <w:rPr>
                <w:rFonts w:ascii="Times New Roman" w:hAnsi="Times New Roman" w:cs="Times New Roman"/>
                <w:bCs/>
                <w:color w:val="auto"/>
                <w:kern w:val="0"/>
                <w:highlight w:val="none"/>
              </w:rPr>
            </w:pPr>
            <w:r>
              <w:rPr>
                <w:rFonts w:ascii="Times New Roman" w:hAnsi="Times New Roman" w:cs="Times New Roman"/>
                <w:bCs/>
                <w:color w:val="auto"/>
                <w:kern w:val="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w:t>
            </w:r>
          </w:p>
        </w:tc>
        <w:tc>
          <w:tcPr>
            <w:tcW w:w="2076"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highlight w:val="none"/>
              </w:rPr>
              <w:t>外墙外保温用模塑聚苯乙烯泡沫塑料</w:t>
            </w:r>
            <w:r>
              <w:rPr>
                <w:rFonts w:hint="eastAsia" w:ascii="Times New Roman" w:hAnsi="Times New Roman" w:cs="Times New Roman"/>
                <w:color w:val="auto"/>
                <w:highlight w:val="none"/>
              </w:rPr>
              <w:t>、</w:t>
            </w:r>
            <w:r>
              <w:rPr>
                <w:rFonts w:ascii="Times New Roman" w:hAnsi="Times New Roman" w:cs="Times New Roman"/>
                <w:color w:val="auto"/>
                <w:highlight w:val="none"/>
              </w:rPr>
              <w:t>建筑绝热用石墨改性模塑聚苯乙烯泡沫塑料</w:t>
            </w:r>
            <w:r>
              <w:rPr>
                <w:rFonts w:hint="eastAsia" w:ascii="Times New Roman" w:hAnsi="Times New Roman" w:cs="Times New Roman"/>
                <w:color w:val="auto"/>
                <w:highlight w:val="none"/>
              </w:rPr>
              <w:t>、</w:t>
            </w:r>
            <w:r>
              <w:rPr>
                <w:rFonts w:ascii="Times New Roman" w:hAnsi="Times New Roman" w:cs="Times New Roman"/>
                <w:color w:val="auto"/>
                <w:highlight w:val="none"/>
              </w:rPr>
              <w:t>绝热用模塑聚苯乙烯泡沫塑料</w:t>
            </w:r>
          </w:p>
        </w:tc>
        <w:tc>
          <w:tcPr>
            <w:tcW w:w="2733" w:type="dxa"/>
            <w:vAlign w:val="center"/>
          </w:tcPr>
          <w:p>
            <w:pPr>
              <w:adjustRightInd w:val="0"/>
              <w:snapToGrid w:val="0"/>
              <w:spacing w:line="440" w:lineRule="exact"/>
              <w:jc w:val="center"/>
              <w:rPr>
                <w:rFonts w:ascii="Times New Roman" w:hAnsi="Times New Roman" w:cs="Times New Roman"/>
                <w:color w:val="auto"/>
                <w:kern w:val="0"/>
                <w:highlight w:val="none"/>
                <w:vertAlign w:val="superscript"/>
              </w:rPr>
            </w:pPr>
            <w:r>
              <w:rPr>
                <w:rFonts w:ascii="Times New Roman" w:hAnsi="Times New Roman" w:cs="Times New Roman"/>
                <w:color w:val="auto"/>
                <w:kern w:val="0"/>
                <w:highlight w:val="none"/>
              </w:rPr>
              <w:t>燃烧级别明示为B</w:t>
            </w:r>
            <w:r>
              <w:rPr>
                <w:rFonts w:ascii="Times New Roman" w:hAnsi="Times New Roman" w:cs="Times New Roman"/>
                <w:color w:val="auto"/>
                <w:kern w:val="0"/>
                <w:highlight w:val="none"/>
                <w:vertAlign w:val="subscript"/>
              </w:rPr>
              <w:t>2</w:t>
            </w:r>
            <w:r>
              <w:rPr>
                <w:rFonts w:ascii="Times New Roman" w:hAnsi="Times New Roman" w:cs="Times New Roman"/>
                <w:color w:val="auto"/>
                <w:kern w:val="0"/>
                <w:highlight w:val="none"/>
              </w:rPr>
              <w:t>级时不少于3m</w:t>
            </w:r>
            <w:r>
              <w:rPr>
                <w:rFonts w:ascii="Times New Roman" w:hAnsi="Times New Roman" w:cs="Times New Roman"/>
                <w:color w:val="auto"/>
                <w:kern w:val="0"/>
                <w:highlight w:val="none"/>
                <w:vertAlign w:val="superscript"/>
              </w:rPr>
              <w:t>2</w:t>
            </w:r>
            <w:r>
              <w:rPr>
                <w:rFonts w:ascii="Times New Roman" w:hAnsi="Times New Roman" w:cs="Times New Roman"/>
                <w:color w:val="auto"/>
                <w:kern w:val="0"/>
                <w:highlight w:val="none"/>
              </w:rPr>
              <w:t>；燃烧级别明示为B</w:t>
            </w:r>
            <w:r>
              <w:rPr>
                <w:rFonts w:ascii="Times New Roman" w:hAnsi="Times New Roman" w:cs="Times New Roman"/>
                <w:color w:val="auto"/>
                <w:kern w:val="0"/>
                <w:highlight w:val="none"/>
                <w:vertAlign w:val="subscript"/>
              </w:rPr>
              <w:t>1</w:t>
            </w:r>
            <w:r>
              <w:rPr>
                <w:rFonts w:ascii="Times New Roman" w:hAnsi="Times New Roman" w:cs="Times New Roman"/>
                <w:color w:val="auto"/>
                <w:kern w:val="0"/>
                <w:highlight w:val="none"/>
              </w:rPr>
              <w:t>级时不少于21m</w:t>
            </w:r>
            <w:r>
              <w:rPr>
                <w:rFonts w:ascii="Times New Roman" w:hAnsi="Times New Roman" w:cs="Times New Roman"/>
                <w:color w:val="auto"/>
                <w:kern w:val="0"/>
                <w:highlight w:val="none"/>
                <w:vertAlign w:val="superscript"/>
              </w:rPr>
              <w:t>2</w:t>
            </w:r>
          </w:p>
        </w:tc>
        <w:tc>
          <w:tcPr>
            <w:tcW w:w="1419"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每块样品不少于500mm</w:t>
            </w:r>
            <w:r>
              <w:rPr>
                <w:rFonts w:ascii="Arial" w:hAnsi="Arial" w:cs="Arial"/>
                <w:color w:val="auto"/>
                <w:kern w:val="0"/>
                <w:highlight w:val="none"/>
              </w:rPr>
              <w:t>×</w:t>
            </w:r>
            <w:r>
              <w:rPr>
                <w:rFonts w:ascii="Times New Roman" w:hAnsi="Times New Roman" w:cs="Times New Roman"/>
                <w:color w:val="auto"/>
                <w:kern w:val="0"/>
                <w:highlight w:val="none"/>
              </w:rPr>
              <w:t>500mm，厚度不得小于50mm</w:t>
            </w:r>
          </w:p>
        </w:tc>
        <w:tc>
          <w:tcPr>
            <w:tcW w:w="1404"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表观密度公称值、压缩分类、绝热性能分类、燃烧性能等级</w:t>
            </w:r>
          </w:p>
        </w:tc>
        <w:tc>
          <w:tcPr>
            <w:tcW w:w="729" w:type="dxa"/>
            <w:vMerge w:val="restart"/>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抽取的样品平均分为两份，其中一份为检验样品，另一份为备用样品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2</w:t>
            </w:r>
          </w:p>
        </w:tc>
        <w:tc>
          <w:tcPr>
            <w:tcW w:w="2076"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highlight w:val="none"/>
              </w:rPr>
              <w:t>外墙外保温用挤塑聚苯乙烯泡沫塑料</w:t>
            </w:r>
            <w:r>
              <w:rPr>
                <w:rFonts w:hint="eastAsia" w:ascii="Times New Roman" w:hAnsi="Times New Roman" w:cs="Times New Roman"/>
                <w:color w:val="auto"/>
                <w:highlight w:val="none"/>
              </w:rPr>
              <w:t>、</w:t>
            </w:r>
            <w:r>
              <w:rPr>
                <w:rFonts w:ascii="Times New Roman" w:hAnsi="Times New Roman" w:cs="Times New Roman"/>
                <w:color w:val="auto"/>
                <w:highlight w:val="none"/>
              </w:rPr>
              <w:t>绝热用挤塑聚苯乙烯泡沫塑料</w:t>
            </w:r>
          </w:p>
        </w:tc>
        <w:tc>
          <w:tcPr>
            <w:tcW w:w="2733"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燃烧级别明示为B</w:t>
            </w:r>
            <w:r>
              <w:rPr>
                <w:rFonts w:ascii="Times New Roman" w:hAnsi="Times New Roman" w:cs="Times New Roman"/>
                <w:color w:val="auto"/>
                <w:kern w:val="0"/>
                <w:highlight w:val="none"/>
                <w:vertAlign w:val="subscript"/>
              </w:rPr>
              <w:t>2</w:t>
            </w:r>
            <w:r>
              <w:rPr>
                <w:rFonts w:ascii="Times New Roman" w:hAnsi="Times New Roman" w:cs="Times New Roman"/>
                <w:color w:val="auto"/>
                <w:kern w:val="0"/>
                <w:highlight w:val="none"/>
              </w:rPr>
              <w:t>级时不少于3m</w:t>
            </w:r>
            <w:r>
              <w:rPr>
                <w:rFonts w:ascii="Times New Roman" w:hAnsi="Times New Roman" w:cs="Times New Roman"/>
                <w:color w:val="auto"/>
                <w:kern w:val="0"/>
                <w:highlight w:val="none"/>
                <w:vertAlign w:val="superscript"/>
              </w:rPr>
              <w:t>2</w:t>
            </w:r>
            <w:r>
              <w:rPr>
                <w:rFonts w:ascii="Times New Roman" w:hAnsi="Times New Roman" w:cs="Times New Roman"/>
                <w:color w:val="auto"/>
                <w:kern w:val="0"/>
                <w:highlight w:val="none"/>
              </w:rPr>
              <w:t>；燃烧级别明示为B</w:t>
            </w:r>
            <w:r>
              <w:rPr>
                <w:rFonts w:ascii="Times New Roman" w:hAnsi="Times New Roman" w:cs="Times New Roman"/>
                <w:color w:val="auto"/>
                <w:kern w:val="0"/>
                <w:highlight w:val="none"/>
                <w:vertAlign w:val="subscript"/>
              </w:rPr>
              <w:t>1</w:t>
            </w:r>
            <w:r>
              <w:rPr>
                <w:rFonts w:ascii="Times New Roman" w:hAnsi="Times New Roman" w:cs="Times New Roman"/>
                <w:color w:val="auto"/>
                <w:kern w:val="0"/>
                <w:highlight w:val="none"/>
              </w:rPr>
              <w:t>级时不少于21m</w:t>
            </w:r>
            <w:r>
              <w:rPr>
                <w:rFonts w:ascii="Times New Roman" w:hAnsi="Times New Roman" w:cs="Times New Roman"/>
                <w:color w:val="auto"/>
                <w:kern w:val="0"/>
                <w:highlight w:val="none"/>
                <w:vertAlign w:val="superscript"/>
              </w:rPr>
              <w:t>2</w:t>
            </w:r>
          </w:p>
        </w:tc>
        <w:tc>
          <w:tcPr>
            <w:tcW w:w="1419"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每块样品不少于500mm</w:t>
            </w:r>
            <w:r>
              <w:rPr>
                <w:rFonts w:ascii="Arial" w:hAnsi="Arial" w:cs="Arial"/>
                <w:color w:val="auto"/>
                <w:kern w:val="0"/>
                <w:highlight w:val="none"/>
              </w:rPr>
              <w:t>×</w:t>
            </w:r>
            <w:r>
              <w:rPr>
                <w:rFonts w:ascii="Times New Roman" w:hAnsi="Times New Roman" w:cs="Times New Roman"/>
                <w:color w:val="auto"/>
                <w:kern w:val="0"/>
                <w:highlight w:val="none"/>
              </w:rPr>
              <w:t>500mm</w:t>
            </w:r>
          </w:p>
        </w:tc>
        <w:tc>
          <w:tcPr>
            <w:tcW w:w="1404"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压缩强度等级、燃烧性能等级、绝热性能等级，有无表皮和凹槽</w:t>
            </w:r>
          </w:p>
        </w:tc>
        <w:tc>
          <w:tcPr>
            <w:tcW w:w="729" w:type="dxa"/>
            <w:vMerge w:val="continue"/>
          </w:tcPr>
          <w:p>
            <w:pPr>
              <w:adjustRightInd w:val="0"/>
              <w:snapToGrid w:val="0"/>
              <w:spacing w:line="440" w:lineRule="exact"/>
              <w:jc w:val="center"/>
              <w:rPr>
                <w:rFonts w:ascii="Times New Roman" w:hAnsi="Times New Roman" w:cs="Times New Roman"/>
                <w:color w:val="auto"/>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3</w:t>
            </w:r>
          </w:p>
        </w:tc>
        <w:tc>
          <w:tcPr>
            <w:tcW w:w="2076"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建筑用金属面绝热夹芯板</w:t>
            </w:r>
          </w:p>
        </w:tc>
        <w:tc>
          <w:tcPr>
            <w:tcW w:w="2733"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金属面岩棉夹芯板、金属面矿渣棉夹芯板产品每份样品不少于7m</w:t>
            </w:r>
            <w:r>
              <w:rPr>
                <w:rFonts w:ascii="Times New Roman" w:hAnsi="Times New Roman" w:cs="Times New Roman"/>
                <w:color w:val="auto"/>
                <w:kern w:val="0"/>
                <w:highlight w:val="none"/>
                <w:vertAlign w:val="superscript"/>
              </w:rPr>
              <w:t>2</w:t>
            </w:r>
            <w:r>
              <w:rPr>
                <w:rFonts w:ascii="Times New Roman" w:hAnsi="Times New Roman" w:cs="Times New Roman"/>
                <w:color w:val="auto"/>
                <w:kern w:val="0"/>
                <w:highlight w:val="none"/>
              </w:rPr>
              <w:t>；其他种类产品每份样品不少于5m</w:t>
            </w:r>
            <w:r>
              <w:rPr>
                <w:rFonts w:ascii="Times New Roman" w:hAnsi="Times New Roman" w:cs="Times New Roman"/>
                <w:color w:val="auto"/>
                <w:kern w:val="0"/>
                <w:highlight w:val="none"/>
                <w:vertAlign w:val="superscript"/>
              </w:rPr>
              <w:t>2</w:t>
            </w:r>
          </w:p>
        </w:tc>
        <w:tc>
          <w:tcPr>
            <w:tcW w:w="1419"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w:t>
            </w:r>
          </w:p>
        </w:tc>
        <w:tc>
          <w:tcPr>
            <w:tcW w:w="1404"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w:t>
            </w:r>
          </w:p>
        </w:tc>
        <w:tc>
          <w:tcPr>
            <w:tcW w:w="729" w:type="dxa"/>
            <w:vMerge w:val="continue"/>
          </w:tcPr>
          <w:p>
            <w:pPr>
              <w:adjustRightInd w:val="0"/>
              <w:snapToGrid w:val="0"/>
              <w:spacing w:line="440" w:lineRule="exact"/>
              <w:jc w:val="center"/>
              <w:rPr>
                <w:rFonts w:ascii="Times New Roman" w:hAnsi="Times New Roman" w:cs="Times New Roman"/>
                <w:color w:val="auto"/>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4</w:t>
            </w:r>
          </w:p>
        </w:tc>
        <w:tc>
          <w:tcPr>
            <w:tcW w:w="2076"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建筑绝热用硬质聚氨酯板</w:t>
            </w:r>
          </w:p>
        </w:tc>
        <w:tc>
          <w:tcPr>
            <w:tcW w:w="2733"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燃烧级别明示为B</w:t>
            </w:r>
            <w:r>
              <w:rPr>
                <w:rFonts w:ascii="Times New Roman" w:hAnsi="Times New Roman" w:cs="Times New Roman"/>
                <w:color w:val="auto"/>
                <w:kern w:val="0"/>
                <w:highlight w:val="none"/>
                <w:vertAlign w:val="subscript"/>
              </w:rPr>
              <w:t>2</w:t>
            </w:r>
            <w:r>
              <w:rPr>
                <w:rFonts w:ascii="Times New Roman" w:hAnsi="Times New Roman" w:cs="Times New Roman"/>
                <w:color w:val="auto"/>
                <w:kern w:val="0"/>
                <w:highlight w:val="none"/>
              </w:rPr>
              <w:t>级时不少于3m</w:t>
            </w:r>
            <w:r>
              <w:rPr>
                <w:rFonts w:ascii="Times New Roman" w:hAnsi="Times New Roman" w:cs="Times New Roman"/>
                <w:color w:val="auto"/>
                <w:kern w:val="0"/>
                <w:highlight w:val="none"/>
                <w:vertAlign w:val="superscript"/>
              </w:rPr>
              <w:t>2</w:t>
            </w:r>
            <w:r>
              <w:rPr>
                <w:rFonts w:ascii="Times New Roman" w:hAnsi="Times New Roman" w:cs="Times New Roman"/>
                <w:color w:val="auto"/>
                <w:kern w:val="0"/>
                <w:highlight w:val="none"/>
              </w:rPr>
              <w:t>；燃烧级别明示为B</w:t>
            </w:r>
            <w:r>
              <w:rPr>
                <w:rFonts w:ascii="Times New Roman" w:hAnsi="Times New Roman" w:cs="Times New Roman"/>
                <w:color w:val="auto"/>
                <w:kern w:val="0"/>
                <w:highlight w:val="none"/>
                <w:vertAlign w:val="subscript"/>
              </w:rPr>
              <w:t>1</w:t>
            </w:r>
            <w:r>
              <w:rPr>
                <w:rFonts w:ascii="Times New Roman" w:hAnsi="Times New Roman" w:cs="Times New Roman"/>
                <w:color w:val="auto"/>
                <w:kern w:val="0"/>
                <w:highlight w:val="none"/>
              </w:rPr>
              <w:t>级时不少于21m</w:t>
            </w:r>
            <w:r>
              <w:rPr>
                <w:rFonts w:ascii="Times New Roman" w:hAnsi="Times New Roman" w:cs="Times New Roman"/>
                <w:color w:val="auto"/>
                <w:kern w:val="0"/>
                <w:highlight w:val="none"/>
                <w:vertAlign w:val="superscript"/>
              </w:rPr>
              <w:t>2</w:t>
            </w:r>
          </w:p>
        </w:tc>
        <w:tc>
          <w:tcPr>
            <w:tcW w:w="1419"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每块样品不少于500mm</w:t>
            </w:r>
            <w:r>
              <w:rPr>
                <w:rFonts w:ascii="Arial" w:hAnsi="Arial" w:cs="Arial"/>
                <w:color w:val="auto"/>
                <w:kern w:val="0"/>
                <w:highlight w:val="none"/>
              </w:rPr>
              <w:t>×</w:t>
            </w:r>
            <w:r>
              <w:rPr>
                <w:rFonts w:ascii="Times New Roman" w:hAnsi="Times New Roman" w:cs="Times New Roman"/>
                <w:color w:val="auto"/>
                <w:kern w:val="0"/>
                <w:highlight w:val="none"/>
              </w:rPr>
              <w:t>500mm，厚度不得小于50mm</w:t>
            </w:r>
          </w:p>
        </w:tc>
        <w:tc>
          <w:tcPr>
            <w:tcW w:w="1404"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类别和燃烧性能等级</w:t>
            </w:r>
          </w:p>
        </w:tc>
        <w:tc>
          <w:tcPr>
            <w:tcW w:w="729" w:type="dxa"/>
            <w:vMerge w:val="continue"/>
          </w:tcPr>
          <w:p>
            <w:pPr>
              <w:adjustRightInd w:val="0"/>
              <w:snapToGrid w:val="0"/>
              <w:spacing w:line="440" w:lineRule="exact"/>
              <w:jc w:val="center"/>
              <w:rPr>
                <w:rFonts w:ascii="Times New Roman" w:hAnsi="Times New Roman" w:cs="Times New Roman"/>
                <w:color w:val="auto"/>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hint="eastAsia" w:ascii="Times New Roman" w:hAnsi="Times New Roman" w:cs="Times New Roman"/>
                <w:color w:val="auto"/>
                <w:kern w:val="0"/>
                <w:highlight w:val="none"/>
              </w:rPr>
              <w:t>5</w:t>
            </w:r>
          </w:p>
        </w:tc>
        <w:tc>
          <w:tcPr>
            <w:tcW w:w="2076" w:type="dxa"/>
            <w:vAlign w:val="center"/>
          </w:tcPr>
          <w:p>
            <w:pPr>
              <w:adjustRightInd w:val="0"/>
              <w:snapToGrid w:val="0"/>
              <w:spacing w:line="440" w:lineRule="exact"/>
              <w:jc w:val="center"/>
              <w:rPr>
                <w:rFonts w:ascii="Times New Roman" w:hAnsi="Times New Roman" w:cs="Times New Roman"/>
                <w:color w:val="auto"/>
                <w:kern w:val="0"/>
                <w:highlight w:val="none"/>
              </w:rPr>
            </w:pPr>
            <w:r>
              <w:rPr>
                <w:color w:val="auto"/>
                <w:highlight w:val="none"/>
              </w:rPr>
              <w:t>绝热用岩棉板</w:t>
            </w:r>
            <w:r>
              <w:rPr>
                <w:rFonts w:hint="eastAsia"/>
                <w:color w:val="auto"/>
                <w:highlight w:val="none"/>
              </w:rPr>
              <w:t>、</w:t>
            </w:r>
            <w:r>
              <w:rPr>
                <w:color w:val="auto"/>
                <w:highlight w:val="none"/>
              </w:rPr>
              <w:t>建筑用岩棉板</w:t>
            </w:r>
            <w:r>
              <w:rPr>
                <w:rFonts w:hint="eastAsia"/>
                <w:color w:val="auto"/>
                <w:highlight w:val="none"/>
              </w:rPr>
              <w:t>、</w:t>
            </w:r>
            <w:r>
              <w:rPr>
                <w:color w:val="auto"/>
                <w:highlight w:val="none"/>
              </w:rPr>
              <w:t>建筑外墙外保温用岩棉板</w:t>
            </w:r>
          </w:p>
        </w:tc>
        <w:tc>
          <w:tcPr>
            <w:tcW w:w="2733" w:type="dxa"/>
            <w:vAlign w:val="center"/>
          </w:tcPr>
          <w:p>
            <w:pPr>
              <w:snapToGrid w:val="0"/>
              <w:spacing w:line="440" w:lineRule="exact"/>
              <w:ind w:firstLine="420" w:firstLineChars="200"/>
              <w:jc w:val="center"/>
              <w:rPr>
                <w:rFonts w:ascii="Times New Roman" w:hAnsi="Times New Roman" w:cs="Times New Roman"/>
                <w:color w:val="auto"/>
                <w:highlight w:val="none"/>
              </w:rPr>
            </w:pPr>
            <w:r>
              <w:rPr>
                <w:rFonts w:ascii="Times New Roman" w:hAnsi="Times New Roman" w:cs="Times New Roman"/>
                <w:color w:val="auto"/>
                <w:highlight w:val="none"/>
              </w:rPr>
              <w:t>对燃烧性能明示为A（A</w:t>
            </w:r>
            <w:r>
              <w:rPr>
                <w:rFonts w:ascii="Times New Roman" w:hAnsi="Times New Roman" w:cs="Times New Roman"/>
                <w:color w:val="auto"/>
                <w:highlight w:val="none"/>
                <w:vertAlign w:val="subscript"/>
              </w:rPr>
              <w:t>2</w:t>
            </w:r>
            <w:r>
              <w:rPr>
                <w:rFonts w:ascii="Times New Roman" w:hAnsi="Times New Roman" w:cs="Times New Roman"/>
                <w:color w:val="auto"/>
                <w:highlight w:val="none"/>
              </w:rPr>
              <w:t>）级产品取样时，在同一批次产品中抽取样品不少于30m</w:t>
            </w:r>
            <w:r>
              <w:rPr>
                <w:rFonts w:ascii="Times New Roman" w:hAnsi="Times New Roman" w:cs="Times New Roman"/>
                <w:color w:val="auto"/>
                <w:highlight w:val="none"/>
                <w:vertAlign w:val="superscript"/>
              </w:rPr>
              <w:t>2</w:t>
            </w:r>
            <w:r>
              <w:rPr>
                <w:rFonts w:ascii="Times New Roman" w:hAnsi="Times New Roman" w:cs="Times New Roman"/>
                <w:color w:val="auto"/>
                <w:highlight w:val="none"/>
              </w:rPr>
              <w:t>，其中至少有15m</w:t>
            </w:r>
            <w:r>
              <w:rPr>
                <w:rFonts w:ascii="Times New Roman" w:hAnsi="Times New Roman" w:cs="Times New Roman"/>
                <w:color w:val="auto"/>
                <w:highlight w:val="none"/>
                <w:vertAlign w:val="superscript"/>
              </w:rPr>
              <w:t>2</w:t>
            </w:r>
            <w:r>
              <w:rPr>
                <w:rFonts w:ascii="Times New Roman" w:hAnsi="Times New Roman" w:cs="Times New Roman"/>
                <w:color w:val="auto"/>
                <w:highlight w:val="none"/>
              </w:rPr>
              <w:t>作为检验样品，15m</w:t>
            </w:r>
            <w:r>
              <w:rPr>
                <w:rFonts w:ascii="Times New Roman" w:hAnsi="Times New Roman" w:cs="Times New Roman"/>
                <w:color w:val="auto"/>
                <w:highlight w:val="none"/>
                <w:vertAlign w:val="superscript"/>
              </w:rPr>
              <w:t>2</w:t>
            </w:r>
            <w:r>
              <w:rPr>
                <w:rFonts w:ascii="Times New Roman" w:hAnsi="Times New Roman" w:cs="Times New Roman"/>
                <w:color w:val="auto"/>
                <w:highlight w:val="none"/>
              </w:rPr>
              <w:t>作为备用样品；</w:t>
            </w:r>
          </w:p>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highlight w:val="none"/>
              </w:rPr>
              <w:t>对燃烧性能明示为A（A</w:t>
            </w:r>
            <w:r>
              <w:rPr>
                <w:rFonts w:ascii="Times New Roman" w:hAnsi="Times New Roman" w:cs="Times New Roman"/>
                <w:color w:val="auto"/>
                <w:highlight w:val="none"/>
                <w:vertAlign w:val="subscript"/>
              </w:rPr>
              <w:t>1</w:t>
            </w:r>
            <w:r>
              <w:rPr>
                <w:rFonts w:ascii="Times New Roman" w:hAnsi="Times New Roman" w:cs="Times New Roman"/>
                <w:color w:val="auto"/>
                <w:highlight w:val="none"/>
              </w:rPr>
              <w:t>）级产品取样时，在同一批次产品中抽取样品不少于6m</w:t>
            </w:r>
            <w:r>
              <w:rPr>
                <w:rFonts w:ascii="Times New Roman" w:hAnsi="Times New Roman" w:cs="Times New Roman"/>
                <w:color w:val="auto"/>
                <w:highlight w:val="none"/>
                <w:vertAlign w:val="superscript"/>
              </w:rPr>
              <w:t>2</w:t>
            </w:r>
            <w:r>
              <w:rPr>
                <w:rFonts w:ascii="Times New Roman" w:hAnsi="Times New Roman" w:cs="Times New Roman"/>
                <w:color w:val="auto"/>
                <w:highlight w:val="none"/>
              </w:rPr>
              <w:t>，其中至少有3m</w:t>
            </w:r>
            <w:r>
              <w:rPr>
                <w:rFonts w:ascii="Times New Roman" w:hAnsi="Times New Roman" w:cs="Times New Roman"/>
                <w:color w:val="auto"/>
                <w:highlight w:val="none"/>
                <w:vertAlign w:val="superscript"/>
              </w:rPr>
              <w:t>2</w:t>
            </w:r>
            <w:r>
              <w:rPr>
                <w:rFonts w:ascii="Times New Roman" w:hAnsi="Times New Roman" w:cs="Times New Roman"/>
                <w:color w:val="auto"/>
                <w:highlight w:val="none"/>
              </w:rPr>
              <w:t>作为检验样品，3m</w:t>
            </w:r>
            <w:r>
              <w:rPr>
                <w:rFonts w:ascii="Times New Roman" w:hAnsi="Times New Roman" w:cs="Times New Roman"/>
                <w:color w:val="auto"/>
                <w:highlight w:val="none"/>
                <w:vertAlign w:val="superscript"/>
              </w:rPr>
              <w:t>2</w:t>
            </w:r>
            <w:r>
              <w:rPr>
                <w:rFonts w:ascii="Times New Roman" w:hAnsi="Times New Roman" w:cs="Times New Roman"/>
                <w:color w:val="auto"/>
                <w:highlight w:val="none"/>
              </w:rPr>
              <w:t>作为备用样品。</w:t>
            </w:r>
          </w:p>
        </w:tc>
        <w:tc>
          <w:tcPr>
            <w:tcW w:w="1419"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w:t>
            </w:r>
          </w:p>
        </w:tc>
        <w:tc>
          <w:tcPr>
            <w:tcW w:w="1404" w:type="dxa"/>
            <w:vAlign w:val="center"/>
          </w:tcPr>
          <w:p>
            <w:pPr>
              <w:adjustRightInd w:val="0"/>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w:t>
            </w:r>
          </w:p>
        </w:tc>
        <w:tc>
          <w:tcPr>
            <w:tcW w:w="729" w:type="dxa"/>
          </w:tcPr>
          <w:p>
            <w:pPr>
              <w:adjustRightInd w:val="0"/>
              <w:snapToGrid w:val="0"/>
              <w:spacing w:line="440" w:lineRule="exact"/>
              <w:jc w:val="center"/>
              <w:rPr>
                <w:rFonts w:ascii="Times New Roman" w:hAnsi="Times New Roman" w:cs="Times New Roman"/>
                <w:color w:val="auto"/>
                <w:kern w:val="0"/>
                <w:highlight w:val="none"/>
              </w:rPr>
            </w:pPr>
          </w:p>
        </w:tc>
      </w:tr>
    </w:tbl>
    <w:p>
      <w:pPr>
        <w:snapToGrid w:val="0"/>
        <w:spacing w:line="440" w:lineRule="exact"/>
        <w:rPr>
          <w:rFonts w:ascii="Times New Roman" w:hAnsi="Times New Roman" w:eastAsia="黑体" w:cs="Times New Roman"/>
          <w:color w:val="auto"/>
          <w:highlight w:val="none"/>
        </w:rPr>
      </w:pPr>
    </w:p>
    <w:p>
      <w:pPr>
        <w:snapToGrid w:val="0"/>
        <w:spacing w:line="440" w:lineRule="exact"/>
        <w:rPr>
          <w:rFonts w:ascii="Times New Roman" w:hAnsi="Times New Roman" w:eastAsia="黑体" w:cs="Times New Roman"/>
          <w:color w:val="auto"/>
          <w:highlight w:val="none"/>
        </w:rPr>
      </w:pPr>
      <w:r>
        <w:rPr>
          <w:rFonts w:ascii="Times New Roman" w:hAnsi="Times New Roman" w:eastAsia="黑体" w:cs="Times New Roman"/>
          <w:color w:val="auto"/>
          <w:highlight w:val="none"/>
        </w:rPr>
        <w:t>2 检验依据</w:t>
      </w:r>
    </w:p>
    <w:p>
      <w:pPr>
        <w:snapToGrid w:val="0"/>
        <w:spacing w:line="440" w:lineRule="exact"/>
        <w:rPr>
          <w:rFonts w:ascii="Times New Roman" w:hAnsi="Times New Roman" w:cs="Times New Roman"/>
          <w:color w:val="auto"/>
          <w:highlight w:val="none"/>
        </w:rPr>
      </w:pPr>
      <w:bookmarkStart w:id="0" w:name="_Hlk40347690"/>
      <w:r>
        <w:rPr>
          <w:rFonts w:ascii="Times New Roman" w:hAnsi="Times New Roman" w:cs="Times New Roman"/>
          <w:color w:val="auto"/>
          <w:highlight w:val="none"/>
        </w:rPr>
        <w:t>2.1 外墙外保温用模塑聚苯乙烯泡沫塑料</w:t>
      </w:r>
    </w:p>
    <w:tbl>
      <w:tblPr>
        <w:tblStyle w:val="8"/>
        <w:tblW w:w="90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980"/>
        <w:gridCol w:w="2475"/>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jc w:val="center"/>
        </w:trPr>
        <w:tc>
          <w:tcPr>
            <w:tcW w:w="872"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序号</w:t>
            </w:r>
          </w:p>
        </w:tc>
        <w:tc>
          <w:tcPr>
            <w:tcW w:w="2980"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检验项目</w:t>
            </w:r>
          </w:p>
        </w:tc>
        <w:tc>
          <w:tcPr>
            <w:tcW w:w="2475" w:type="dxa"/>
            <w:vAlign w:val="center"/>
          </w:tcPr>
          <w:p>
            <w:pPr>
              <w:snapToGrid w:val="0"/>
              <w:spacing w:line="300" w:lineRule="exact"/>
              <w:jc w:val="center"/>
              <w:rPr>
                <w:rFonts w:ascii="Times New Roman" w:hAnsi="Times New Roman" w:cs="Times New Roman"/>
                <w:color w:val="auto"/>
                <w:highlight w:val="none"/>
              </w:rPr>
            </w:pPr>
            <w:r>
              <w:rPr>
                <w:rFonts w:hint="eastAsia" w:ascii="Times New Roman" w:hAnsi="Times New Roman" w:cs="Times New Roman"/>
                <w:bCs/>
                <w:color w:val="auto"/>
                <w:kern w:val="0"/>
                <w:highlight w:val="none"/>
              </w:rPr>
              <w:t>检验依据</w:t>
            </w:r>
          </w:p>
        </w:tc>
        <w:tc>
          <w:tcPr>
            <w:tcW w:w="2690"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872" w:type="dxa"/>
            <w:vAlign w:val="center"/>
          </w:tcPr>
          <w:p>
            <w:pPr>
              <w:snapToGrid w:val="0"/>
              <w:spacing w:line="300" w:lineRule="exact"/>
              <w:jc w:val="center"/>
              <w:rPr>
                <w:rFonts w:ascii="Times New Roman" w:hAnsi="Times New Roman" w:cs="Times New Roman"/>
                <w:color w:val="auto"/>
                <w:highlight w:val="none"/>
              </w:rPr>
            </w:pPr>
            <w:bookmarkStart w:id="1" w:name="_Hlk172041311"/>
            <w:r>
              <w:rPr>
                <w:rFonts w:ascii="Times New Roman" w:hAnsi="Times New Roman" w:cs="Times New Roman"/>
                <w:color w:val="auto"/>
                <w:highlight w:val="none"/>
              </w:rPr>
              <w:t>1</w:t>
            </w:r>
          </w:p>
        </w:tc>
        <w:tc>
          <w:tcPr>
            <w:tcW w:w="298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导热系数</w:t>
            </w:r>
          </w:p>
        </w:tc>
        <w:tc>
          <w:tcPr>
            <w:tcW w:w="2475"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29906—2013</w:t>
            </w:r>
          </w:p>
        </w:tc>
        <w:tc>
          <w:tcPr>
            <w:tcW w:w="2690"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10294—2008</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 xml:space="preserve"> GB/T 10295—2008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872"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298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表观密度</w:t>
            </w:r>
          </w:p>
        </w:tc>
        <w:tc>
          <w:tcPr>
            <w:tcW w:w="2475"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29906—2013</w:t>
            </w:r>
          </w:p>
        </w:tc>
        <w:tc>
          <w:tcPr>
            <w:tcW w:w="2690"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或</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6343—2009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872"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298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垂直于板面方向的抗拉强度</w:t>
            </w:r>
          </w:p>
        </w:tc>
        <w:tc>
          <w:tcPr>
            <w:tcW w:w="2475"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29906—2013</w:t>
            </w:r>
          </w:p>
        </w:tc>
        <w:tc>
          <w:tcPr>
            <w:tcW w:w="2690"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29906—2013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872"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4</w:t>
            </w:r>
          </w:p>
        </w:tc>
        <w:tc>
          <w:tcPr>
            <w:tcW w:w="298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吸水率（体积分数）</w:t>
            </w:r>
          </w:p>
        </w:tc>
        <w:tc>
          <w:tcPr>
            <w:tcW w:w="2475"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29906—2013</w:t>
            </w:r>
          </w:p>
        </w:tc>
        <w:tc>
          <w:tcPr>
            <w:tcW w:w="2690"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或</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8810—2005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872"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5</w:t>
            </w:r>
          </w:p>
        </w:tc>
        <w:tc>
          <w:tcPr>
            <w:tcW w:w="298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燃烧性能等级</w:t>
            </w:r>
          </w:p>
        </w:tc>
        <w:tc>
          <w:tcPr>
            <w:tcW w:w="2475"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tc>
        <w:tc>
          <w:tcPr>
            <w:tcW w:w="2690"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20284—2006</w:t>
            </w:r>
            <w:r>
              <w:rPr>
                <w:rFonts w:hint="eastAsia" w:ascii="Times New Roman" w:hAnsi="Times New Roman" w:cs="Times New Roman"/>
                <w:color w:val="auto"/>
                <w:highlight w:val="none"/>
              </w:rPr>
              <w:t>或</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8626—2007</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2406.2—2009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872"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6</w:t>
            </w:r>
          </w:p>
        </w:tc>
        <w:tc>
          <w:tcPr>
            <w:tcW w:w="298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六溴环十二烷</w:t>
            </w:r>
            <w:r>
              <w:rPr>
                <w:rFonts w:hint="eastAsia" w:ascii="Times New Roman" w:hAnsi="Times New Roman" w:cs="Times New Roman"/>
                <w:color w:val="auto"/>
                <w:highlight w:val="none"/>
              </w:rPr>
              <w:t>的限值</w:t>
            </w:r>
          </w:p>
        </w:tc>
        <w:tc>
          <w:tcPr>
            <w:tcW w:w="2475"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41077—2021</w:t>
            </w:r>
          </w:p>
        </w:tc>
        <w:tc>
          <w:tcPr>
            <w:tcW w:w="2690"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41077—2021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872" w:type="dxa"/>
            <w:vAlign w:val="center"/>
          </w:tcPr>
          <w:p>
            <w:pPr>
              <w:snapToGrid w:val="0"/>
              <w:spacing w:line="300" w:lineRule="exact"/>
              <w:jc w:val="center"/>
              <w:rPr>
                <w:rFonts w:ascii="Times New Roman" w:hAnsi="Times New Roman" w:cs="Times New Roman"/>
                <w:color w:val="auto"/>
                <w:highlight w:val="none"/>
              </w:rPr>
            </w:pPr>
            <w:r>
              <w:rPr>
                <w:rFonts w:hint="eastAsia" w:ascii="Times New Roman" w:hAnsi="Times New Roman" w:cs="Times New Roman"/>
                <w:color w:val="auto"/>
                <w:highlight w:val="none"/>
              </w:rPr>
              <w:t>7</w:t>
            </w:r>
          </w:p>
        </w:tc>
        <w:tc>
          <w:tcPr>
            <w:tcW w:w="2980" w:type="dxa"/>
            <w:vAlign w:val="center"/>
          </w:tcPr>
          <w:p>
            <w:pPr>
              <w:widowControl/>
              <w:snapToGrid w:val="0"/>
              <w:spacing w:line="440" w:lineRule="exact"/>
              <w:jc w:val="center"/>
              <w:rPr>
                <w:rFonts w:ascii="Times New Roman" w:hAnsi="Times New Roman" w:cs="Times New Roman"/>
                <w:color w:val="auto"/>
                <w:kern w:val="0"/>
                <w:highlight w:val="none"/>
              </w:rPr>
            </w:pPr>
            <w:r>
              <w:rPr>
                <w:rFonts w:hint="eastAsia" w:ascii="Times New Roman" w:hAnsi="Times New Roman" w:cs="Times New Roman"/>
                <w:color w:val="auto"/>
                <w:kern w:val="0"/>
                <w:highlight w:val="none"/>
              </w:rPr>
              <w:t>产品合格证</w:t>
            </w:r>
          </w:p>
        </w:tc>
        <w:tc>
          <w:tcPr>
            <w:tcW w:w="247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29906—2013</w:t>
            </w:r>
          </w:p>
        </w:tc>
        <w:tc>
          <w:tcPr>
            <w:tcW w:w="2690"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29906—2013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9017" w:type="dxa"/>
            <w:gridSpan w:val="4"/>
            <w:vAlign w:val="center"/>
          </w:tcPr>
          <w:p>
            <w:pPr>
              <w:snapToGrid w:val="0"/>
              <w:spacing w:line="440" w:lineRule="exact"/>
              <w:jc w:val="left"/>
              <w:rPr>
                <w:rFonts w:ascii="Times New Roman" w:hAnsi="Times New Roman" w:cs="Times New Roman"/>
                <w:color w:val="auto"/>
                <w:highlight w:val="none"/>
              </w:rPr>
            </w:pPr>
            <w:r>
              <w:rPr>
                <w:rFonts w:ascii="Times New Roman" w:hAnsi="Times New Roman" w:cs="Times New Roman"/>
                <w:color w:val="auto"/>
                <w:highlight w:val="none"/>
              </w:rPr>
              <w:t xml:space="preserve">注：GB/T </w:t>
            </w:r>
            <w:r>
              <w:rPr>
                <w:rFonts w:hint="eastAsia" w:ascii="Times New Roman" w:hAnsi="Times New Roman" w:cs="Times New Roman"/>
                <w:color w:val="auto"/>
                <w:highlight w:val="none"/>
              </w:rPr>
              <w:t>10801.1</w:t>
            </w:r>
            <w:r>
              <w:rPr>
                <w:rFonts w:ascii="Times New Roman" w:hAnsi="Times New Roman" w:cs="Times New Roman"/>
                <w:color w:val="auto"/>
                <w:highlight w:val="none"/>
              </w:rPr>
              <w:t>—202</w:t>
            </w:r>
            <w:r>
              <w:rPr>
                <w:rFonts w:hint="eastAsia" w:ascii="Times New Roman" w:hAnsi="Times New Roman" w:cs="Times New Roman"/>
                <w:color w:val="auto"/>
                <w:highlight w:val="none"/>
              </w:rPr>
              <w:t>5</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07</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10</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p>
        </w:tc>
      </w:tr>
      <w:bookmarkEnd w:id="1"/>
    </w:tbl>
    <w:p>
      <w:pPr>
        <w:rPr>
          <w:rFonts w:ascii="Times New Roman" w:hAnsi="Times New Roman" w:cs="Times New Roman"/>
          <w:color w:val="auto"/>
          <w:highlight w:val="none"/>
        </w:rPr>
      </w:pPr>
    </w:p>
    <w:p>
      <w:pPr>
        <w:rPr>
          <w:rFonts w:ascii="Times New Roman" w:hAnsi="Times New Roman" w:cs="Times New Roman"/>
          <w:color w:val="auto"/>
          <w:highlight w:val="none"/>
        </w:rPr>
      </w:pPr>
      <w:r>
        <w:rPr>
          <w:rFonts w:ascii="Times New Roman" w:hAnsi="Times New Roman" w:cs="Times New Roman"/>
          <w:color w:val="auto"/>
          <w:highlight w:val="none"/>
        </w:rPr>
        <w:t>2.2 绝热用模塑聚苯乙烯泡沫塑料</w:t>
      </w:r>
    </w:p>
    <w:tbl>
      <w:tblPr>
        <w:tblStyle w:val="8"/>
        <w:tblW w:w="92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2581"/>
        <w:gridCol w:w="2601"/>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jc w:val="center"/>
        </w:trPr>
        <w:tc>
          <w:tcPr>
            <w:tcW w:w="122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序号</w:t>
            </w:r>
          </w:p>
        </w:tc>
        <w:tc>
          <w:tcPr>
            <w:tcW w:w="258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检验项目</w:t>
            </w:r>
          </w:p>
        </w:tc>
        <w:tc>
          <w:tcPr>
            <w:tcW w:w="2601" w:type="dxa"/>
            <w:vAlign w:val="center"/>
          </w:tcPr>
          <w:p>
            <w:pPr>
              <w:jc w:val="center"/>
              <w:rPr>
                <w:rFonts w:ascii="Times New Roman" w:hAnsi="Times New Roman" w:cs="Times New Roman"/>
                <w:color w:val="auto"/>
                <w:highlight w:val="none"/>
              </w:rPr>
            </w:pPr>
            <w:r>
              <w:rPr>
                <w:rFonts w:hint="eastAsia" w:ascii="Times New Roman" w:hAnsi="Times New Roman" w:cs="Times New Roman"/>
                <w:bCs/>
                <w:color w:val="auto"/>
                <w:kern w:val="0"/>
                <w:highlight w:val="none"/>
              </w:rPr>
              <w:t>检验依据</w:t>
            </w:r>
          </w:p>
        </w:tc>
        <w:tc>
          <w:tcPr>
            <w:tcW w:w="287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21" w:type="dxa"/>
            <w:vAlign w:val="center"/>
          </w:tcPr>
          <w:p>
            <w:pPr>
              <w:jc w:val="center"/>
              <w:rPr>
                <w:rFonts w:ascii="Times New Roman" w:hAnsi="Times New Roman" w:cs="Times New Roman"/>
                <w:color w:val="auto"/>
                <w:highlight w:val="none"/>
              </w:rPr>
            </w:pPr>
            <w:bookmarkStart w:id="2" w:name="_Hlk172041321"/>
            <w:r>
              <w:rPr>
                <w:rFonts w:ascii="Times New Roman" w:hAnsi="Times New Roman" w:cs="Times New Roman"/>
                <w:color w:val="auto"/>
                <w:highlight w:val="none"/>
              </w:rPr>
              <w:t>1</w:t>
            </w:r>
          </w:p>
        </w:tc>
        <w:tc>
          <w:tcPr>
            <w:tcW w:w="258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压缩强度</w:t>
            </w:r>
            <w:r>
              <w:rPr>
                <w:rFonts w:hint="eastAsia" w:ascii="Times New Roman" w:hAnsi="Times New Roman" w:cs="Times New Roman"/>
                <w:color w:val="auto"/>
                <w:highlight w:val="none"/>
              </w:rPr>
              <w:t>或压缩性能</w:t>
            </w:r>
          </w:p>
        </w:tc>
        <w:tc>
          <w:tcPr>
            <w:tcW w:w="260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tc>
        <w:tc>
          <w:tcPr>
            <w:tcW w:w="287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8813—2020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2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258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表观密度偏差</w:t>
            </w:r>
          </w:p>
        </w:tc>
        <w:tc>
          <w:tcPr>
            <w:tcW w:w="260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tc>
        <w:tc>
          <w:tcPr>
            <w:tcW w:w="287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p>
            <w:pPr>
              <w:jc w:val="center"/>
              <w:rPr>
                <w:rFonts w:ascii="Times New Roman" w:hAnsi="Times New Roman" w:cs="Times New Roman"/>
                <w:color w:val="auto"/>
                <w:highlight w:val="none"/>
              </w:rPr>
            </w:pPr>
            <w:r>
              <w:rPr>
                <w:rFonts w:ascii="Times New Roman" w:hAnsi="Times New Roman" w:cs="Times New Roman"/>
                <w:color w:val="auto"/>
                <w:highlight w:val="none"/>
              </w:rPr>
              <w:t>GB /T 6343—2009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2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2581" w:type="dxa"/>
            <w:vAlign w:val="center"/>
          </w:tcPr>
          <w:p>
            <w:pPr>
              <w:jc w:val="center"/>
              <w:rPr>
                <w:rFonts w:hint="eastAsia" w:ascii="Times New Roman" w:hAnsi="Times New Roman" w:cs="Times New Roman"/>
                <w:color w:val="auto"/>
                <w:highlight w:val="none"/>
              </w:rPr>
            </w:pPr>
            <w:r>
              <w:rPr>
                <w:rFonts w:ascii="Times New Roman" w:hAnsi="Times New Roman" w:cs="Times New Roman"/>
                <w:color w:val="auto"/>
                <w:highlight w:val="none"/>
              </w:rPr>
              <w:t>导热系数（平均温度25</w:t>
            </w:r>
            <w:r>
              <w:rPr>
                <w:rFonts w:ascii="Times New Roman" w:hAnsi="Times New Roman" w:eastAsia="微软雅黑" w:cs="Times New Roman"/>
                <w:color w:val="auto"/>
                <w:highlight w:val="none"/>
              </w:rPr>
              <w:t>℃</w:t>
            </w:r>
            <w:r>
              <w:rPr>
                <w:rFonts w:ascii="Times New Roman" w:hAnsi="Times New Roman" w:cs="Times New Roman"/>
                <w:color w:val="auto"/>
                <w:highlight w:val="none"/>
              </w:rPr>
              <w:t>）</w:t>
            </w:r>
            <w:r>
              <w:rPr>
                <w:rFonts w:hint="eastAsia" w:ascii="Times New Roman" w:hAnsi="Times New Roman" w:cs="Times New Roman"/>
                <w:color w:val="auto"/>
                <w:highlight w:val="none"/>
              </w:rPr>
              <w:t>或导热系数平均温度为（</w:t>
            </w:r>
            <w:r>
              <w:rPr>
                <w:rFonts w:ascii="Times New Roman" w:hAnsi="Times New Roman" w:cs="Times New Roman"/>
                <w:color w:val="auto"/>
                <w:highlight w:val="none"/>
              </w:rPr>
              <w:t>25</w:t>
            </w:r>
            <w:r>
              <w:rPr>
                <w:rFonts w:hint="eastAsia" w:ascii="Times New Roman" w:hAnsi="Times New Roman" w:cs="Times New Roman"/>
                <w:color w:val="auto"/>
                <w:highlight w:val="none"/>
              </w:rPr>
              <w:t>±2）</w:t>
            </w:r>
            <w:r>
              <w:rPr>
                <w:rFonts w:ascii="Times New Roman" w:hAnsi="Times New Roman" w:eastAsia="微软雅黑" w:cs="Times New Roman"/>
                <w:color w:val="auto"/>
                <w:highlight w:val="none"/>
              </w:rPr>
              <w:t>℃</w:t>
            </w:r>
          </w:p>
        </w:tc>
        <w:tc>
          <w:tcPr>
            <w:tcW w:w="260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tc>
        <w:tc>
          <w:tcPr>
            <w:tcW w:w="287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10294—2008</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10295—2008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2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4</w:t>
            </w:r>
          </w:p>
        </w:tc>
        <w:tc>
          <w:tcPr>
            <w:tcW w:w="258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吸水率</w:t>
            </w:r>
          </w:p>
        </w:tc>
        <w:tc>
          <w:tcPr>
            <w:tcW w:w="260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或</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tc>
        <w:tc>
          <w:tcPr>
            <w:tcW w:w="287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8810—2005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2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5</w:t>
            </w:r>
          </w:p>
        </w:tc>
        <w:tc>
          <w:tcPr>
            <w:tcW w:w="258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燃烧性能</w:t>
            </w:r>
          </w:p>
        </w:tc>
        <w:tc>
          <w:tcPr>
            <w:tcW w:w="260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tc>
        <w:tc>
          <w:tcPr>
            <w:tcW w:w="287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20284—2006</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11785—2005</w:t>
            </w:r>
            <w:r>
              <w:rPr>
                <w:rFonts w:hint="eastAsia" w:ascii="Times New Roman" w:hAnsi="Times New Roman" w:cs="Times New Roman"/>
                <w:color w:val="auto"/>
                <w:highlight w:val="none"/>
              </w:rPr>
              <w:t>或</w:t>
            </w:r>
            <w:r>
              <w:rPr>
                <w:rFonts w:ascii="Times New Roman" w:hAnsi="Times New Roman" w:cs="Times New Roman"/>
                <w:color w:val="auto"/>
                <w:highlight w:val="none"/>
              </w:rPr>
              <w:t>GB/T 11785—20</w:t>
            </w:r>
            <w:r>
              <w:rPr>
                <w:rFonts w:hint="eastAsia" w:ascii="Times New Roman" w:hAnsi="Times New Roman" w:cs="Times New Roman"/>
                <w:color w:val="auto"/>
                <w:highlight w:val="none"/>
              </w:rPr>
              <w:t>26</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8626—2007</w:t>
            </w:r>
            <w:r>
              <w:rPr>
                <w:rFonts w:hint="eastAsia" w:ascii="Times New Roman" w:hAnsi="Times New Roman" w:cs="Times New Roman"/>
                <w:color w:val="auto"/>
                <w:highlight w:val="none"/>
              </w:rPr>
              <w:t>或</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2406.2—2009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2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6</w:t>
            </w:r>
          </w:p>
        </w:tc>
        <w:tc>
          <w:tcPr>
            <w:tcW w:w="258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六溴环十二烷</w:t>
            </w:r>
            <w:r>
              <w:rPr>
                <w:rFonts w:hint="eastAsia" w:ascii="Times New Roman" w:hAnsi="Times New Roman" w:cs="Times New Roman"/>
                <w:color w:val="auto"/>
                <w:highlight w:val="none"/>
              </w:rPr>
              <w:t>的限值</w:t>
            </w:r>
          </w:p>
        </w:tc>
        <w:tc>
          <w:tcPr>
            <w:tcW w:w="260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41077—2021</w:t>
            </w:r>
          </w:p>
        </w:tc>
        <w:tc>
          <w:tcPr>
            <w:tcW w:w="287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41077—2021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21" w:type="dxa"/>
            <w:vAlign w:val="center"/>
          </w:tcPr>
          <w:p>
            <w:pPr>
              <w:snapToGrid w:val="0"/>
              <w:spacing w:line="300" w:lineRule="exact"/>
              <w:jc w:val="center"/>
              <w:rPr>
                <w:rFonts w:ascii="Times New Roman" w:hAnsi="Times New Roman" w:cs="Times New Roman"/>
                <w:color w:val="auto"/>
                <w:highlight w:val="none"/>
              </w:rPr>
            </w:pPr>
            <w:r>
              <w:rPr>
                <w:rFonts w:hint="eastAsia" w:ascii="Times New Roman" w:hAnsi="Times New Roman" w:cs="Times New Roman"/>
                <w:color w:val="auto"/>
                <w:highlight w:val="none"/>
              </w:rPr>
              <w:t>7</w:t>
            </w:r>
          </w:p>
        </w:tc>
        <w:tc>
          <w:tcPr>
            <w:tcW w:w="2581"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标志</w:t>
            </w:r>
          </w:p>
        </w:tc>
        <w:tc>
          <w:tcPr>
            <w:tcW w:w="2601"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tc>
        <w:tc>
          <w:tcPr>
            <w:tcW w:w="287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10801.1—2021</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9278" w:type="dxa"/>
            <w:gridSpan w:val="4"/>
            <w:vAlign w:val="center"/>
          </w:tcPr>
          <w:p>
            <w:pPr>
              <w:jc w:val="left"/>
              <w:rPr>
                <w:rFonts w:ascii="Times New Roman" w:hAnsi="Times New Roman" w:cs="Times New Roman"/>
                <w:color w:val="auto"/>
                <w:highlight w:val="none"/>
              </w:rPr>
            </w:pPr>
            <w:r>
              <w:rPr>
                <w:rFonts w:ascii="Times New Roman" w:hAnsi="Times New Roman" w:cs="Times New Roman"/>
                <w:color w:val="auto"/>
                <w:highlight w:val="none"/>
              </w:rPr>
              <w:t xml:space="preserve">注：GB/T </w:t>
            </w:r>
            <w:r>
              <w:rPr>
                <w:rFonts w:hint="eastAsia" w:ascii="Times New Roman" w:hAnsi="Times New Roman" w:cs="Times New Roman"/>
                <w:color w:val="auto"/>
                <w:highlight w:val="none"/>
              </w:rPr>
              <w:t>10801.1</w:t>
            </w:r>
            <w:r>
              <w:rPr>
                <w:rFonts w:ascii="Times New Roman" w:hAnsi="Times New Roman" w:cs="Times New Roman"/>
                <w:color w:val="auto"/>
                <w:highlight w:val="none"/>
              </w:rPr>
              <w:t>—202</w:t>
            </w:r>
            <w:r>
              <w:rPr>
                <w:rFonts w:hint="eastAsia" w:ascii="Times New Roman" w:hAnsi="Times New Roman" w:cs="Times New Roman"/>
                <w:color w:val="auto"/>
                <w:highlight w:val="none"/>
              </w:rPr>
              <w:t>5</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07</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r>
              <w:rPr>
                <w:rFonts w:ascii="Times New Roman" w:hAnsi="Times New Roman" w:cs="Times New Roman"/>
                <w:color w:val="auto"/>
                <w:highlight w:val="none"/>
              </w:rPr>
              <w:t>GB/T 11785—20</w:t>
            </w:r>
            <w:r>
              <w:rPr>
                <w:rFonts w:hint="eastAsia" w:ascii="Times New Roman" w:hAnsi="Times New Roman" w:cs="Times New Roman"/>
                <w:color w:val="auto"/>
                <w:highlight w:val="none"/>
              </w:rPr>
              <w:t>26、</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10</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p>
        </w:tc>
      </w:tr>
      <w:bookmarkEnd w:id="2"/>
    </w:tbl>
    <w:p>
      <w:pPr>
        <w:rPr>
          <w:rFonts w:ascii="Times New Roman" w:hAnsi="Times New Roman" w:cs="Times New Roman"/>
          <w:color w:val="auto"/>
          <w:highlight w:val="none"/>
        </w:rPr>
      </w:pPr>
    </w:p>
    <w:p>
      <w:pPr>
        <w:rPr>
          <w:rFonts w:ascii="Times New Roman" w:hAnsi="Times New Roman" w:cs="Times New Roman"/>
          <w:color w:val="auto"/>
          <w:highlight w:val="none"/>
        </w:rPr>
      </w:pPr>
      <w:r>
        <w:rPr>
          <w:rFonts w:ascii="Times New Roman" w:hAnsi="Times New Roman" w:cs="Times New Roman"/>
          <w:color w:val="auto"/>
          <w:highlight w:val="none"/>
        </w:rPr>
        <w:t>2.3 建筑绝热用石墨改性模塑聚苯乙烯泡沫塑料</w:t>
      </w:r>
    </w:p>
    <w:tbl>
      <w:tblPr>
        <w:tblStyle w:val="8"/>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635"/>
        <w:gridCol w:w="2782"/>
        <w:gridCol w:w="2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trPr>
        <w:tc>
          <w:tcPr>
            <w:tcW w:w="1134"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序号</w:t>
            </w:r>
          </w:p>
        </w:tc>
        <w:tc>
          <w:tcPr>
            <w:tcW w:w="263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检验项目</w:t>
            </w:r>
          </w:p>
        </w:tc>
        <w:tc>
          <w:tcPr>
            <w:tcW w:w="2782" w:type="dxa"/>
            <w:vAlign w:val="center"/>
          </w:tcPr>
          <w:p>
            <w:pPr>
              <w:jc w:val="center"/>
              <w:rPr>
                <w:rFonts w:ascii="Times New Roman" w:hAnsi="Times New Roman" w:cs="Times New Roman"/>
                <w:color w:val="auto"/>
                <w:highlight w:val="none"/>
              </w:rPr>
            </w:pPr>
            <w:r>
              <w:rPr>
                <w:rFonts w:hint="eastAsia" w:ascii="Times New Roman" w:hAnsi="Times New Roman" w:cs="Times New Roman"/>
                <w:bCs/>
                <w:color w:val="auto"/>
                <w:kern w:val="0"/>
                <w:highlight w:val="none"/>
              </w:rPr>
              <w:t>检验依据</w:t>
            </w:r>
          </w:p>
        </w:tc>
        <w:tc>
          <w:tcPr>
            <w:tcW w:w="251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134"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263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表观密度</w:t>
            </w:r>
          </w:p>
        </w:tc>
        <w:tc>
          <w:tcPr>
            <w:tcW w:w="2782"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JC/T 2441—2018</w:t>
            </w:r>
          </w:p>
        </w:tc>
        <w:tc>
          <w:tcPr>
            <w:tcW w:w="251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JC/T 2441—2018</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6343—2009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134"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263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压缩强度</w:t>
            </w:r>
          </w:p>
        </w:tc>
        <w:tc>
          <w:tcPr>
            <w:tcW w:w="2782"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JC/T 2441—2018</w:t>
            </w:r>
          </w:p>
        </w:tc>
        <w:tc>
          <w:tcPr>
            <w:tcW w:w="251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8813—20</w:t>
            </w:r>
            <w:r>
              <w:rPr>
                <w:rFonts w:hint="eastAsia" w:ascii="Times New Roman" w:hAnsi="Times New Roman" w:cs="Times New Roman"/>
                <w:color w:val="auto"/>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134"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263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垂直于表面抗拉强度</w:t>
            </w:r>
          </w:p>
        </w:tc>
        <w:tc>
          <w:tcPr>
            <w:tcW w:w="2782"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JC/T 2441—2018</w:t>
            </w:r>
          </w:p>
        </w:tc>
        <w:tc>
          <w:tcPr>
            <w:tcW w:w="251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JC/T 2441—2018</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30804—2014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134"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4</w:t>
            </w:r>
          </w:p>
        </w:tc>
        <w:tc>
          <w:tcPr>
            <w:tcW w:w="263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导热系数［平均温度（25±2）</w:t>
            </w:r>
            <w:r>
              <w:rPr>
                <w:rFonts w:ascii="Times New Roman" w:hAnsi="Times New Roman" w:eastAsia="微软雅黑" w:cs="Times New Roman"/>
                <w:color w:val="auto"/>
                <w:highlight w:val="none"/>
              </w:rPr>
              <w:t>℃</w:t>
            </w:r>
            <w:r>
              <w:rPr>
                <w:rFonts w:ascii="Times New Roman" w:hAnsi="Times New Roman" w:cs="Times New Roman"/>
                <w:color w:val="auto"/>
                <w:highlight w:val="none"/>
              </w:rPr>
              <w:t>］</w:t>
            </w:r>
          </w:p>
        </w:tc>
        <w:tc>
          <w:tcPr>
            <w:tcW w:w="2782"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JC/T 2441—2018</w:t>
            </w:r>
          </w:p>
        </w:tc>
        <w:tc>
          <w:tcPr>
            <w:tcW w:w="251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 xml:space="preserve">GB/T 10294—2008 </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10295—2008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134"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5</w:t>
            </w:r>
          </w:p>
        </w:tc>
        <w:tc>
          <w:tcPr>
            <w:tcW w:w="263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体积吸水率</w:t>
            </w:r>
          </w:p>
        </w:tc>
        <w:tc>
          <w:tcPr>
            <w:tcW w:w="2782"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JC/T 2441—2018</w:t>
            </w:r>
          </w:p>
        </w:tc>
        <w:tc>
          <w:tcPr>
            <w:tcW w:w="251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8810—2005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134"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6</w:t>
            </w:r>
          </w:p>
        </w:tc>
        <w:tc>
          <w:tcPr>
            <w:tcW w:w="263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燃烧性能等级</w:t>
            </w:r>
          </w:p>
        </w:tc>
        <w:tc>
          <w:tcPr>
            <w:tcW w:w="2782"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tc>
        <w:tc>
          <w:tcPr>
            <w:tcW w:w="251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20284—2006</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11785—2005</w:t>
            </w:r>
            <w:r>
              <w:rPr>
                <w:rFonts w:hint="eastAsia" w:ascii="Times New Roman" w:hAnsi="Times New Roman" w:cs="Times New Roman"/>
                <w:color w:val="auto"/>
                <w:highlight w:val="none"/>
              </w:rPr>
              <w:t>或</w:t>
            </w:r>
            <w:r>
              <w:rPr>
                <w:rFonts w:ascii="Times New Roman" w:hAnsi="Times New Roman" w:cs="Times New Roman"/>
                <w:color w:val="auto"/>
                <w:highlight w:val="none"/>
              </w:rPr>
              <w:t>GB/T 11785—20</w:t>
            </w:r>
            <w:r>
              <w:rPr>
                <w:rFonts w:hint="eastAsia" w:ascii="Times New Roman" w:hAnsi="Times New Roman" w:cs="Times New Roman"/>
                <w:color w:val="auto"/>
                <w:highlight w:val="none"/>
              </w:rPr>
              <w:t>26</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8626—2007</w:t>
            </w:r>
            <w:r>
              <w:rPr>
                <w:rFonts w:hint="eastAsia" w:ascii="Times New Roman" w:hAnsi="Times New Roman" w:cs="Times New Roman"/>
                <w:color w:val="auto"/>
                <w:highlight w:val="none"/>
              </w:rPr>
              <w:t>或</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2406.2—2009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134"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7</w:t>
            </w:r>
          </w:p>
        </w:tc>
        <w:tc>
          <w:tcPr>
            <w:tcW w:w="2635"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六溴环十二烷</w:t>
            </w:r>
            <w:r>
              <w:rPr>
                <w:rFonts w:hint="eastAsia" w:ascii="Times New Roman" w:hAnsi="Times New Roman" w:cs="Times New Roman"/>
                <w:color w:val="auto"/>
                <w:highlight w:val="none"/>
              </w:rPr>
              <w:t>的限值</w:t>
            </w:r>
          </w:p>
        </w:tc>
        <w:tc>
          <w:tcPr>
            <w:tcW w:w="2782"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41077—2021</w:t>
            </w:r>
          </w:p>
        </w:tc>
        <w:tc>
          <w:tcPr>
            <w:tcW w:w="251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41077—2021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134" w:type="dxa"/>
            <w:vAlign w:val="center"/>
          </w:tcPr>
          <w:p>
            <w:pPr>
              <w:snapToGrid w:val="0"/>
              <w:spacing w:line="300" w:lineRule="exact"/>
              <w:jc w:val="center"/>
              <w:rPr>
                <w:rFonts w:ascii="Times New Roman" w:hAnsi="Times New Roman" w:cs="Times New Roman"/>
                <w:color w:val="auto"/>
                <w:highlight w:val="none"/>
              </w:rPr>
            </w:pPr>
            <w:r>
              <w:rPr>
                <w:rFonts w:hint="eastAsia" w:ascii="Times New Roman" w:hAnsi="Times New Roman" w:cs="Times New Roman"/>
                <w:color w:val="auto"/>
                <w:highlight w:val="none"/>
              </w:rPr>
              <w:t>8</w:t>
            </w:r>
          </w:p>
        </w:tc>
        <w:tc>
          <w:tcPr>
            <w:tcW w:w="2635"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标志</w:t>
            </w:r>
          </w:p>
        </w:tc>
        <w:tc>
          <w:tcPr>
            <w:tcW w:w="2782"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JC/T 2441—2018</w:t>
            </w:r>
          </w:p>
        </w:tc>
        <w:tc>
          <w:tcPr>
            <w:tcW w:w="2510"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JC/T 2441—2018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9061" w:type="dxa"/>
            <w:gridSpan w:val="4"/>
            <w:vAlign w:val="center"/>
          </w:tcPr>
          <w:p>
            <w:pPr>
              <w:snapToGrid w:val="0"/>
              <w:spacing w:line="440" w:lineRule="exact"/>
              <w:jc w:val="left"/>
              <w:rPr>
                <w:rFonts w:ascii="Times New Roman" w:hAnsi="Times New Roman" w:cs="Times New Roman"/>
                <w:color w:val="auto"/>
                <w:highlight w:val="none"/>
              </w:rPr>
            </w:pPr>
            <w:r>
              <w:rPr>
                <w:rFonts w:ascii="Times New Roman" w:hAnsi="Times New Roman" w:cs="Times New Roman"/>
                <w:color w:val="auto"/>
                <w:highlight w:val="none"/>
              </w:rPr>
              <w:t>注：</w:t>
            </w:r>
            <w:r>
              <w:rPr>
                <w:rFonts w:hint="eastAsia" w:ascii="Times New Roman" w:hAnsi="Times New Roman" w:cs="Times New Roman"/>
                <w:color w:val="auto"/>
                <w:highlight w:val="none"/>
              </w:rPr>
              <w:t xml:space="preserve"> </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r>
              <w:rPr>
                <w:rFonts w:ascii="Times New Roman" w:hAnsi="Times New Roman" w:cs="Times New Roman"/>
                <w:color w:val="auto"/>
                <w:highlight w:val="none"/>
              </w:rPr>
              <w:t>GB/T 11785—20</w:t>
            </w:r>
            <w:r>
              <w:rPr>
                <w:rFonts w:hint="eastAsia" w:ascii="Times New Roman" w:hAnsi="Times New Roman" w:cs="Times New Roman"/>
                <w:color w:val="auto"/>
                <w:highlight w:val="none"/>
              </w:rPr>
              <w:t>26、</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10</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p>
        </w:tc>
      </w:tr>
    </w:tbl>
    <w:p>
      <w:pPr>
        <w:rPr>
          <w:rFonts w:ascii="Times New Roman" w:hAnsi="Times New Roman" w:cs="Times New Roman"/>
          <w:color w:val="auto"/>
          <w:highlight w:val="none"/>
        </w:rPr>
      </w:pPr>
    </w:p>
    <w:p>
      <w:pPr>
        <w:rPr>
          <w:rFonts w:ascii="Times New Roman" w:hAnsi="Times New Roman" w:cs="Times New Roman"/>
          <w:color w:val="auto"/>
          <w:highlight w:val="none"/>
        </w:rPr>
      </w:pPr>
      <w:r>
        <w:rPr>
          <w:rFonts w:ascii="Times New Roman" w:hAnsi="Times New Roman" w:cs="Times New Roman"/>
          <w:color w:val="auto"/>
          <w:highlight w:val="none"/>
        </w:rPr>
        <w:t>2.4 外墙外保温用挤塑聚苯乙烯泡沫塑料</w:t>
      </w:r>
    </w:p>
    <w:tbl>
      <w:tblPr>
        <w:tblStyle w:val="8"/>
        <w:tblW w:w="90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2630"/>
        <w:gridCol w:w="2590"/>
        <w:gridCol w:w="2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jc w:val="center"/>
        </w:trPr>
        <w:tc>
          <w:tcPr>
            <w:tcW w:w="1244"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序号</w:t>
            </w:r>
          </w:p>
        </w:tc>
        <w:tc>
          <w:tcPr>
            <w:tcW w:w="2630"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检验项目</w:t>
            </w:r>
          </w:p>
        </w:tc>
        <w:tc>
          <w:tcPr>
            <w:tcW w:w="2590" w:type="dxa"/>
            <w:vAlign w:val="center"/>
          </w:tcPr>
          <w:p>
            <w:pPr>
              <w:snapToGrid w:val="0"/>
              <w:spacing w:line="300" w:lineRule="exact"/>
              <w:jc w:val="center"/>
              <w:rPr>
                <w:rFonts w:ascii="Times New Roman" w:hAnsi="Times New Roman" w:cs="Times New Roman"/>
                <w:color w:val="auto"/>
                <w:highlight w:val="none"/>
              </w:rPr>
            </w:pPr>
            <w:r>
              <w:rPr>
                <w:rFonts w:hint="eastAsia" w:ascii="Times New Roman" w:hAnsi="Times New Roman" w:cs="Times New Roman"/>
                <w:bCs/>
                <w:color w:val="auto"/>
                <w:kern w:val="0"/>
                <w:highlight w:val="none"/>
              </w:rPr>
              <w:t>检验依据</w:t>
            </w:r>
          </w:p>
        </w:tc>
        <w:tc>
          <w:tcPr>
            <w:tcW w:w="2597"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44" w:type="dxa"/>
            <w:vAlign w:val="center"/>
          </w:tcPr>
          <w:p>
            <w:pPr>
              <w:snapToGrid w:val="0"/>
              <w:spacing w:line="300" w:lineRule="exact"/>
              <w:jc w:val="center"/>
              <w:rPr>
                <w:rFonts w:ascii="Times New Roman" w:hAnsi="Times New Roman" w:cs="Times New Roman"/>
                <w:color w:val="auto"/>
                <w:highlight w:val="none"/>
              </w:rPr>
            </w:pPr>
            <w:bookmarkStart w:id="3" w:name="_Hlk172041329"/>
            <w:r>
              <w:rPr>
                <w:rFonts w:ascii="Times New Roman" w:hAnsi="Times New Roman" w:cs="Times New Roman"/>
                <w:color w:val="auto"/>
                <w:highlight w:val="none"/>
              </w:rPr>
              <w:t>1</w:t>
            </w:r>
          </w:p>
        </w:tc>
        <w:tc>
          <w:tcPr>
            <w:tcW w:w="263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表观密度</w:t>
            </w:r>
          </w:p>
        </w:tc>
        <w:tc>
          <w:tcPr>
            <w:tcW w:w="259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30595—2024</w:t>
            </w:r>
          </w:p>
        </w:tc>
        <w:tc>
          <w:tcPr>
            <w:tcW w:w="2597"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6343—2009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44"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263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导热系数（25</w:t>
            </w:r>
            <w:r>
              <w:rPr>
                <w:rFonts w:ascii="Times New Roman" w:hAnsi="Times New Roman" w:eastAsia="微软雅黑" w:cs="Times New Roman"/>
                <w:color w:val="auto"/>
                <w:highlight w:val="none"/>
              </w:rPr>
              <w:t>℃</w:t>
            </w:r>
            <w:r>
              <w:rPr>
                <w:rFonts w:ascii="Times New Roman" w:hAnsi="Times New Roman" w:cs="Times New Roman"/>
                <w:color w:val="auto"/>
                <w:highlight w:val="none"/>
              </w:rPr>
              <w:t>）</w:t>
            </w:r>
          </w:p>
        </w:tc>
        <w:tc>
          <w:tcPr>
            <w:tcW w:w="2590" w:type="dxa"/>
            <w:vAlign w:val="center"/>
          </w:tcPr>
          <w:p>
            <w:pPr>
              <w:jc w:val="center"/>
              <w:rPr>
                <w:rFonts w:ascii="Times New Roman" w:hAnsi="Times New Roman" w:cs="Times New Roman"/>
                <w:color w:val="auto"/>
                <w:highlight w:val="none"/>
              </w:rPr>
            </w:pPr>
            <w:bookmarkStart w:id="4" w:name="OLE_LINK6"/>
            <w:bookmarkStart w:id="5" w:name="OLE_LINK5"/>
            <w:r>
              <w:rPr>
                <w:rFonts w:ascii="Times New Roman" w:hAnsi="Times New Roman" w:cs="Times New Roman"/>
                <w:color w:val="auto"/>
                <w:highlight w:val="none"/>
              </w:rPr>
              <w:t>GB/T 30595—2024</w:t>
            </w:r>
            <w:bookmarkEnd w:id="4"/>
            <w:bookmarkEnd w:id="5"/>
          </w:p>
        </w:tc>
        <w:tc>
          <w:tcPr>
            <w:tcW w:w="2597"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 xml:space="preserve">GB/T 10294—2008 </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10295—2008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5" w:hRule="atLeast"/>
          <w:jc w:val="center"/>
        </w:trPr>
        <w:tc>
          <w:tcPr>
            <w:tcW w:w="1244"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263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垂直于板面方向的抗拉强度</w:t>
            </w:r>
          </w:p>
        </w:tc>
        <w:tc>
          <w:tcPr>
            <w:tcW w:w="259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30595—2024</w:t>
            </w:r>
          </w:p>
        </w:tc>
        <w:tc>
          <w:tcPr>
            <w:tcW w:w="2597"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30595—2024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244"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4</w:t>
            </w:r>
          </w:p>
        </w:tc>
        <w:tc>
          <w:tcPr>
            <w:tcW w:w="263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吸水率（V/V）</w:t>
            </w:r>
          </w:p>
        </w:tc>
        <w:tc>
          <w:tcPr>
            <w:tcW w:w="259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30595—2024</w:t>
            </w:r>
          </w:p>
        </w:tc>
        <w:tc>
          <w:tcPr>
            <w:tcW w:w="2597"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30595—2024</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8810—2005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44"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5</w:t>
            </w:r>
          </w:p>
        </w:tc>
        <w:tc>
          <w:tcPr>
            <w:tcW w:w="263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氧指数</w:t>
            </w:r>
          </w:p>
        </w:tc>
        <w:tc>
          <w:tcPr>
            <w:tcW w:w="259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30595—2024</w:t>
            </w:r>
          </w:p>
        </w:tc>
        <w:tc>
          <w:tcPr>
            <w:tcW w:w="2597"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2406.2—2009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44"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6</w:t>
            </w:r>
          </w:p>
        </w:tc>
        <w:tc>
          <w:tcPr>
            <w:tcW w:w="263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燃烧性能等级</w:t>
            </w:r>
          </w:p>
        </w:tc>
        <w:tc>
          <w:tcPr>
            <w:tcW w:w="2590" w:type="dxa"/>
            <w:vAlign w:val="center"/>
          </w:tcPr>
          <w:p>
            <w:pPr>
              <w:jc w:val="center"/>
              <w:rPr>
                <w:rFonts w:ascii="Times New Roman" w:hAnsi="Times New Roman" w:cs="Times New Roman"/>
                <w:color w:val="auto"/>
                <w:highlight w:val="none"/>
              </w:rPr>
            </w:pPr>
            <w:bookmarkStart w:id="6" w:name="OLE_LINK3"/>
            <w:bookmarkStart w:id="7" w:name="OLE_LINK4"/>
            <w:r>
              <w:rPr>
                <w:rFonts w:ascii="Times New Roman" w:hAnsi="Times New Roman" w:cs="Times New Roman"/>
                <w:color w:val="auto"/>
                <w:highlight w:val="none"/>
              </w:rPr>
              <w:t>GB 8624—2012</w:t>
            </w:r>
            <w:bookmarkEnd w:id="6"/>
            <w:bookmarkEnd w:id="7"/>
          </w:p>
        </w:tc>
        <w:tc>
          <w:tcPr>
            <w:tcW w:w="2597"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20284—2006</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8626—2007</w:t>
            </w:r>
            <w:r>
              <w:rPr>
                <w:rFonts w:hint="eastAsia" w:ascii="Times New Roman" w:hAnsi="Times New Roman" w:cs="Times New Roman"/>
                <w:color w:val="auto"/>
                <w:highlight w:val="none"/>
              </w:rPr>
              <w:t>或</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44" w:type="dxa"/>
            <w:vAlign w:val="center"/>
          </w:tcPr>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7</w:t>
            </w:r>
          </w:p>
        </w:tc>
        <w:tc>
          <w:tcPr>
            <w:tcW w:w="2630" w:type="dxa"/>
            <w:vAlign w:val="center"/>
          </w:tcPr>
          <w:p>
            <w:pPr>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六溴环十二烷</w:t>
            </w:r>
            <w:r>
              <w:rPr>
                <w:rFonts w:hint="eastAsia" w:ascii="Times New Roman" w:hAnsi="Times New Roman" w:cs="Times New Roman"/>
                <w:color w:val="auto"/>
                <w:highlight w:val="none"/>
              </w:rPr>
              <w:t>的限值</w:t>
            </w:r>
          </w:p>
        </w:tc>
        <w:tc>
          <w:tcPr>
            <w:tcW w:w="259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41077—2021</w:t>
            </w:r>
          </w:p>
        </w:tc>
        <w:tc>
          <w:tcPr>
            <w:tcW w:w="2597"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41077—2021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44" w:type="dxa"/>
            <w:vMerge w:val="restart"/>
            <w:vAlign w:val="center"/>
          </w:tcPr>
          <w:p>
            <w:pPr>
              <w:snapToGrid w:val="0"/>
              <w:spacing w:line="300" w:lineRule="exact"/>
              <w:jc w:val="center"/>
              <w:rPr>
                <w:rFonts w:ascii="Times New Roman" w:hAnsi="Times New Roman" w:cs="Times New Roman"/>
                <w:color w:val="auto"/>
                <w:highlight w:val="none"/>
              </w:rPr>
            </w:pPr>
            <w:r>
              <w:rPr>
                <w:rFonts w:hint="eastAsia" w:ascii="Times New Roman" w:hAnsi="Times New Roman" w:cs="Times New Roman"/>
                <w:color w:val="auto"/>
                <w:highlight w:val="none"/>
              </w:rPr>
              <w:t>8</w:t>
            </w:r>
          </w:p>
        </w:tc>
        <w:tc>
          <w:tcPr>
            <w:tcW w:w="2630" w:type="dxa"/>
            <w:vAlign w:val="center"/>
          </w:tcPr>
          <w:p>
            <w:pPr>
              <w:widowControl/>
              <w:snapToGrid w:val="0"/>
              <w:spacing w:line="440" w:lineRule="exact"/>
              <w:jc w:val="center"/>
              <w:rPr>
                <w:rFonts w:ascii="Times New Roman" w:hAnsi="Times New Roman" w:cs="Times New Roman"/>
                <w:color w:val="auto"/>
                <w:kern w:val="0"/>
                <w:highlight w:val="none"/>
              </w:rPr>
            </w:pPr>
            <w:r>
              <w:rPr>
                <w:rFonts w:hint="eastAsia" w:ascii="Times New Roman" w:hAnsi="Times New Roman" w:cs="Times New Roman"/>
                <w:color w:val="auto"/>
                <w:kern w:val="0"/>
                <w:highlight w:val="none"/>
              </w:rPr>
              <w:t>产品合格证</w:t>
            </w:r>
          </w:p>
        </w:tc>
        <w:tc>
          <w:tcPr>
            <w:tcW w:w="2590"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30595—2024</w:t>
            </w:r>
          </w:p>
        </w:tc>
        <w:tc>
          <w:tcPr>
            <w:tcW w:w="2597"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30595—2024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244" w:type="dxa"/>
            <w:vMerge w:val="continue"/>
            <w:vAlign w:val="center"/>
          </w:tcPr>
          <w:p>
            <w:pPr>
              <w:snapToGrid w:val="0"/>
              <w:spacing w:line="300" w:lineRule="exact"/>
              <w:jc w:val="center"/>
              <w:rPr>
                <w:rFonts w:ascii="Times New Roman" w:hAnsi="Times New Roman" w:cs="Times New Roman"/>
                <w:color w:val="auto"/>
                <w:highlight w:val="none"/>
              </w:rPr>
            </w:pPr>
          </w:p>
        </w:tc>
        <w:tc>
          <w:tcPr>
            <w:tcW w:w="2630"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标志</w:t>
            </w:r>
          </w:p>
        </w:tc>
        <w:tc>
          <w:tcPr>
            <w:tcW w:w="2590"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30595—2024</w:t>
            </w:r>
          </w:p>
        </w:tc>
        <w:tc>
          <w:tcPr>
            <w:tcW w:w="2597"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30595—2024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9061" w:type="dxa"/>
            <w:gridSpan w:val="4"/>
            <w:vAlign w:val="center"/>
          </w:tcPr>
          <w:p>
            <w:pPr>
              <w:snapToGrid w:val="0"/>
              <w:spacing w:line="440" w:lineRule="exact"/>
              <w:jc w:val="left"/>
              <w:rPr>
                <w:rFonts w:ascii="Times New Roman" w:hAnsi="Times New Roman" w:cs="Times New Roman"/>
                <w:color w:val="auto"/>
                <w:highlight w:val="none"/>
              </w:rPr>
            </w:pPr>
            <w:r>
              <w:rPr>
                <w:rFonts w:ascii="Times New Roman" w:hAnsi="Times New Roman" w:cs="Times New Roman"/>
                <w:color w:val="auto"/>
                <w:highlight w:val="none"/>
              </w:rPr>
              <w:t>注：</w:t>
            </w:r>
            <w:r>
              <w:rPr>
                <w:rFonts w:hint="eastAsia" w:ascii="Times New Roman" w:hAnsi="Times New Roman" w:cs="Times New Roman"/>
                <w:color w:val="auto"/>
                <w:highlight w:val="none"/>
              </w:rPr>
              <w:t xml:space="preserve"> </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10</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p>
        </w:tc>
      </w:tr>
      <w:bookmarkEnd w:id="3"/>
    </w:tbl>
    <w:p>
      <w:pPr>
        <w:rPr>
          <w:rFonts w:ascii="Times New Roman" w:hAnsi="Times New Roman" w:cs="Times New Roman"/>
          <w:color w:val="auto"/>
          <w:highlight w:val="none"/>
        </w:rPr>
      </w:pPr>
    </w:p>
    <w:p>
      <w:pPr>
        <w:rPr>
          <w:rFonts w:ascii="Times New Roman" w:hAnsi="Times New Roman" w:cs="Times New Roman"/>
          <w:color w:val="auto"/>
          <w:highlight w:val="none"/>
        </w:rPr>
      </w:pPr>
      <w:r>
        <w:rPr>
          <w:rFonts w:ascii="Times New Roman" w:hAnsi="Times New Roman" w:cs="Times New Roman"/>
          <w:color w:val="auto"/>
          <w:highlight w:val="none"/>
        </w:rPr>
        <w:t>2.5 绝热用挤塑聚苯乙烯泡沫塑料</w:t>
      </w:r>
    </w:p>
    <w:tbl>
      <w:tblPr>
        <w:tblStyle w:val="8"/>
        <w:tblW w:w="89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508"/>
        <w:gridCol w:w="1399"/>
        <w:gridCol w:w="1703"/>
        <w:gridCol w:w="2244"/>
        <w:gridCol w:w="2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79"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序号</w:t>
            </w:r>
          </w:p>
        </w:tc>
        <w:tc>
          <w:tcPr>
            <w:tcW w:w="3610" w:type="dxa"/>
            <w:gridSpan w:val="3"/>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检验项目</w:t>
            </w:r>
          </w:p>
        </w:tc>
        <w:tc>
          <w:tcPr>
            <w:tcW w:w="2244" w:type="dxa"/>
            <w:vAlign w:val="center"/>
          </w:tcPr>
          <w:p>
            <w:pPr>
              <w:jc w:val="center"/>
              <w:rPr>
                <w:rFonts w:ascii="Times New Roman" w:hAnsi="Times New Roman" w:cs="Times New Roman"/>
                <w:color w:val="auto"/>
                <w:highlight w:val="none"/>
              </w:rPr>
            </w:pPr>
            <w:r>
              <w:rPr>
                <w:rFonts w:hint="eastAsia" w:ascii="Times New Roman" w:hAnsi="Times New Roman" w:cs="Times New Roman"/>
                <w:bCs/>
                <w:color w:val="auto"/>
                <w:kern w:val="0"/>
                <w:highlight w:val="none"/>
              </w:rPr>
              <w:t>检验依据</w:t>
            </w:r>
          </w:p>
        </w:tc>
        <w:tc>
          <w:tcPr>
            <w:tcW w:w="2456"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679" w:type="dxa"/>
            <w:vAlign w:val="center"/>
          </w:tcPr>
          <w:p>
            <w:pPr>
              <w:jc w:val="center"/>
              <w:rPr>
                <w:rFonts w:ascii="Times New Roman" w:hAnsi="Times New Roman" w:cs="Times New Roman"/>
                <w:color w:val="auto"/>
                <w:highlight w:val="none"/>
              </w:rPr>
            </w:pPr>
            <w:bookmarkStart w:id="8" w:name="_Hlk172041338"/>
            <w:r>
              <w:rPr>
                <w:rFonts w:ascii="Times New Roman" w:hAnsi="Times New Roman" w:cs="Times New Roman"/>
                <w:color w:val="auto"/>
                <w:highlight w:val="none"/>
              </w:rPr>
              <w:t>1</w:t>
            </w:r>
          </w:p>
        </w:tc>
        <w:tc>
          <w:tcPr>
            <w:tcW w:w="3610" w:type="dxa"/>
            <w:gridSpan w:val="3"/>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压缩强度</w:t>
            </w:r>
            <w:r>
              <w:rPr>
                <w:rFonts w:hint="eastAsia" w:ascii="Times New Roman" w:hAnsi="Times New Roman" w:cs="Times New Roman"/>
                <w:color w:val="auto"/>
                <w:highlight w:val="none"/>
              </w:rPr>
              <w:t>或压缩性能</w:t>
            </w:r>
          </w:p>
        </w:tc>
        <w:tc>
          <w:tcPr>
            <w:tcW w:w="2244" w:type="dxa"/>
            <w:vAlign w:val="center"/>
          </w:tcPr>
          <w:p>
            <w:pPr>
              <w:jc w:val="center"/>
              <w:rPr>
                <w:rFonts w:ascii="Times New Roman" w:hAnsi="Times New Roman" w:cs="Times New Roman"/>
                <w:color w:val="auto"/>
                <w:highlight w:val="none"/>
              </w:rPr>
            </w:pPr>
            <w:r>
              <w:rPr>
                <w:rFonts w:ascii="Times New Roman" w:hAnsi="Times New Roman" w:cs="Times New Roman"/>
                <w:color w:val="auto"/>
                <w:kern w:val="0"/>
                <w:highlight w:val="none"/>
              </w:rPr>
              <w:t>GB/T 10801.2—2018</w:t>
            </w:r>
            <w:r>
              <w:rPr>
                <w:rFonts w:hint="eastAsia" w:ascii="Times New Roman" w:hAnsi="Times New Roman" w:cs="Times New Roman"/>
                <w:color w:val="auto"/>
                <w:kern w:val="0"/>
                <w:highlight w:val="none"/>
              </w:rPr>
              <w:t xml:space="preserve">或 </w:t>
            </w:r>
            <w:r>
              <w:rPr>
                <w:rFonts w:ascii="Times New Roman" w:hAnsi="Times New Roman" w:cs="Times New Roman"/>
                <w:color w:val="auto"/>
                <w:kern w:val="0"/>
                <w:highlight w:val="none"/>
              </w:rPr>
              <w:t>GB/T 10801.2—20</w:t>
            </w:r>
            <w:r>
              <w:rPr>
                <w:rFonts w:hint="eastAsia" w:ascii="Times New Roman" w:hAnsi="Times New Roman" w:cs="Times New Roman"/>
                <w:color w:val="auto"/>
                <w:kern w:val="0"/>
                <w:highlight w:val="none"/>
              </w:rPr>
              <w:t>25</w:t>
            </w:r>
          </w:p>
        </w:tc>
        <w:tc>
          <w:tcPr>
            <w:tcW w:w="2456"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10801.2—2018</w:t>
            </w:r>
            <w:r>
              <w:rPr>
                <w:rFonts w:hint="eastAsia" w:ascii="Times New Roman" w:hAnsi="Times New Roman" w:cs="Times New Roman"/>
                <w:color w:val="auto"/>
                <w:kern w:val="0"/>
                <w:highlight w:val="none"/>
              </w:rPr>
              <w:t xml:space="preserve">或 </w:t>
            </w:r>
            <w:r>
              <w:rPr>
                <w:rFonts w:ascii="Times New Roman" w:hAnsi="Times New Roman" w:cs="Times New Roman"/>
                <w:color w:val="auto"/>
                <w:kern w:val="0"/>
                <w:highlight w:val="none"/>
              </w:rPr>
              <w:t>GB/T 10801.2—20</w:t>
            </w:r>
            <w:r>
              <w:rPr>
                <w:rFonts w:hint="eastAsia" w:ascii="Times New Roman" w:hAnsi="Times New Roman" w:cs="Times New Roman"/>
                <w:color w:val="auto"/>
                <w:kern w:val="0"/>
                <w:highlight w:val="none"/>
              </w:rPr>
              <w:t>25</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8813—2008</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8813—20</w:t>
            </w:r>
            <w:r>
              <w:rPr>
                <w:rFonts w:hint="eastAsia" w:ascii="Times New Roman" w:hAnsi="Times New Roman" w:cs="Times New Roman"/>
                <w:color w:val="auto"/>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679"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3610" w:type="dxa"/>
            <w:gridSpan w:val="3"/>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吸水率，浸水96h</w:t>
            </w:r>
            <w:r>
              <w:rPr>
                <w:rFonts w:hint="eastAsia" w:ascii="Times New Roman" w:hAnsi="Times New Roman" w:cs="Times New Roman"/>
                <w:color w:val="auto"/>
                <w:highlight w:val="none"/>
              </w:rPr>
              <w:t>或吸水率</w:t>
            </w:r>
          </w:p>
        </w:tc>
        <w:tc>
          <w:tcPr>
            <w:tcW w:w="2244" w:type="dxa"/>
            <w:vAlign w:val="center"/>
          </w:tcPr>
          <w:p>
            <w:pPr>
              <w:jc w:val="center"/>
              <w:rPr>
                <w:rFonts w:ascii="Times New Roman" w:hAnsi="Times New Roman" w:cs="Times New Roman"/>
                <w:color w:val="auto"/>
                <w:highlight w:val="none"/>
              </w:rPr>
            </w:pPr>
            <w:r>
              <w:rPr>
                <w:rFonts w:ascii="Times New Roman" w:hAnsi="Times New Roman" w:cs="Times New Roman"/>
                <w:color w:val="auto"/>
                <w:kern w:val="0"/>
                <w:highlight w:val="none"/>
              </w:rPr>
              <w:t>GB/T 10801.2—2018</w:t>
            </w:r>
            <w:r>
              <w:rPr>
                <w:rFonts w:hint="eastAsia" w:ascii="Times New Roman" w:hAnsi="Times New Roman" w:cs="Times New Roman"/>
                <w:color w:val="auto"/>
                <w:kern w:val="0"/>
                <w:highlight w:val="none"/>
              </w:rPr>
              <w:t xml:space="preserve">或 </w:t>
            </w:r>
            <w:r>
              <w:rPr>
                <w:rFonts w:ascii="Times New Roman" w:hAnsi="Times New Roman" w:cs="Times New Roman"/>
                <w:color w:val="auto"/>
                <w:kern w:val="0"/>
                <w:highlight w:val="none"/>
              </w:rPr>
              <w:t>GB/T 10801.2—20</w:t>
            </w:r>
            <w:r>
              <w:rPr>
                <w:rFonts w:hint="eastAsia" w:ascii="Times New Roman" w:hAnsi="Times New Roman" w:cs="Times New Roman"/>
                <w:color w:val="auto"/>
                <w:kern w:val="0"/>
                <w:highlight w:val="none"/>
              </w:rPr>
              <w:t>25</w:t>
            </w:r>
          </w:p>
        </w:tc>
        <w:tc>
          <w:tcPr>
            <w:tcW w:w="2456"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10801.2—2018</w:t>
            </w:r>
            <w:r>
              <w:rPr>
                <w:rFonts w:hint="eastAsia" w:ascii="Times New Roman" w:hAnsi="Times New Roman" w:cs="Times New Roman"/>
                <w:color w:val="auto"/>
                <w:kern w:val="0"/>
                <w:highlight w:val="none"/>
              </w:rPr>
              <w:t xml:space="preserve">或 </w:t>
            </w:r>
            <w:r>
              <w:rPr>
                <w:rFonts w:ascii="Times New Roman" w:hAnsi="Times New Roman" w:cs="Times New Roman"/>
                <w:color w:val="auto"/>
                <w:kern w:val="0"/>
                <w:highlight w:val="none"/>
              </w:rPr>
              <w:t>GB/T 10801.2—20</w:t>
            </w:r>
            <w:r>
              <w:rPr>
                <w:rFonts w:hint="eastAsia" w:ascii="Times New Roman" w:hAnsi="Times New Roman" w:cs="Times New Roman"/>
                <w:color w:val="auto"/>
                <w:kern w:val="0"/>
                <w:highlight w:val="none"/>
              </w:rPr>
              <w:t>25</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8810—2005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679" w:type="dxa"/>
            <w:vMerge w:val="restart"/>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508" w:type="dxa"/>
            <w:vMerge w:val="restart"/>
            <w:vAlign w:val="center"/>
          </w:tcPr>
          <w:p>
            <w:pPr>
              <w:jc w:val="center"/>
              <w:rPr>
                <w:rFonts w:ascii="Times New Roman" w:hAnsi="Times New Roman" w:cs="Times New Roman"/>
                <w:color w:val="auto"/>
                <w:highlight w:val="none"/>
              </w:rPr>
            </w:pPr>
          </w:p>
          <w:p>
            <w:pPr>
              <w:jc w:val="center"/>
              <w:rPr>
                <w:rFonts w:ascii="Times New Roman" w:hAnsi="Times New Roman" w:cs="Times New Roman"/>
                <w:color w:val="auto"/>
                <w:highlight w:val="none"/>
              </w:rPr>
            </w:pPr>
            <w:r>
              <w:rPr>
                <w:rFonts w:ascii="Times New Roman" w:hAnsi="Times New Roman" w:cs="Times New Roman"/>
                <w:color w:val="auto"/>
                <w:highlight w:val="none"/>
              </w:rPr>
              <w:t>绝热性能</w:t>
            </w:r>
          </w:p>
        </w:tc>
        <w:tc>
          <w:tcPr>
            <w:tcW w:w="1399" w:type="dxa"/>
            <w:vMerge w:val="restart"/>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导热系数</w:t>
            </w:r>
          </w:p>
        </w:tc>
        <w:tc>
          <w:tcPr>
            <w:tcW w:w="1703"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平均温度10</w:t>
            </w:r>
            <w:r>
              <w:rPr>
                <w:rFonts w:ascii="Times New Roman" w:hAnsi="Times New Roman" w:eastAsia="微软雅黑" w:cs="Times New Roman"/>
                <w:color w:val="auto"/>
                <w:highlight w:val="none"/>
              </w:rPr>
              <w:t>℃</w:t>
            </w:r>
            <w:r>
              <w:rPr>
                <w:rFonts w:hint="eastAsia" w:ascii="Times New Roman" w:hAnsi="Times New Roman" w:eastAsia="微软雅黑" w:cs="Times New Roman"/>
                <w:color w:val="auto"/>
                <w:highlight w:val="none"/>
              </w:rPr>
              <w:t>或平均温度（10±2）</w:t>
            </w:r>
            <w:r>
              <w:rPr>
                <w:rFonts w:ascii="Times New Roman" w:hAnsi="Times New Roman" w:eastAsia="微软雅黑" w:cs="Times New Roman"/>
                <w:color w:val="auto"/>
                <w:highlight w:val="none"/>
              </w:rPr>
              <w:t>℃</w:t>
            </w:r>
          </w:p>
        </w:tc>
        <w:tc>
          <w:tcPr>
            <w:tcW w:w="2244" w:type="dxa"/>
            <w:vMerge w:val="restart"/>
            <w:vAlign w:val="center"/>
          </w:tcPr>
          <w:p>
            <w:pPr>
              <w:jc w:val="center"/>
              <w:rPr>
                <w:rFonts w:ascii="Times New Roman" w:hAnsi="Times New Roman" w:cs="Times New Roman"/>
                <w:color w:val="auto"/>
                <w:highlight w:val="none"/>
              </w:rPr>
            </w:pPr>
            <w:r>
              <w:rPr>
                <w:rFonts w:ascii="Times New Roman" w:hAnsi="Times New Roman" w:cs="Times New Roman"/>
                <w:color w:val="auto"/>
                <w:kern w:val="0"/>
                <w:highlight w:val="none"/>
              </w:rPr>
              <w:t>GB/T 10801.2—2018</w:t>
            </w:r>
            <w:r>
              <w:rPr>
                <w:rFonts w:hint="eastAsia" w:ascii="Times New Roman" w:hAnsi="Times New Roman" w:cs="Times New Roman"/>
                <w:color w:val="auto"/>
                <w:kern w:val="0"/>
                <w:highlight w:val="none"/>
              </w:rPr>
              <w:t xml:space="preserve">或 </w:t>
            </w:r>
            <w:r>
              <w:rPr>
                <w:rFonts w:ascii="Times New Roman" w:hAnsi="Times New Roman" w:cs="Times New Roman"/>
                <w:color w:val="auto"/>
                <w:kern w:val="0"/>
                <w:highlight w:val="none"/>
              </w:rPr>
              <w:t>GB/T 10801.2—20</w:t>
            </w:r>
            <w:r>
              <w:rPr>
                <w:rFonts w:hint="eastAsia" w:ascii="Times New Roman" w:hAnsi="Times New Roman" w:cs="Times New Roman"/>
                <w:color w:val="auto"/>
                <w:kern w:val="0"/>
                <w:highlight w:val="none"/>
              </w:rPr>
              <w:t>25</w:t>
            </w:r>
          </w:p>
        </w:tc>
        <w:tc>
          <w:tcPr>
            <w:tcW w:w="2456" w:type="dxa"/>
            <w:vMerge w:val="restart"/>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10801.2—2018</w:t>
            </w:r>
            <w:r>
              <w:rPr>
                <w:rFonts w:hint="eastAsia" w:ascii="Times New Roman" w:hAnsi="Times New Roman" w:cs="Times New Roman"/>
                <w:color w:val="auto"/>
                <w:kern w:val="0"/>
                <w:highlight w:val="none"/>
              </w:rPr>
              <w:t xml:space="preserve">或 </w:t>
            </w:r>
            <w:r>
              <w:rPr>
                <w:rFonts w:ascii="Times New Roman" w:hAnsi="Times New Roman" w:cs="Times New Roman"/>
                <w:color w:val="auto"/>
                <w:kern w:val="0"/>
                <w:highlight w:val="none"/>
              </w:rPr>
              <w:t>GB/T 10801.2—20</w:t>
            </w:r>
            <w:r>
              <w:rPr>
                <w:rFonts w:hint="eastAsia" w:ascii="Times New Roman" w:hAnsi="Times New Roman" w:cs="Times New Roman"/>
                <w:color w:val="auto"/>
                <w:kern w:val="0"/>
                <w:highlight w:val="none"/>
              </w:rPr>
              <w:t>25</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10294—2008</w:t>
            </w:r>
          </w:p>
          <w:p>
            <w:pPr>
              <w:jc w:val="center"/>
              <w:rPr>
                <w:rFonts w:ascii="Times New Roman" w:hAnsi="Times New Roman" w:cs="Times New Roman"/>
                <w:color w:val="auto"/>
                <w:highlight w:val="none"/>
              </w:rPr>
            </w:pPr>
            <w:r>
              <w:rPr>
                <w:rFonts w:ascii="Times New Roman" w:hAnsi="Times New Roman" w:cs="Times New Roman"/>
                <w:color w:val="auto"/>
                <w:highlight w:val="none"/>
              </w:rPr>
              <w:t xml:space="preserve"> GB/T 10295—2008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679" w:type="dxa"/>
            <w:vMerge w:val="continue"/>
            <w:vAlign w:val="center"/>
          </w:tcPr>
          <w:p>
            <w:pPr>
              <w:jc w:val="center"/>
              <w:rPr>
                <w:rFonts w:ascii="Times New Roman" w:hAnsi="Times New Roman" w:cs="Times New Roman"/>
                <w:color w:val="auto"/>
                <w:highlight w:val="none"/>
              </w:rPr>
            </w:pPr>
          </w:p>
        </w:tc>
        <w:tc>
          <w:tcPr>
            <w:tcW w:w="508" w:type="dxa"/>
            <w:vMerge w:val="continue"/>
            <w:vAlign w:val="center"/>
          </w:tcPr>
          <w:p>
            <w:pPr>
              <w:jc w:val="center"/>
              <w:rPr>
                <w:rFonts w:ascii="Times New Roman" w:hAnsi="Times New Roman" w:cs="Times New Roman"/>
                <w:color w:val="auto"/>
                <w:highlight w:val="none"/>
              </w:rPr>
            </w:pPr>
          </w:p>
        </w:tc>
        <w:tc>
          <w:tcPr>
            <w:tcW w:w="1399" w:type="dxa"/>
            <w:vMerge w:val="continue"/>
            <w:vAlign w:val="center"/>
          </w:tcPr>
          <w:p>
            <w:pPr>
              <w:jc w:val="center"/>
              <w:rPr>
                <w:rFonts w:ascii="Times New Roman" w:hAnsi="Times New Roman" w:cs="Times New Roman"/>
                <w:color w:val="auto"/>
                <w:highlight w:val="none"/>
              </w:rPr>
            </w:pPr>
          </w:p>
        </w:tc>
        <w:tc>
          <w:tcPr>
            <w:tcW w:w="1703"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平均温度25</w:t>
            </w:r>
            <w:r>
              <w:rPr>
                <w:rFonts w:ascii="Times New Roman" w:hAnsi="Times New Roman" w:eastAsia="微软雅黑" w:cs="Times New Roman"/>
                <w:color w:val="auto"/>
                <w:highlight w:val="none"/>
              </w:rPr>
              <w:t>℃</w:t>
            </w:r>
            <w:r>
              <w:rPr>
                <w:rFonts w:hint="eastAsia" w:ascii="Times New Roman" w:hAnsi="Times New Roman" w:eastAsia="微软雅黑" w:cs="Times New Roman"/>
                <w:color w:val="auto"/>
                <w:highlight w:val="none"/>
              </w:rPr>
              <w:t>或平均温度（</w:t>
            </w:r>
            <w:r>
              <w:rPr>
                <w:rFonts w:ascii="Times New Roman" w:hAnsi="Times New Roman" w:eastAsia="微软雅黑" w:cs="Times New Roman"/>
                <w:color w:val="auto"/>
                <w:highlight w:val="none"/>
              </w:rPr>
              <w:t>25</w:t>
            </w:r>
            <w:r>
              <w:rPr>
                <w:rFonts w:hint="eastAsia" w:ascii="Times New Roman" w:hAnsi="Times New Roman" w:eastAsia="微软雅黑" w:cs="Times New Roman"/>
                <w:color w:val="auto"/>
                <w:highlight w:val="none"/>
              </w:rPr>
              <w:t>±2）</w:t>
            </w:r>
            <w:r>
              <w:rPr>
                <w:rFonts w:ascii="Times New Roman" w:hAnsi="Times New Roman" w:eastAsia="微软雅黑" w:cs="Times New Roman"/>
                <w:color w:val="auto"/>
                <w:highlight w:val="none"/>
              </w:rPr>
              <w:t>℃</w:t>
            </w:r>
          </w:p>
        </w:tc>
        <w:tc>
          <w:tcPr>
            <w:tcW w:w="2244" w:type="dxa"/>
            <w:vMerge w:val="continue"/>
            <w:vAlign w:val="center"/>
          </w:tcPr>
          <w:p>
            <w:pPr>
              <w:jc w:val="center"/>
              <w:rPr>
                <w:rFonts w:ascii="Times New Roman" w:hAnsi="Times New Roman" w:cs="Times New Roman"/>
                <w:color w:val="auto"/>
                <w:highlight w:val="none"/>
              </w:rPr>
            </w:pPr>
          </w:p>
        </w:tc>
        <w:tc>
          <w:tcPr>
            <w:tcW w:w="2456" w:type="dxa"/>
            <w:vMerge w:val="continue"/>
            <w:vAlign w:val="center"/>
          </w:tcPr>
          <w:p>
            <w:pPr>
              <w:jc w:val="center"/>
              <w:rPr>
                <w:rFonts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rPr>
        <w:tc>
          <w:tcPr>
            <w:tcW w:w="679" w:type="dxa"/>
            <w:vMerge w:val="continue"/>
            <w:vAlign w:val="center"/>
          </w:tcPr>
          <w:p>
            <w:pPr>
              <w:jc w:val="center"/>
              <w:rPr>
                <w:rFonts w:ascii="Times New Roman" w:hAnsi="Times New Roman" w:cs="Times New Roman"/>
                <w:color w:val="auto"/>
                <w:highlight w:val="none"/>
              </w:rPr>
            </w:pPr>
          </w:p>
        </w:tc>
        <w:tc>
          <w:tcPr>
            <w:tcW w:w="508" w:type="dxa"/>
            <w:vMerge w:val="continue"/>
            <w:vAlign w:val="center"/>
          </w:tcPr>
          <w:p>
            <w:pPr>
              <w:jc w:val="center"/>
              <w:rPr>
                <w:rFonts w:ascii="Times New Roman" w:hAnsi="Times New Roman" w:cs="Times New Roman"/>
                <w:color w:val="auto"/>
                <w:highlight w:val="none"/>
              </w:rPr>
            </w:pPr>
          </w:p>
        </w:tc>
        <w:tc>
          <w:tcPr>
            <w:tcW w:w="1399" w:type="dxa"/>
            <w:vMerge w:val="restart"/>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热阻</w:t>
            </w:r>
          </w:p>
          <w:p>
            <w:pPr>
              <w:jc w:val="center"/>
              <w:rPr>
                <w:rFonts w:hint="eastAsia" w:ascii="Times New Roman" w:hAnsi="Times New Roman" w:cs="Times New Roman"/>
                <w:color w:val="auto"/>
                <w:highlight w:val="none"/>
              </w:rPr>
            </w:pPr>
            <w:r>
              <w:rPr>
                <w:rFonts w:ascii="Times New Roman" w:hAnsi="Times New Roman" w:cs="Times New Roman"/>
                <w:color w:val="auto"/>
                <w:highlight w:val="none"/>
              </w:rPr>
              <w:t>（厚度25mm时）</w:t>
            </w:r>
          </w:p>
        </w:tc>
        <w:tc>
          <w:tcPr>
            <w:tcW w:w="1703"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平均温度10</w:t>
            </w:r>
            <w:r>
              <w:rPr>
                <w:rFonts w:ascii="Times New Roman" w:hAnsi="Times New Roman" w:eastAsia="微软雅黑" w:cs="Times New Roman"/>
                <w:color w:val="auto"/>
                <w:highlight w:val="none"/>
              </w:rPr>
              <w:t>℃</w:t>
            </w:r>
            <w:r>
              <w:rPr>
                <w:rFonts w:hint="eastAsia" w:ascii="Times New Roman" w:hAnsi="Times New Roman" w:eastAsia="微软雅黑" w:cs="Times New Roman"/>
                <w:color w:val="auto"/>
                <w:highlight w:val="none"/>
              </w:rPr>
              <w:t>或平均温度（10±2）</w:t>
            </w:r>
            <w:r>
              <w:rPr>
                <w:rFonts w:ascii="Times New Roman" w:hAnsi="Times New Roman" w:eastAsia="微软雅黑" w:cs="Times New Roman"/>
                <w:color w:val="auto"/>
                <w:highlight w:val="none"/>
              </w:rPr>
              <w:t>℃</w:t>
            </w:r>
          </w:p>
        </w:tc>
        <w:tc>
          <w:tcPr>
            <w:tcW w:w="2244" w:type="dxa"/>
            <w:vMerge w:val="continue"/>
            <w:vAlign w:val="center"/>
          </w:tcPr>
          <w:p>
            <w:pPr>
              <w:jc w:val="center"/>
              <w:rPr>
                <w:rFonts w:ascii="Times New Roman" w:hAnsi="Times New Roman" w:cs="Times New Roman"/>
                <w:color w:val="auto"/>
                <w:highlight w:val="none"/>
              </w:rPr>
            </w:pPr>
          </w:p>
        </w:tc>
        <w:tc>
          <w:tcPr>
            <w:tcW w:w="2456" w:type="dxa"/>
            <w:vMerge w:val="continue"/>
            <w:vAlign w:val="center"/>
          </w:tcPr>
          <w:p>
            <w:pPr>
              <w:jc w:val="center"/>
              <w:rPr>
                <w:rFonts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679" w:type="dxa"/>
            <w:vMerge w:val="continue"/>
            <w:vAlign w:val="center"/>
          </w:tcPr>
          <w:p>
            <w:pPr>
              <w:jc w:val="center"/>
              <w:rPr>
                <w:rFonts w:ascii="Times New Roman" w:hAnsi="Times New Roman" w:cs="Times New Roman"/>
                <w:color w:val="auto"/>
                <w:highlight w:val="none"/>
              </w:rPr>
            </w:pPr>
          </w:p>
        </w:tc>
        <w:tc>
          <w:tcPr>
            <w:tcW w:w="508" w:type="dxa"/>
            <w:vMerge w:val="continue"/>
            <w:vAlign w:val="center"/>
          </w:tcPr>
          <w:p>
            <w:pPr>
              <w:jc w:val="center"/>
              <w:rPr>
                <w:rFonts w:ascii="Times New Roman" w:hAnsi="Times New Roman" w:cs="Times New Roman"/>
                <w:color w:val="auto"/>
                <w:highlight w:val="none"/>
              </w:rPr>
            </w:pPr>
          </w:p>
        </w:tc>
        <w:tc>
          <w:tcPr>
            <w:tcW w:w="1399" w:type="dxa"/>
            <w:vMerge w:val="continue"/>
            <w:vAlign w:val="center"/>
          </w:tcPr>
          <w:p>
            <w:pPr>
              <w:jc w:val="center"/>
              <w:rPr>
                <w:rFonts w:ascii="Times New Roman" w:hAnsi="Times New Roman" w:cs="Times New Roman"/>
                <w:color w:val="auto"/>
                <w:highlight w:val="none"/>
              </w:rPr>
            </w:pPr>
          </w:p>
        </w:tc>
        <w:tc>
          <w:tcPr>
            <w:tcW w:w="1703"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平均温度25</w:t>
            </w:r>
            <w:r>
              <w:rPr>
                <w:rFonts w:ascii="Times New Roman" w:hAnsi="Times New Roman" w:eastAsia="微软雅黑" w:cs="Times New Roman"/>
                <w:color w:val="auto"/>
                <w:highlight w:val="none"/>
              </w:rPr>
              <w:t>℃</w:t>
            </w:r>
            <w:r>
              <w:rPr>
                <w:rFonts w:hint="eastAsia" w:ascii="Times New Roman" w:hAnsi="Times New Roman" w:eastAsia="微软雅黑" w:cs="Times New Roman"/>
                <w:color w:val="auto"/>
                <w:highlight w:val="none"/>
              </w:rPr>
              <w:t>或平均温度（</w:t>
            </w:r>
            <w:r>
              <w:rPr>
                <w:rFonts w:ascii="Times New Roman" w:hAnsi="Times New Roman" w:eastAsia="微软雅黑" w:cs="Times New Roman"/>
                <w:color w:val="auto"/>
                <w:highlight w:val="none"/>
              </w:rPr>
              <w:t>25</w:t>
            </w:r>
            <w:r>
              <w:rPr>
                <w:rFonts w:hint="eastAsia" w:ascii="Times New Roman" w:hAnsi="Times New Roman" w:eastAsia="微软雅黑" w:cs="Times New Roman"/>
                <w:color w:val="auto"/>
                <w:highlight w:val="none"/>
              </w:rPr>
              <w:t>±2）</w:t>
            </w:r>
            <w:r>
              <w:rPr>
                <w:rFonts w:ascii="Times New Roman" w:hAnsi="Times New Roman" w:eastAsia="微软雅黑" w:cs="Times New Roman"/>
                <w:color w:val="auto"/>
                <w:highlight w:val="none"/>
              </w:rPr>
              <w:t>℃</w:t>
            </w:r>
          </w:p>
        </w:tc>
        <w:tc>
          <w:tcPr>
            <w:tcW w:w="2244" w:type="dxa"/>
            <w:vMerge w:val="continue"/>
            <w:vAlign w:val="center"/>
          </w:tcPr>
          <w:p>
            <w:pPr>
              <w:jc w:val="center"/>
              <w:rPr>
                <w:rFonts w:ascii="Times New Roman" w:hAnsi="Times New Roman" w:cs="Times New Roman"/>
                <w:color w:val="auto"/>
                <w:highlight w:val="none"/>
              </w:rPr>
            </w:pPr>
          </w:p>
        </w:tc>
        <w:tc>
          <w:tcPr>
            <w:tcW w:w="2456" w:type="dxa"/>
            <w:vMerge w:val="continue"/>
            <w:vAlign w:val="center"/>
          </w:tcPr>
          <w:p>
            <w:pPr>
              <w:jc w:val="center"/>
              <w:rPr>
                <w:rFonts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679"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4</w:t>
            </w:r>
          </w:p>
        </w:tc>
        <w:tc>
          <w:tcPr>
            <w:tcW w:w="3610" w:type="dxa"/>
            <w:gridSpan w:val="3"/>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燃烧性能</w:t>
            </w:r>
          </w:p>
        </w:tc>
        <w:tc>
          <w:tcPr>
            <w:tcW w:w="2244"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tc>
        <w:tc>
          <w:tcPr>
            <w:tcW w:w="2456"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20284—2006</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11785—2005</w:t>
            </w:r>
            <w:r>
              <w:rPr>
                <w:rFonts w:hint="eastAsia" w:ascii="Times New Roman" w:hAnsi="Times New Roman" w:cs="Times New Roman"/>
                <w:color w:val="auto"/>
                <w:highlight w:val="none"/>
              </w:rPr>
              <w:t>或</w:t>
            </w:r>
            <w:r>
              <w:rPr>
                <w:rFonts w:ascii="Times New Roman" w:hAnsi="Times New Roman" w:cs="Times New Roman"/>
                <w:color w:val="auto"/>
                <w:highlight w:val="none"/>
              </w:rPr>
              <w:t>GB/T 11785—20</w:t>
            </w:r>
            <w:r>
              <w:rPr>
                <w:rFonts w:hint="eastAsia" w:ascii="Times New Roman" w:hAnsi="Times New Roman" w:cs="Times New Roman"/>
                <w:color w:val="auto"/>
                <w:highlight w:val="none"/>
              </w:rPr>
              <w:t>26</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8626—2007</w:t>
            </w:r>
            <w:r>
              <w:rPr>
                <w:rFonts w:hint="eastAsia" w:ascii="Times New Roman" w:hAnsi="Times New Roman" w:cs="Times New Roman"/>
                <w:color w:val="auto"/>
                <w:highlight w:val="none"/>
              </w:rPr>
              <w:t>或</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2406.2—2009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679"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5</w:t>
            </w:r>
          </w:p>
        </w:tc>
        <w:tc>
          <w:tcPr>
            <w:tcW w:w="3610" w:type="dxa"/>
            <w:gridSpan w:val="3"/>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六溴环十二烷</w:t>
            </w:r>
            <w:r>
              <w:rPr>
                <w:rFonts w:hint="eastAsia" w:ascii="Times New Roman" w:hAnsi="Times New Roman" w:cs="Times New Roman"/>
                <w:color w:val="auto"/>
                <w:highlight w:val="none"/>
              </w:rPr>
              <w:t>的限值</w:t>
            </w:r>
          </w:p>
        </w:tc>
        <w:tc>
          <w:tcPr>
            <w:tcW w:w="2244"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41077—2021</w:t>
            </w:r>
          </w:p>
        </w:tc>
        <w:tc>
          <w:tcPr>
            <w:tcW w:w="2456"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GB/T 41077—2021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679" w:type="dxa"/>
            <w:vAlign w:val="center"/>
          </w:tcPr>
          <w:p>
            <w:pPr>
              <w:jc w:val="center"/>
              <w:rPr>
                <w:rFonts w:ascii="Times New Roman" w:hAnsi="Times New Roman" w:cs="Times New Roman"/>
                <w:color w:val="auto"/>
                <w:highlight w:val="none"/>
              </w:rPr>
            </w:pPr>
            <w:r>
              <w:rPr>
                <w:rFonts w:hint="eastAsia" w:ascii="Times New Roman" w:hAnsi="Times New Roman" w:cs="Times New Roman"/>
                <w:color w:val="auto"/>
                <w:highlight w:val="none"/>
              </w:rPr>
              <w:t>6</w:t>
            </w:r>
          </w:p>
        </w:tc>
        <w:tc>
          <w:tcPr>
            <w:tcW w:w="3610" w:type="dxa"/>
            <w:gridSpan w:val="3"/>
            <w:vAlign w:val="center"/>
          </w:tcPr>
          <w:p>
            <w:pPr>
              <w:jc w:val="center"/>
              <w:rPr>
                <w:rFonts w:ascii="Times New Roman" w:hAnsi="Times New Roman" w:cs="Times New Roman"/>
                <w:color w:val="auto"/>
                <w:highlight w:val="none"/>
              </w:rPr>
            </w:pPr>
            <w:r>
              <w:rPr>
                <w:rFonts w:ascii="Times New Roman" w:hAnsi="Times New Roman" w:cs="Times New Roman"/>
                <w:color w:val="auto"/>
                <w:kern w:val="0"/>
                <w:highlight w:val="none"/>
              </w:rPr>
              <w:t>标志</w:t>
            </w:r>
          </w:p>
        </w:tc>
        <w:tc>
          <w:tcPr>
            <w:tcW w:w="2244"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10801.2—2018</w:t>
            </w:r>
            <w:r>
              <w:rPr>
                <w:rFonts w:hint="eastAsia" w:ascii="Times New Roman" w:hAnsi="Times New Roman" w:cs="Times New Roman"/>
                <w:color w:val="auto"/>
                <w:kern w:val="0"/>
                <w:highlight w:val="none"/>
              </w:rPr>
              <w:t xml:space="preserve">或 </w:t>
            </w:r>
            <w:r>
              <w:rPr>
                <w:rFonts w:ascii="Times New Roman" w:hAnsi="Times New Roman" w:cs="Times New Roman"/>
                <w:color w:val="auto"/>
                <w:kern w:val="0"/>
                <w:highlight w:val="none"/>
              </w:rPr>
              <w:t>GB/T 10801.2—20</w:t>
            </w:r>
            <w:r>
              <w:rPr>
                <w:rFonts w:hint="eastAsia" w:ascii="Times New Roman" w:hAnsi="Times New Roman" w:cs="Times New Roman"/>
                <w:color w:val="auto"/>
                <w:kern w:val="0"/>
                <w:highlight w:val="none"/>
              </w:rPr>
              <w:t>25</w:t>
            </w:r>
          </w:p>
        </w:tc>
        <w:tc>
          <w:tcPr>
            <w:tcW w:w="2456"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10801.2—2018</w:t>
            </w:r>
            <w:r>
              <w:rPr>
                <w:rFonts w:hint="eastAsia" w:ascii="Times New Roman" w:hAnsi="Times New Roman" w:cs="Times New Roman"/>
                <w:color w:val="auto"/>
                <w:kern w:val="0"/>
                <w:highlight w:val="none"/>
              </w:rPr>
              <w:t xml:space="preserve">或 </w:t>
            </w:r>
            <w:r>
              <w:rPr>
                <w:rFonts w:ascii="Times New Roman" w:hAnsi="Times New Roman" w:cs="Times New Roman"/>
                <w:color w:val="auto"/>
                <w:kern w:val="0"/>
                <w:highlight w:val="none"/>
              </w:rPr>
              <w:t>GB/T 10801.2—20</w:t>
            </w:r>
            <w:r>
              <w:rPr>
                <w:rFonts w:hint="eastAsia" w:ascii="Times New Roman" w:hAnsi="Times New Roman" w:cs="Times New Roman"/>
                <w:color w:val="auto"/>
                <w:kern w:val="0"/>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8989" w:type="dxa"/>
            <w:gridSpan w:val="6"/>
            <w:vAlign w:val="center"/>
          </w:tcPr>
          <w:p>
            <w:pPr>
              <w:snapToGrid w:val="0"/>
              <w:spacing w:line="440" w:lineRule="exact"/>
              <w:jc w:val="left"/>
              <w:rPr>
                <w:rFonts w:ascii="Times New Roman" w:hAnsi="Times New Roman" w:cs="Times New Roman"/>
                <w:color w:val="auto"/>
                <w:highlight w:val="none"/>
              </w:rPr>
            </w:pPr>
            <w:r>
              <w:rPr>
                <w:rFonts w:ascii="Times New Roman" w:hAnsi="Times New Roman" w:cs="Times New Roman"/>
                <w:color w:val="auto"/>
                <w:highlight w:val="none"/>
              </w:rPr>
              <w:t xml:space="preserve">注：GB/T </w:t>
            </w:r>
            <w:r>
              <w:rPr>
                <w:rFonts w:hint="eastAsia" w:ascii="Times New Roman" w:hAnsi="Times New Roman" w:cs="Times New Roman"/>
                <w:color w:val="auto"/>
                <w:highlight w:val="none"/>
              </w:rPr>
              <w:t>10801.2</w:t>
            </w:r>
            <w:r>
              <w:rPr>
                <w:rFonts w:ascii="Times New Roman" w:hAnsi="Times New Roman" w:cs="Times New Roman"/>
                <w:color w:val="auto"/>
                <w:highlight w:val="none"/>
              </w:rPr>
              <w:t>—202</w:t>
            </w:r>
            <w:r>
              <w:rPr>
                <w:rFonts w:hint="eastAsia" w:ascii="Times New Roman" w:hAnsi="Times New Roman" w:cs="Times New Roman"/>
                <w:color w:val="auto"/>
                <w:highlight w:val="none"/>
              </w:rPr>
              <w:t>5</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07</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r>
              <w:rPr>
                <w:rFonts w:ascii="Times New Roman" w:hAnsi="Times New Roman" w:cs="Times New Roman"/>
                <w:color w:val="auto"/>
                <w:highlight w:val="none"/>
              </w:rPr>
              <w:t>GB/T 11785—20</w:t>
            </w:r>
            <w:r>
              <w:rPr>
                <w:rFonts w:hint="eastAsia" w:ascii="Times New Roman" w:hAnsi="Times New Roman" w:cs="Times New Roman"/>
                <w:color w:val="auto"/>
                <w:highlight w:val="none"/>
              </w:rPr>
              <w:t>26、</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10</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p>
        </w:tc>
      </w:tr>
      <w:bookmarkEnd w:id="8"/>
    </w:tbl>
    <w:p>
      <w:pPr>
        <w:rPr>
          <w:rFonts w:ascii="Times New Roman" w:hAnsi="Times New Roman" w:cs="Times New Roman"/>
          <w:color w:val="auto"/>
          <w:highlight w:val="none"/>
        </w:rPr>
      </w:pPr>
    </w:p>
    <w:p>
      <w:pPr>
        <w:rPr>
          <w:rFonts w:ascii="Times New Roman" w:hAnsi="Times New Roman" w:cs="Times New Roman"/>
          <w:color w:val="auto"/>
          <w:highlight w:val="none"/>
        </w:rPr>
      </w:pPr>
      <w:r>
        <w:rPr>
          <w:rFonts w:ascii="Times New Roman" w:hAnsi="Times New Roman" w:cs="Times New Roman"/>
          <w:color w:val="auto"/>
          <w:highlight w:val="none"/>
        </w:rPr>
        <w:t>2.6 建筑用金属面绝热夹芯板</w:t>
      </w:r>
    </w:p>
    <w:tbl>
      <w:tblPr>
        <w:tblStyle w:val="8"/>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0"/>
        <w:gridCol w:w="2581"/>
        <w:gridCol w:w="2601"/>
        <w:gridCol w:w="25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7" w:hRule="atLeast"/>
          <w:tblHeader/>
        </w:trPr>
        <w:tc>
          <w:tcPr>
            <w:tcW w:w="1280" w:type="dxa"/>
            <w:vAlign w:val="center"/>
          </w:tcPr>
          <w:p>
            <w:pPr>
              <w:snapToGrid w:val="0"/>
              <w:spacing w:line="440" w:lineRule="exact"/>
              <w:jc w:val="center"/>
              <w:rPr>
                <w:rFonts w:ascii="Times New Roman" w:hAnsi="Times New Roman" w:cs="Times New Roman"/>
                <w:bCs/>
                <w:color w:val="auto"/>
                <w:highlight w:val="none"/>
              </w:rPr>
            </w:pPr>
            <w:r>
              <w:rPr>
                <w:rFonts w:ascii="Times New Roman" w:hAnsi="Times New Roman" w:cs="Times New Roman"/>
                <w:bCs/>
                <w:color w:val="auto"/>
                <w:kern w:val="0"/>
                <w:highlight w:val="none"/>
              </w:rPr>
              <w:t>序号</w:t>
            </w:r>
          </w:p>
        </w:tc>
        <w:tc>
          <w:tcPr>
            <w:tcW w:w="2581" w:type="dxa"/>
            <w:vAlign w:val="center"/>
          </w:tcPr>
          <w:p>
            <w:pPr>
              <w:snapToGrid w:val="0"/>
              <w:spacing w:line="440" w:lineRule="exact"/>
              <w:jc w:val="center"/>
              <w:rPr>
                <w:rFonts w:ascii="Times New Roman" w:hAnsi="Times New Roman" w:cs="Times New Roman"/>
                <w:bCs/>
                <w:color w:val="auto"/>
                <w:highlight w:val="none"/>
              </w:rPr>
            </w:pPr>
            <w:r>
              <w:rPr>
                <w:rFonts w:ascii="Times New Roman" w:hAnsi="Times New Roman" w:cs="Times New Roman"/>
                <w:bCs/>
                <w:color w:val="auto"/>
                <w:kern w:val="0"/>
                <w:highlight w:val="none"/>
              </w:rPr>
              <w:t>检验项目</w:t>
            </w:r>
          </w:p>
        </w:tc>
        <w:tc>
          <w:tcPr>
            <w:tcW w:w="2601" w:type="dxa"/>
          </w:tcPr>
          <w:p>
            <w:pPr>
              <w:snapToGrid w:val="0"/>
              <w:spacing w:line="440" w:lineRule="exact"/>
              <w:jc w:val="center"/>
              <w:rPr>
                <w:rFonts w:ascii="Times New Roman" w:hAnsi="Times New Roman" w:cs="Times New Roman"/>
                <w:bCs/>
                <w:color w:val="auto"/>
                <w:kern w:val="0"/>
                <w:highlight w:val="none"/>
              </w:rPr>
            </w:pPr>
            <w:r>
              <w:rPr>
                <w:rFonts w:ascii="Times New Roman" w:hAnsi="Times New Roman" w:cs="Times New Roman"/>
                <w:bCs/>
                <w:color w:val="auto"/>
                <w:kern w:val="0"/>
                <w:highlight w:val="none"/>
              </w:rPr>
              <w:t>检验依据</w:t>
            </w:r>
          </w:p>
        </w:tc>
        <w:tc>
          <w:tcPr>
            <w:tcW w:w="2599" w:type="dxa"/>
            <w:vAlign w:val="center"/>
          </w:tcPr>
          <w:p>
            <w:pPr>
              <w:snapToGrid w:val="0"/>
              <w:spacing w:line="440" w:lineRule="exact"/>
              <w:jc w:val="center"/>
              <w:rPr>
                <w:rFonts w:ascii="Times New Roman" w:hAnsi="Times New Roman" w:cs="Times New Roman"/>
                <w:bCs/>
                <w:color w:val="auto"/>
                <w:highlight w:val="none"/>
              </w:rPr>
            </w:pPr>
            <w:r>
              <w:rPr>
                <w:rFonts w:ascii="Times New Roman" w:hAnsi="Times New Roman" w:cs="Times New Roman"/>
                <w:bCs/>
                <w:color w:val="auto"/>
                <w:kern w:val="0"/>
                <w:highlight w:val="none"/>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7" w:hRule="atLeast"/>
        </w:trPr>
        <w:tc>
          <w:tcPr>
            <w:tcW w:w="1280"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2581"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粘结强度</w:t>
            </w:r>
          </w:p>
        </w:tc>
        <w:tc>
          <w:tcPr>
            <w:tcW w:w="2601" w:type="dxa"/>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23932—2009</w:t>
            </w:r>
            <w:r>
              <w:rPr>
                <w:rFonts w:hint="eastAsia" w:ascii="Times New Roman" w:hAnsi="Times New Roman" w:cs="Times New Roman"/>
                <w:color w:val="auto"/>
                <w:highlight w:val="none"/>
              </w:rPr>
              <w:t xml:space="preserve">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23932—20</w:t>
            </w:r>
            <w:r>
              <w:rPr>
                <w:rFonts w:hint="eastAsia" w:ascii="Times New Roman" w:hAnsi="Times New Roman" w:cs="Times New Roman"/>
                <w:color w:val="auto"/>
                <w:highlight w:val="none"/>
              </w:rPr>
              <w:t>25</w:t>
            </w:r>
          </w:p>
        </w:tc>
        <w:tc>
          <w:tcPr>
            <w:tcW w:w="2599" w:type="dxa"/>
            <w:vAlign w:val="center"/>
          </w:tcPr>
          <w:p>
            <w:pPr>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highlight w:val="none"/>
              </w:rPr>
              <w:t>GB/T 23932—2009</w:t>
            </w:r>
            <w:r>
              <w:rPr>
                <w:rFonts w:hint="eastAsia" w:ascii="Times New Roman" w:hAnsi="Times New Roman" w:cs="Times New Roman"/>
                <w:color w:val="auto"/>
                <w:highlight w:val="none"/>
              </w:rPr>
              <w:t xml:space="preserve">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23932—20</w:t>
            </w:r>
            <w:r>
              <w:rPr>
                <w:rFonts w:hint="eastAsia" w:ascii="Times New Roman" w:hAnsi="Times New Roman" w:cs="Times New Roman"/>
                <w:color w:val="auto"/>
                <w:highlight w:val="none"/>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1280"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2581"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剥离性能</w:t>
            </w:r>
          </w:p>
        </w:tc>
        <w:tc>
          <w:tcPr>
            <w:tcW w:w="2601" w:type="dxa"/>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23932—2009</w:t>
            </w:r>
            <w:r>
              <w:rPr>
                <w:rFonts w:hint="eastAsia" w:ascii="Times New Roman" w:hAnsi="Times New Roman" w:cs="Times New Roman"/>
                <w:color w:val="auto"/>
                <w:highlight w:val="none"/>
              </w:rPr>
              <w:t xml:space="preserve">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23932—20</w:t>
            </w:r>
            <w:r>
              <w:rPr>
                <w:rFonts w:hint="eastAsia" w:ascii="Times New Roman" w:hAnsi="Times New Roman" w:cs="Times New Roman"/>
                <w:color w:val="auto"/>
                <w:highlight w:val="none"/>
              </w:rPr>
              <w:t>25</w:t>
            </w:r>
          </w:p>
        </w:tc>
        <w:tc>
          <w:tcPr>
            <w:tcW w:w="2599" w:type="dxa"/>
            <w:vAlign w:val="center"/>
          </w:tcPr>
          <w:p>
            <w:pPr>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highlight w:val="none"/>
              </w:rPr>
              <w:t>GB/T 23932—2009</w:t>
            </w:r>
            <w:r>
              <w:rPr>
                <w:rFonts w:hint="eastAsia" w:ascii="Times New Roman" w:hAnsi="Times New Roman" w:cs="Times New Roman"/>
                <w:color w:val="auto"/>
                <w:highlight w:val="none"/>
              </w:rPr>
              <w:t xml:space="preserve">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23932—20</w:t>
            </w:r>
            <w:r>
              <w:rPr>
                <w:rFonts w:hint="eastAsia" w:ascii="Times New Roman" w:hAnsi="Times New Roman" w:cs="Times New Roman"/>
                <w:color w:val="auto"/>
                <w:highlight w:val="none"/>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3" w:hRule="atLeast"/>
        </w:trPr>
        <w:tc>
          <w:tcPr>
            <w:tcW w:w="1280"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2581"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耐火极限</w:t>
            </w:r>
          </w:p>
        </w:tc>
        <w:tc>
          <w:tcPr>
            <w:tcW w:w="2601" w:type="dxa"/>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23932—2009</w:t>
            </w:r>
          </w:p>
        </w:tc>
        <w:tc>
          <w:tcPr>
            <w:tcW w:w="2599"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9978.1—2008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 w:hRule="atLeast"/>
        </w:trPr>
        <w:tc>
          <w:tcPr>
            <w:tcW w:w="1280"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4</w:t>
            </w:r>
          </w:p>
        </w:tc>
        <w:tc>
          <w:tcPr>
            <w:tcW w:w="2581"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标志</w:t>
            </w:r>
          </w:p>
        </w:tc>
        <w:tc>
          <w:tcPr>
            <w:tcW w:w="2601" w:type="dxa"/>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23932—2009</w:t>
            </w:r>
            <w:r>
              <w:rPr>
                <w:rFonts w:hint="eastAsia" w:ascii="Times New Roman" w:hAnsi="Times New Roman" w:cs="Times New Roman"/>
                <w:color w:val="auto"/>
                <w:highlight w:val="none"/>
              </w:rPr>
              <w:t xml:space="preserve">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23932—20</w:t>
            </w:r>
            <w:r>
              <w:rPr>
                <w:rFonts w:hint="eastAsia" w:ascii="Times New Roman" w:hAnsi="Times New Roman" w:cs="Times New Roman"/>
                <w:color w:val="auto"/>
                <w:highlight w:val="none"/>
              </w:rPr>
              <w:t>25</w:t>
            </w:r>
          </w:p>
        </w:tc>
        <w:tc>
          <w:tcPr>
            <w:tcW w:w="2599"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23932—2009</w:t>
            </w:r>
            <w:r>
              <w:rPr>
                <w:rFonts w:hint="eastAsia" w:ascii="Times New Roman" w:hAnsi="Times New Roman" w:cs="Times New Roman"/>
                <w:color w:val="auto"/>
                <w:highlight w:val="none"/>
              </w:rPr>
              <w:t xml:space="preserve">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23932—20</w:t>
            </w:r>
            <w:r>
              <w:rPr>
                <w:rFonts w:hint="eastAsia" w:ascii="Times New Roman" w:hAnsi="Times New Roman" w:cs="Times New Roman"/>
                <w:color w:val="auto"/>
                <w:highlight w:val="none"/>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 w:hRule="atLeast"/>
        </w:trPr>
        <w:tc>
          <w:tcPr>
            <w:tcW w:w="9061" w:type="dxa"/>
            <w:gridSpan w:val="4"/>
            <w:vAlign w:val="center"/>
          </w:tcPr>
          <w:p>
            <w:pPr>
              <w:snapToGrid w:val="0"/>
              <w:spacing w:line="440" w:lineRule="exact"/>
              <w:rPr>
                <w:rFonts w:ascii="Times New Roman" w:hAnsi="Times New Roman" w:cs="Times New Roman"/>
                <w:color w:val="auto"/>
                <w:highlight w:val="none"/>
              </w:rPr>
            </w:pPr>
            <w:r>
              <w:rPr>
                <w:rFonts w:ascii="Times New Roman" w:hAnsi="Times New Roman" w:cs="Times New Roman"/>
                <w:color w:val="auto"/>
                <w:highlight w:val="none"/>
              </w:rPr>
              <w:t xml:space="preserve">注：GB/T </w:t>
            </w:r>
            <w:r>
              <w:rPr>
                <w:rFonts w:hint="eastAsia" w:ascii="Times New Roman" w:hAnsi="Times New Roman" w:cs="Times New Roman"/>
                <w:color w:val="auto"/>
                <w:highlight w:val="none"/>
              </w:rPr>
              <w:t>23932</w:t>
            </w:r>
            <w:r>
              <w:rPr>
                <w:rFonts w:ascii="Times New Roman" w:hAnsi="Times New Roman" w:cs="Times New Roman"/>
                <w:color w:val="auto"/>
                <w:highlight w:val="none"/>
              </w:rPr>
              <w:t>—202</w:t>
            </w:r>
            <w:r>
              <w:rPr>
                <w:rFonts w:hint="eastAsia" w:ascii="Times New Roman" w:hAnsi="Times New Roman" w:cs="Times New Roman"/>
                <w:color w:val="auto"/>
                <w:highlight w:val="none"/>
              </w:rPr>
              <w:t>5</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07</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p>
        </w:tc>
      </w:tr>
    </w:tbl>
    <w:p>
      <w:pPr>
        <w:rPr>
          <w:rFonts w:ascii="Times New Roman" w:hAnsi="Times New Roman" w:cs="Times New Roman"/>
          <w:color w:val="auto"/>
          <w:highlight w:val="none"/>
        </w:rPr>
      </w:pPr>
    </w:p>
    <w:p>
      <w:pPr>
        <w:rPr>
          <w:rFonts w:ascii="Times New Roman" w:hAnsi="Times New Roman" w:cs="Times New Roman"/>
          <w:color w:val="auto"/>
          <w:kern w:val="0"/>
          <w:highlight w:val="none"/>
        </w:rPr>
      </w:pPr>
      <w:r>
        <w:rPr>
          <w:rFonts w:ascii="Times New Roman" w:hAnsi="Times New Roman" w:cs="Times New Roman"/>
          <w:color w:val="auto"/>
          <w:highlight w:val="none"/>
        </w:rPr>
        <w:t xml:space="preserve">2.7 </w:t>
      </w:r>
      <w:r>
        <w:rPr>
          <w:rFonts w:ascii="Times New Roman" w:hAnsi="Times New Roman" w:cs="Times New Roman"/>
          <w:color w:val="auto"/>
          <w:kern w:val="0"/>
          <w:highlight w:val="none"/>
        </w:rPr>
        <w:t>建筑绝热用硬质聚氨酯板</w:t>
      </w:r>
    </w:p>
    <w:tbl>
      <w:tblPr>
        <w:tblStyle w:val="8"/>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78"/>
        <w:gridCol w:w="2564"/>
        <w:gridCol w:w="2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769" w:type="dxa"/>
            <w:vAlign w:val="center"/>
          </w:tcPr>
          <w:p>
            <w:pPr>
              <w:snapToGrid w:val="0"/>
              <w:spacing w:line="440" w:lineRule="exact"/>
              <w:jc w:val="center"/>
              <w:rPr>
                <w:rFonts w:ascii="Times New Roman" w:hAnsi="Times New Roman" w:cs="Times New Roman"/>
                <w:bCs/>
                <w:color w:val="auto"/>
                <w:highlight w:val="none"/>
              </w:rPr>
            </w:pPr>
            <w:r>
              <w:rPr>
                <w:rFonts w:ascii="Times New Roman" w:hAnsi="Times New Roman" w:cs="Times New Roman"/>
                <w:bCs/>
                <w:color w:val="auto"/>
                <w:highlight w:val="none"/>
              </w:rPr>
              <w:t>序号</w:t>
            </w:r>
          </w:p>
        </w:tc>
        <w:tc>
          <w:tcPr>
            <w:tcW w:w="3578" w:type="dxa"/>
            <w:vAlign w:val="center"/>
          </w:tcPr>
          <w:p>
            <w:pPr>
              <w:snapToGrid w:val="0"/>
              <w:spacing w:line="440" w:lineRule="exact"/>
              <w:jc w:val="center"/>
              <w:rPr>
                <w:rFonts w:ascii="Times New Roman" w:hAnsi="Times New Roman" w:cs="Times New Roman"/>
                <w:bCs/>
                <w:color w:val="auto"/>
                <w:highlight w:val="none"/>
              </w:rPr>
            </w:pPr>
            <w:r>
              <w:rPr>
                <w:rFonts w:ascii="Times New Roman" w:hAnsi="Times New Roman" w:cs="Times New Roman"/>
                <w:bCs/>
                <w:color w:val="auto"/>
                <w:highlight w:val="none"/>
              </w:rPr>
              <w:t>检验项目</w:t>
            </w:r>
          </w:p>
        </w:tc>
        <w:tc>
          <w:tcPr>
            <w:tcW w:w="2564" w:type="dxa"/>
            <w:vAlign w:val="center"/>
          </w:tcPr>
          <w:p>
            <w:pPr>
              <w:snapToGrid w:val="0"/>
              <w:spacing w:line="440" w:lineRule="exact"/>
              <w:jc w:val="center"/>
              <w:rPr>
                <w:rFonts w:ascii="Times New Roman" w:hAnsi="Times New Roman" w:cs="Times New Roman"/>
                <w:bCs/>
                <w:color w:val="auto"/>
                <w:highlight w:val="none"/>
              </w:rPr>
            </w:pPr>
            <w:r>
              <w:rPr>
                <w:rFonts w:ascii="Times New Roman" w:hAnsi="Times New Roman" w:cs="Times New Roman"/>
                <w:bCs/>
                <w:color w:val="auto"/>
                <w:kern w:val="0"/>
                <w:highlight w:val="none"/>
              </w:rPr>
              <w:t>检验依据</w:t>
            </w:r>
          </w:p>
        </w:tc>
        <w:tc>
          <w:tcPr>
            <w:tcW w:w="2319" w:type="dxa"/>
            <w:vAlign w:val="center"/>
          </w:tcPr>
          <w:p>
            <w:pPr>
              <w:snapToGrid w:val="0"/>
              <w:spacing w:line="440" w:lineRule="exact"/>
              <w:jc w:val="center"/>
              <w:rPr>
                <w:rFonts w:ascii="Times New Roman" w:hAnsi="Times New Roman" w:cs="Times New Roman"/>
                <w:bCs/>
                <w:color w:val="auto"/>
                <w:highlight w:val="none"/>
              </w:rPr>
            </w:pPr>
            <w:r>
              <w:rPr>
                <w:rFonts w:ascii="Times New Roman" w:hAnsi="Times New Roman" w:cs="Times New Roman"/>
                <w:bCs/>
                <w:color w:val="auto"/>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769"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w:t>
            </w:r>
          </w:p>
        </w:tc>
        <w:tc>
          <w:tcPr>
            <w:tcW w:w="3578"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芯密度</w:t>
            </w:r>
            <w:r>
              <w:rPr>
                <w:rFonts w:hint="eastAsia" w:ascii="Times New Roman" w:hAnsi="Times New Roman" w:cs="Times New Roman"/>
                <w:color w:val="auto"/>
                <w:kern w:val="0"/>
                <w:highlight w:val="none"/>
              </w:rPr>
              <w:t>或表观芯密度</w:t>
            </w:r>
          </w:p>
        </w:tc>
        <w:tc>
          <w:tcPr>
            <w:tcW w:w="2564"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21558—2008</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21558—20</w:t>
            </w:r>
            <w:r>
              <w:rPr>
                <w:rFonts w:hint="eastAsia" w:ascii="Times New Roman" w:hAnsi="Times New Roman" w:cs="Times New Roman"/>
                <w:color w:val="auto"/>
                <w:highlight w:val="none"/>
              </w:rPr>
              <w:t>25</w:t>
            </w:r>
          </w:p>
        </w:tc>
        <w:tc>
          <w:tcPr>
            <w:tcW w:w="2319"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21558—2008</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21558—20</w:t>
            </w:r>
            <w:r>
              <w:rPr>
                <w:rFonts w:hint="eastAsia" w:ascii="Times New Roman" w:hAnsi="Times New Roman" w:cs="Times New Roman"/>
                <w:color w:val="auto"/>
                <w:highlight w:val="none"/>
              </w:rPr>
              <w:t>25</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 xml:space="preserve">GB/T </w:t>
            </w:r>
            <w:r>
              <w:rPr>
                <w:rFonts w:hint="eastAsia" w:ascii="Times New Roman" w:hAnsi="Times New Roman" w:cs="Times New Roman"/>
                <w:color w:val="auto"/>
                <w:highlight w:val="none"/>
              </w:rPr>
              <w:t>6343</w:t>
            </w:r>
            <w:r>
              <w:rPr>
                <w:rFonts w:ascii="Times New Roman" w:hAnsi="Times New Roman" w:cs="Times New Roman"/>
                <w:color w:val="auto"/>
                <w:highlight w:val="none"/>
              </w:rPr>
              <w:t>—</w:t>
            </w:r>
            <w:r>
              <w:rPr>
                <w:rFonts w:hint="eastAsia" w:ascii="Times New Roman" w:hAnsi="Times New Roman" w:cs="Times New Roman"/>
                <w:color w:val="auto"/>
                <w:highlight w:val="none"/>
              </w:rPr>
              <w:t>1995</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 xml:space="preserve">GB/T </w:t>
            </w:r>
            <w:r>
              <w:rPr>
                <w:rFonts w:hint="eastAsia" w:ascii="Times New Roman" w:hAnsi="Times New Roman" w:cs="Times New Roman"/>
                <w:color w:val="auto"/>
                <w:highlight w:val="none"/>
              </w:rPr>
              <w:t>6343</w:t>
            </w:r>
            <w:r>
              <w:rPr>
                <w:rFonts w:ascii="Times New Roman" w:hAnsi="Times New Roman" w:cs="Times New Roman"/>
                <w:color w:val="auto"/>
                <w:highlight w:val="none"/>
              </w:rPr>
              <w:t>—200</w:t>
            </w:r>
            <w:r>
              <w:rPr>
                <w:rFonts w:hint="eastAsia" w:ascii="Times New Roman" w:hAnsi="Times New Roman" w:cs="Times New Roman"/>
                <w:color w:val="auto"/>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69"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2</w:t>
            </w:r>
          </w:p>
        </w:tc>
        <w:tc>
          <w:tcPr>
            <w:tcW w:w="3578"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压缩强度或形变10%压缩应力</w:t>
            </w:r>
            <w:r>
              <w:rPr>
                <w:rFonts w:hint="eastAsia" w:ascii="Times New Roman" w:hAnsi="Times New Roman" w:cs="Times New Roman"/>
                <w:color w:val="auto"/>
                <w:kern w:val="0"/>
                <w:highlight w:val="none"/>
              </w:rPr>
              <w:t>或压缩性能</w:t>
            </w:r>
          </w:p>
        </w:tc>
        <w:tc>
          <w:tcPr>
            <w:tcW w:w="2564"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21558—2008</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21558—20</w:t>
            </w:r>
            <w:r>
              <w:rPr>
                <w:rFonts w:hint="eastAsia" w:ascii="Times New Roman" w:hAnsi="Times New Roman" w:cs="Times New Roman"/>
                <w:color w:val="auto"/>
                <w:highlight w:val="none"/>
              </w:rPr>
              <w:t>25</w:t>
            </w:r>
          </w:p>
        </w:tc>
        <w:tc>
          <w:tcPr>
            <w:tcW w:w="2319"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21558—2008</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21558—20</w:t>
            </w:r>
            <w:r>
              <w:rPr>
                <w:rFonts w:hint="eastAsia" w:ascii="Times New Roman" w:hAnsi="Times New Roman" w:cs="Times New Roman"/>
                <w:color w:val="auto"/>
                <w:highlight w:val="none"/>
              </w:rPr>
              <w:t>25</w:t>
            </w:r>
          </w:p>
          <w:p>
            <w:pPr>
              <w:snapToGrid w:val="0"/>
              <w:spacing w:line="440" w:lineRule="exact"/>
              <w:jc w:val="center"/>
              <w:rPr>
                <w:rFonts w:ascii="Times New Roman" w:hAnsi="Times New Roman" w:cs="Times New Roman"/>
                <w:color w:val="auto"/>
                <w:highlight w:val="none"/>
              </w:rPr>
            </w:pPr>
            <w:r>
              <w:rPr>
                <w:rFonts w:hint="eastAsia" w:ascii="Times New Roman" w:hAnsi="Times New Roman" w:cs="Times New Roman"/>
                <w:color w:val="auto"/>
                <w:highlight w:val="none"/>
              </w:rPr>
              <w:t>GB/T 8813</w:t>
            </w:r>
            <w:r>
              <w:rPr>
                <w:rFonts w:ascii="Times New Roman" w:hAnsi="Times New Roman" w:cs="Times New Roman"/>
                <w:color w:val="auto"/>
                <w:highlight w:val="none"/>
              </w:rPr>
              <w:t>—</w:t>
            </w:r>
            <w:r>
              <w:rPr>
                <w:rFonts w:hint="eastAsia" w:ascii="Times New Roman" w:hAnsi="Times New Roman" w:cs="Times New Roman"/>
                <w:color w:val="auto"/>
                <w:highlight w:val="none"/>
              </w:rPr>
              <w:t>1988</w:t>
            </w:r>
          </w:p>
          <w:p>
            <w:pPr>
              <w:snapToGrid w:val="0"/>
              <w:spacing w:line="440" w:lineRule="exact"/>
              <w:jc w:val="center"/>
              <w:rPr>
                <w:rFonts w:ascii="Times New Roman" w:hAnsi="Times New Roman" w:cs="Times New Roman"/>
                <w:color w:val="auto"/>
                <w:highlight w:val="none"/>
              </w:rPr>
            </w:pPr>
            <w:r>
              <w:rPr>
                <w:rFonts w:hint="eastAsia" w:ascii="Times New Roman" w:hAnsi="Times New Roman" w:cs="Times New Roman"/>
                <w:color w:val="auto"/>
                <w:highlight w:val="none"/>
              </w:rPr>
              <w:t>GB/T 8813</w:t>
            </w:r>
            <w:r>
              <w:rPr>
                <w:rFonts w:ascii="Times New Roman" w:hAnsi="Times New Roman" w:cs="Times New Roman"/>
                <w:color w:val="auto"/>
                <w:highlight w:val="none"/>
              </w:rPr>
              <w:t>—</w:t>
            </w:r>
            <w:r>
              <w:rPr>
                <w:rFonts w:hint="eastAsia" w:ascii="Times New Roman" w:hAnsi="Times New Roman" w:cs="Times New Roman"/>
                <w:color w:val="auto"/>
                <w:highlight w:val="none"/>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69"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3</w:t>
            </w:r>
          </w:p>
        </w:tc>
        <w:tc>
          <w:tcPr>
            <w:tcW w:w="3578"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初期导热系数（平均温度23℃、28d）</w:t>
            </w:r>
            <w:r>
              <w:rPr>
                <w:rFonts w:hint="eastAsia" w:ascii="Times New Roman" w:hAnsi="Times New Roman" w:cs="Times New Roman"/>
                <w:color w:val="auto"/>
                <w:kern w:val="0"/>
                <w:highlight w:val="none"/>
              </w:rPr>
              <w:t>或初期导热系数（平均温度 23℃）</w:t>
            </w:r>
          </w:p>
        </w:tc>
        <w:tc>
          <w:tcPr>
            <w:tcW w:w="2564"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21558—2008</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21558—20</w:t>
            </w:r>
            <w:r>
              <w:rPr>
                <w:rFonts w:hint="eastAsia" w:ascii="Times New Roman" w:hAnsi="Times New Roman" w:cs="Times New Roman"/>
                <w:color w:val="auto"/>
                <w:highlight w:val="none"/>
              </w:rPr>
              <w:t>25</w:t>
            </w:r>
          </w:p>
        </w:tc>
        <w:tc>
          <w:tcPr>
            <w:tcW w:w="2319"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21558—2008</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21558—20</w:t>
            </w:r>
            <w:r>
              <w:rPr>
                <w:rFonts w:hint="eastAsia" w:ascii="Times New Roman" w:hAnsi="Times New Roman" w:cs="Times New Roman"/>
                <w:color w:val="auto"/>
                <w:highlight w:val="none"/>
              </w:rPr>
              <w:t>25</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10294—2008</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 xml:space="preserve"> GB/T 10295—2008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69"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4</w:t>
            </w:r>
          </w:p>
        </w:tc>
        <w:tc>
          <w:tcPr>
            <w:tcW w:w="3578"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燃烧性能</w:t>
            </w:r>
          </w:p>
        </w:tc>
        <w:tc>
          <w:tcPr>
            <w:tcW w:w="2564"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tc>
        <w:tc>
          <w:tcPr>
            <w:tcW w:w="2319" w:type="dxa"/>
            <w:vAlign w:val="center"/>
          </w:tcPr>
          <w:p>
            <w:pPr>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p>
            <w:pPr>
              <w:jc w:val="center"/>
              <w:rPr>
                <w:rFonts w:ascii="Times New Roman" w:hAnsi="Times New Roman" w:cs="Times New Roman"/>
                <w:color w:val="auto"/>
                <w:highlight w:val="none"/>
              </w:rPr>
            </w:pPr>
            <w:r>
              <w:rPr>
                <w:rFonts w:ascii="Times New Roman" w:hAnsi="Times New Roman" w:cs="Times New Roman"/>
                <w:color w:val="auto"/>
                <w:highlight w:val="none"/>
              </w:rPr>
              <w:t>GB/T 8626—2007</w:t>
            </w:r>
            <w:r>
              <w:rPr>
                <w:rFonts w:hint="eastAsia" w:ascii="Times New Roman" w:hAnsi="Times New Roman" w:cs="Times New Roman"/>
                <w:color w:val="auto"/>
                <w:highlight w:val="none"/>
              </w:rPr>
              <w:t>或</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p>
          <w:p>
            <w:pPr>
              <w:snapToGrid w:val="0"/>
              <w:spacing w:line="30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20284—2006</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2406.2—2009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69"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5</w:t>
            </w:r>
          </w:p>
        </w:tc>
        <w:tc>
          <w:tcPr>
            <w:tcW w:w="3578" w:type="dxa"/>
            <w:vAlign w:val="center"/>
          </w:tcPr>
          <w:p>
            <w:pPr>
              <w:widowControl/>
              <w:snapToGrid w:val="0"/>
              <w:spacing w:line="440" w:lineRule="exact"/>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标志</w:t>
            </w:r>
          </w:p>
        </w:tc>
        <w:tc>
          <w:tcPr>
            <w:tcW w:w="2564"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21558—2008</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21558—20</w:t>
            </w:r>
            <w:r>
              <w:rPr>
                <w:rFonts w:hint="eastAsia" w:ascii="Times New Roman" w:hAnsi="Times New Roman" w:cs="Times New Roman"/>
                <w:color w:val="auto"/>
                <w:highlight w:val="none"/>
              </w:rPr>
              <w:t>25</w:t>
            </w:r>
          </w:p>
        </w:tc>
        <w:tc>
          <w:tcPr>
            <w:tcW w:w="2319"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21558—2008</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21558—20</w:t>
            </w:r>
            <w:r>
              <w:rPr>
                <w:rFonts w:hint="eastAsia" w:ascii="Times New Roman" w:hAnsi="Times New Roman" w:cs="Times New Roman"/>
                <w:color w:val="auto"/>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230" w:type="dxa"/>
            <w:gridSpan w:val="4"/>
            <w:vAlign w:val="center"/>
          </w:tcPr>
          <w:p>
            <w:pPr>
              <w:snapToGrid w:val="0"/>
              <w:spacing w:line="440" w:lineRule="exact"/>
              <w:jc w:val="left"/>
              <w:rPr>
                <w:rFonts w:ascii="Times New Roman" w:hAnsi="Times New Roman" w:cs="Times New Roman"/>
                <w:color w:val="auto"/>
                <w:highlight w:val="none"/>
              </w:rPr>
            </w:pPr>
            <w:r>
              <w:rPr>
                <w:rFonts w:ascii="Times New Roman" w:hAnsi="Times New Roman" w:cs="Times New Roman"/>
                <w:color w:val="auto"/>
                <w:highlight w:val="none"/>
              </w:rPr>
              <w:t xml:space="preserve">注：GB/T </w:t>
            </w:r>
            <w:r>
              <w:rPr>
                <w:rFonts w:hint="eastAsia" w:ascii="Times New Roman" w:hAnsi="Times New Roman" w:cs="Times New Roman"/>
                <w:color w:val="auto"/>
                <w:highlight w:val="none"/>
              </w:rPr>
              <w:t>21558</w:t>
            </w:r>
            <w:r>
              <w:rPr>
                <w:rFonts w:ascii="Times New Roman" w:hAnsi="Times New Roman" w:cs="Times New Roman"/>
                <w:color w:val="auto"/>
                <w:highlight w:val="none"/>
              </w:rPr>
              <w:t>—202</w:t>
            </w:r>
            <w:r>
              <w:rPr>
                <w:rFonts w:hint="eastAsia" w:ascii="Times New Roman" w:hAnsi="Times New Roman" w:cs="Times New Roman"/>
                <w:color w:val="auto"/>
                <w:highlight w:val="none"/>
              </w:rPr>
              <w:t>5</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07</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r>
              <w:rPr>
                <w:rFonts w:ascii="Times New Roman" w:hAnsi="Times New Roman" w:cs="Times New Roman"/>
                <w:color w:val="auto"/>
                <w:highlight w:val="none"/>
              </w:rPr>
              <w:t>GB/T 8626—20</w:t>
            </w:r>
            <w:r>
              <w:rPr>
                <w:rFonts w:hint="eastAsia" w:ascii="Times New Roman" w:hAnsi="Times New Roman" w:cs="Times New Roman"/>
                <w:color w:val="auto"/>
                <w:highlight w:val="none"/>
              </w:rPr>
              <w:t>26</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10</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p>
        </w:tc>
      </w:tr>
    </w:tbl>
    <w:p>
      <w:pPr>
        <w:rPr>
          <w:rFonts w:ascii="Times New Roman" w:hAnsi="Times New Roman" w:cs="Times New Roman"/>
          <w:color w:val="auto"/>
          <w:highlight w:val="none"/>
        </w:rPr>
      </w:pPr>
    </w:p>
    <w:p>
      <w:pPr>
        <w:rPr>
          <w:rFonts w:ascii="Times New Roman" w:hAnsi="Times New Roman" w:cs="Times New Roman"/>
          <w:color w:val="auto"/>
          <w:highlight w:val="none"/>
        </w:rPr>
      </w:pPr>
    </w:p>
    <w:p>
      <w:pPr>
        <w:rPr>
          <w:rFonts w:ascii="Times New Roman" w:hAnsi="Times New Roman" w:cs="Times New Roman"/>
          <w:color w:val="auto"/>
          <w:highlight w:val="none"/>
        </w:rPr>
      </w:pPr>
    </w:p>
    <w:p>
      <w:pPr>
        <w:rPr>
          <w:rFonts w:ascii="Times New Roman" w:hAnsi="Times New Roman" w:cs="Times New Roman"/>
          <w:color w:val="auto"/>
          <w:highlight w:val="none"/>
        </w:rPr>
      </w:pPr>
    </w:p>
    <w:p>
      <w:pPr>
        <w:rPr>
          <w:rFonts w:ascii="Times New Roman" w:hAnsi="Times New Roman" w:cs="Times New Roman"/>
          <w:color w:val="auto"/>
          <w:highlight w:val="none"/>
        </w:rPr>
      </w:pPr>
      <w:r>
        <w:rPr>
          <w:rFonts w:hint="eastAsia" w:ascii="Times New Roman" w:hAnsi="Times New Roman" w:cs="Times New Roman"/>
          <w:color w:val="auto"/>
          <w:highlight w:val="none"/>
        </w:rPr>
        <w:t>2</w:t>
      </w:r>
      <w:r>
        <w:rPr>
          <w:rFonts w:ascii="Times New Roman" w:hAnsi="Times New Roman" w:cs="Times New Roman"/>
          <w:color w:val="auto"/>
          <w:highlight w:val="none"/>
        </w:rPr>
        <w:t>.8 绝热用岩棉板</w:t>
      </w:r>
    </w:p>
    <w:tbl>
      <w:tblPr>
        <w:tblStyle w:val="8"/>
        <w:tblW w:w="92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3437"/>
        <w:gridCol w:w="2205"/>
        <w:gridCol w:w="2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jc w:val="center"/>
        </w:trPr>
        <w:tc>
          <w:tcPr>
            <w:tcW w:w="834" w:type="dxa"/>
            <w:vAlign w:val="center"/>
          </w:tcPr>
          <w:p>
            <w:pPr>
              <w:snapToGrid w:val="0"/>
              <w:jc w:val="center"/>
              <w:rPr>
                <w:rFonts w:ascii="Times New Roman" w:hAnsi="Times New Roman" w:cs="Times New Roman"/>
                <w:color w:val="auto"/>
                <w:highlight w:val="none"/>
              </w:rPr>
            </w:pPr>
            <w:r>
              <w:rPr>
                <w:rFonts w:ascii="Times New Roman" w:hAnsi="Times New Roman" w:cs="Times New Roman"/>
                <w:color w:val="auto"/>
                <w:highlight w:val="none"/>
              </w:rPr>
              <w:t>序号</w:t>
            </w:r>
          </w:p>
        </w:tc>
        <w:tc>
          <w:tcPr>
            <w:tcW w:w="3437" w:type="dxa"/>
            <w:vAlign w:val="center"/>
          </w:tcPr>
          <w:p>
            <w:pPr>
              <w:snapToGrid w:val="0"/>
              <w:jc w:val="center"/>
              <w:rPr>
                <w:rFonts w:ascii="Times New Roman" w:hAnsi="Times New Roman" w:cs="Times New Roman"/>
                <w:color w:val="auto"/>
                <w:highlight w:val="none"/>
              </w:rPr>
            </w:pPr>
            <w:r>
              <w:rPr>
                <w:rFonts w:ascii="Times New Roman" w:hAnsi="Times New Roman" w:cs="Times New Roman"/>
                <w:color w:val="auto"/>
                <w:highlight w:val="none"/>
              </w:rPr>
              <w:t>检验项目</w:t>
            </w:r>
          </w:p>
        </w:tc>
        <w:tc>
          <w:tcPr>
            <w:tcW w:w="2205" w:type="dxa"/>
          </w:tcPr>
          <w:p>
            <w:pPr>
              <w:snapToGrid w:val="0"/>
              <w:jc w:val="center"/>
              <w:rPr>
                <w:rFonts w:ascii="Times New Roman" w:hAnsi="Times New Roman" w:cs="Times New Roman"/>
                <w:color w:val="auto"/>
                <w:highlight w:val="none"/>
              </w:rPr>
            </w:pPr>
            <w:r>
              <w:rPr>
                <w:rFonts w:ascii="Times New Roman" w:hAnsi="Times New Roman" w:cs="Times New Roman"/>
                <w:bCs/>
                <w:color w:val="auto"/>
                <w:kern w:val="0"/>
                <w:highlight w:val="none"/>
              </w:rPr>
              <w:t>检验依据</w:t>
            </w:r>
          </w:p>
        </w:tc>
        <w:tc>
          <w:tcPr>
            <w:tcW w:w="2752" w:type="dxa"/>
            <w:vAlign w:val="center"/>
          </w:tcPr>
          <w:p>
            <w:pPr>
              <w:snapToGrid w:val="0"/>
              <w:jc w:val="center"/>
              <w:rPr>
                <w:rFonts w:ascii="Times New Roman" w:hAnsi="Times New Roman" w:cs="Times New Roman"/>
                <w:color w:val="auto"/>
                <w:highlight w:val="none"/>
              </w:rPr>
            </w:pPr>
            <w:r>
              <w:rPr>
                <w:rFonts w:ascii="Times New Roman" w:hAnsi="Times New Roman" w:cs="Times New Roman"/>
                <w:color w:val="auto"/>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834"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w:t>
            </w:r>
          </w:p>
        </w:tc>
        <w:tc>
          <w:tcPr>
            <w:tcW w:w="3437"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密度单值允许偏差</w:t>
            </w:r>
          </w:p>
        </w:tc>
        <w:tc>
          <w:tcPr>
            <w:tcW w:w="220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c>
          <w:tcPr>
            <w:tcW w:w="2752" w:type="dxa"/>
            <w:vAlign w:val="center"/>
          </w:tcPr>
          <w:p>
            <w:pPr>
              <w:snapToGrid w:val="0"/>
              <w:spacing w:line="440" w:lineRule="exact"/>
              <w:jc w:val="center"/>
              <w:rPr>
                <w:rFonts w:ascii="Times New Roman" w:hAnsi="Times New Roman" w:cs="Times New Roman"/>
                <w:color w:val="auto"/>
                <w:highlight w:val="none"/>
              </w:rPr>
            </w:pPr>
            <w:bookmarkStart w:id="9" w:name="OLE_LINK12"/>
            <w:bookmarkStart w:id="10" w:name="OLE_LINK11"/>
            <w:r>
              <w:rPr>
                <w:rFonts w:ascii="Times New Roman" w:hAnsi="Times New Roman" w:cs="Times New Roman"/>
                <w:color w:val="auto"/>
                <w:highlight w:val="none"/>
              </w:rPr>
              <w:t>GB/T 11835—2016</w:t>
            </w:r>
            <w:bookmarkEnd w:id="9"/>
            <w:bookmarkEnd w:id="10"/>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5480—2017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34"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2</w:t>
            </w:r>
          </w:p>
        </w:tc>
        <w:tc>
          <w:tcPr>
            <w:tcW w:w="3437"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纤维平均直径</w:t>
            </w:r>
          </w:p>
        </w:tc>
        <w:tc>
          <w:tcPr>
            <w:tcW w:w="220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c>
          <w:tcPr>
            <w:tcW w:w="2752"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5480—2017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34"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3</w:t>
            </w:r>
          </w:p>
        </w:tc>
        <w:tc>
          <w:tcPr>
            <w:tcW w:w="3437"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渣球含量</w:t>
            </w:r>
          </w:p>
        </w:tc>
        <w:tc>
          <w:tcPr>
            <w:tcW w:w="220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c>
          <w:tcPr>
            <w:tcW w:w="2752"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5480—2017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34"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4</w:t>
            </w:r>
          </w:p>
        </w:tc>
        <w:tc>
          <w:tcPr>
            <w:tcW w:w="3437"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酸度系数</w:t>
            </w:r>
          </w:p>
        </w:tc>
        <w:tc>
          <w:tcPr>
            <w:tcW w:w="220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c>
          <w:tcPr>
            <w:tcW w:w="2752"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5480—2017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34"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5</w:t>
            </w:r>
          </w:p>
        </w:tc>
        <w:tc>
          <w:tcPr>
            <w:tcW w:w="3437"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导热系数</w:t>
            </w:r>
            <w:bookmarkStart w:id="17" w:name="_GoBack"/>
            <w:bookmarkEnd w:id="17"/>
          </w:p>
        </w:tc>
        <w:tc>
          <w:tcPr>
            <w:tcW w:w="220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c>
          <w:tcPr>
            <w:tcW w:w="2752"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10294—2008</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jc w:val="center"/>
        </w:trPr>
        <w:tc>
          <w:tcPr>
            <w:tcW w:w="834"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6</w:t>
            </w:r>
          </w:p>
        </w:tc>
        <w:tc>
          <w:tcPr>
            <w:tcW w:w="3437"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热荷重收缩温度</w:t>
            </w:r>
          </w:p>
        </w:tc>
        <w:tc>
          <w:tcPr>
            <w:tcW w:w="220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c>
          <w:tcPr>
            <w:tcW w:w="2752"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834"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7</w:t>
            </w:r>
          </w:p>
        </w:tc>
        <w:tc>
          <w:tcPr>
            <w:tcW w:w="3437"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有机物含量</w:t>
            </w:r>
          </w:p>
        </w:tc>
        <w:tc>
          <w:tcPr>
            <w:tcW w:w="220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c>
          <w:tcPr>
            <w:tcW w:w="2752"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34"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8</w:t>
            </w:r>
          </w:p>
        </w:tc>
        <w:tc>
          <w:tcPr>
            <w:tcW w:w="3437"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燃烧性能</w:t>
            </w:r>
          </w:p>
        </w:tc>
        <w:tc>
          <w:tcPr>
            <w:tcW w:w="220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tc>
        <w:tc>
          <w:tcPr>
            <w:tcW w:w="2752"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 xml:space="preserve">GB/T 5464—2010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5464—20</w:t>
            </w:r>
            <w:r>
              <w:rPr>
                <w:rFonts w:hint="eastAsia" w:ascii="Times New Roman" w:hAnsi="Times New Roman" w:cs="Times New Roman"/>
                <w:color w:val="auto"/>
                <w:highlight w:val="none"/>
              </w:rPr>
              <w:t>26</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14402—2007</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14402—20</w:t>
            </w:r>
            <w:r>
              <w:rPr>
                <w:rFonts w:hint="eastAsia" w:ascii="Times New Roman" w:hAnsi="Times New Roman" w:cs="Times New Roman"/>
                <w:color w:val="auto"/>
                <w:highlight w:val="none"/>
              </w:rPr>
              <w:t>26</w:t>
            </w:r>
            <w:r>
              <w:rPr>
                <w:rFonts w:ascii="Times New Roman" w:hAnsi="Times New Roman" w:cs="Times New Roman"/>
                <w:color w:val="auto"/>
                <w:highlight w:val="none"/>
              </w:rPr>
              <w:t xml:space="preserve"> </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20284—2006</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r>
              <w:rPr>
                <w:rFonts w:ascii="Times New Roman" w:hAnsi="Times New Roman" w:cs="Times New Roman"/>
                <w:color w:val="auto"/>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34"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9</w:t>
            </w:r>
          </w:p>
        </w:tc>
        <w:tc>
          <w:tcPr>
            <w:tcW w:w="3437"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标志</w:t>
            </w:r>
          </w:p>
        </w:tc>
        <w:tc>
          <w:tcPr>
            <w:tcW w:w="220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c>
          <w:tcPr>
            <w:tcW w:w="2752"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11835—2016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228" w:type="dxa"/>
            <w:gridSpan w:val="4"/>
            <w:vAlign w:val="center"/>
          </w:tcPr>
          <w:p>
            <w:pPr>
              <w:snapToGrid w:val="0"/>
              <w:spacing w:line="440" w:lineRule="exact"/>
              <w:jc w:val="left"/>
              <w:rPr>
                <w:rFonts w:ascii="Times New Roman" w:hAnsi="Times New Roman" w:cs="Times New Roman"/>
                <w:color w:val="auto"/>
                <w:highlight w:val="none"/>
              </w:rPr>
            </w:pPr>
            <w:r>
              <w:rPr>
                <w:rFonts w:ascii="Times New Roman" w:hAnsi="Times New Roman" w:cs="Times New Roman"/>
                <w:color w:val="auto"/>
                <w:highlight w:val="none"/>
              </w:rPr>
              <w:t>注：</w:t>
            </w:r>
            <w:r>
              <w:rPr>
                <w:rFonts w:hint="eastAsia" w:ascii="Times New Roman" w:hAnsi="Times New Roman" w:cs="Times New Roman"/>
                <w:color w:val="auto"/>
                <w:highlight w:val="none"/>
              </w:rPr>
              <w:t>GB/T 5464-2026、</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r>
              <w:rPr>
                <w:rFonts w:ascii="Times New Roman" w:hAnsi="Times New Roman" w:cs="Times New Roman"/>
                <w:color w:val="auto"/>
                <w:highlight w:val="none"/>
              </w:rPr>
              <w:t xml:space="preserve">GB/T </w:t>
            </w:r>
            <w:r>
              <w:rPr>
                <w:rFonts w:hint="eastAsia" w:ascii="Times New Roman" w:hAnsi="Times New Roman" w:cs="Times New Roman"/>
                <w:color w:val="auto"/>
                <w:highlight w:val="none"/>
              </w:rPr>
              <w:t>14402</w:t>
            </w:r>
            <w:r>
              <w:rPr>
                <w:rFonts w:ascii="Times New Roman" w:hAnsi="Times New Roman" w:cs="Times New Roman"/>
                <w:color w:val="auto"/>
                <w:highlight w:val="none"/>
              </w:rPr>
              <w:t>—20</w:t>
            </w:r>
            <w:r>
              <w:rPr>
                <w:rFonts w:hint="eastAsia" w:ascii="Times New Roman" w:hAnsi="Times New Roman" w:cs="Times New Roman"/>
                <w:color w:val="auto"/>
                <w:highlight w:val="none"/>
              </w:rPr>
              <w:t>26</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10</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p>
        </w:tc>
      </w:tr>
    </w:tbl>
    <w:p>
      <w:pPr>
        <w:snapToGrid w:val="0"/>
        <w:ind w:firstLine="420" w:firstLineChars="200"/>
        <w:rPr>
          <w:color w:val="auto"/>
          <w:highlight w:val="none"/>
        </w:rPr>
      </w:pPr>
    </w:p>
    <w:p>
      <w:pPr>
        <w:rPr>
          <w:rFonts w:ascii="Times New Roman" w:hAnsi="Times New Roman" w:cs="Times New Roman"/>
          <w:color w:val="auto"/>
          <w:highlight w:val="none"/>
        </w:rPr>
      </w:pPr>
      <w:r>
        <w:rPr>
          <w:rFonts w:hint="eastAsia" w:ascii="Times New Roman" w:hAnsi="Times New Roman" w:cs="Times New Roman"/>
          <w:color w:val="auto"/>
          <w:highlight w:val="none"/>
        </w:rPr>
        <w:t>2.9建筑用岩棉板</w:t>
      </w:r>
    </w:p>
    <w:tbl>
      <w:tblPr>
        <w:tblStyle w:val="8"/>
        <w:tblW w:w="93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018"/>
        <w:gridCol w:w="2055"/>
        <w:gridCol w:w="2318"/>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blHeader/>
          <w:jc w:val="center"/>
        </w:trPr>
        <w:tc>
          <w:tcPr>
            <w:tcW w:w="765" w:type="dxa"/>
            <w:vAlign w:val="center"/>
          </w:tcPr>
          <w:p>
            <w:pPr>
              <w:snapToGrid w:val="0"/>
              <w:jc w:val="center"/>
              <w:rPr>
                <w:color w:val="auto"/>
                <w:highlight w:val="none"/>
              </w:rPr>
            </w:pPr>
            <w:r>
              <w:rPr>
                <w:color w:val="auto"/>
                <w:highlight w:val="none"/>
              </w:rPr>
              <w:t>序号</w:t>
            </w:r>
          </w:p>
        </w:tc>
        <w:tc>
          <w:tcPr>
            <w:tcW w:w="2018" w:type="dxa"/>
            <w:vAlign w:val="center"/>
          </w:tcPr>
          <w:p>
            <w:pPr>
              <w:snapToGrid w:val="0"/>
              <w:jc w:val="center"/>
              <w:rPr>
                <w:color w:val="auto"/>
                <w:highlight w:val="none"/>
              </w:rPr>
            </w:pPr>
            <w:r>
              <w:rPr>
                <w:color w:val="auto"/>
                <w:highlight w:val="none"/>
              </w:rPr>
              <w:t>检验项目</w:t>
            </w:r>
          </w:p>
        </w:tc>
        <w:tc>
          <w:tcPr>
            <w:tcW w:w="2055" w:type="dxa"/>
            <w:vAlign w:val="center"/>
          </w:tcPr>
          <w:p>
            <w:pPr>
              <w:snapToGrid w:val="0"/>
              <w:jc w:val="center"/>
              <w:rPr>
                <w:color w:val="auto"/>
                <w:highlight w:val="none"/>
              </w:rPr>
            </w:pPr>
            <w:r>
              <w:rPr>
                <w:rFonts w:ascii="Times New Roman" w:hAnsi="Times New Roman" w:cs="Times New Roman"/>
                <w:bCs/>
                <w:color w:val="auto"/>
                <w:kern w:val="0"/>
                <w:highlight w:val="none"/>
              </w:rPr>
              <w:t>检验依据</w:t>
            </w:r>
          </w:p>
        </w:tc>
        <w:tc>
          <w:tcPr>
            <w:tcW w:w="2318" w:type="dxa"/>
            <w:vAlign w:val="center"/>
          </w:tcPr>
          <w:p>
            <w:pPr>
              <w:snapToGrid w:val="0"/>
              <w:jc w:val="center"/>
              <w:rPr>
                <w:color w:val="auto"/>
                <w:highlight w:val="none"/>
              </w:rPr>
            </w:pPr>
            <w:r>
              <w:rPr>
                <w:color w:val="auto"/>
                <w:highlight w:val="none"/>
              </w:rPr>
              <w:t>检验方法</w:t>
            </w:r>
          </w:p>
        </w:tc>
        <w:tc>
          <w:tcPr>
            <w:tcW w:w="2159" w:type="dxa"/>
            <w:vAlign w:val="center"/>
          </w:tcPr>
          <w:p>
            <w:pPr>
              <w:snapToGrid w:val="0"/>
              <w:jc w:val="center"/>
              <w:rPr>
                <w:color w:val="auto"/>
                <w:highlight w:val="none"/>
              </w:rPr>
            </w:pPr>
            <w:r>
              <w:rPr>
                <w:rFonts w:hint="eastAsia"/>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密度允许偏差</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5480—2017</w:t>
            </w:r>
          </w:p>
        </w:tc>
        <w:tc>
          <w:tcPr>
            <w:tcW w:w="2159" w:type="dxa"/>
            <w:vAlign w:val="center"/>
          </w:tcPr>
          <w:p>
            <w:pPr>
              <w:snapToGrid w:val="0"/>
              <w:spacing w:line="440" w:lineRule="exact"/>
              <w:jc w:val="center"/>
              <w:rPr>
                <w:rFonts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2</w:t>
            </w:r>
          </w:p>
        </w:tc>
        <w:tc>
          <w:tcPr>
            <w:tcW w:w="2018" w:type="dxa"/>
            <w:vAlign w:val="center"/>
          </w:tcPr>
          <w:p>
            <w:pPr>
              <w:autoSpaceDE w:val="0"/>
              <w:autoSpaceDN w:val="0"/>
              <w:adjustRightInd w:val="0"/>
              <w:jc w:val="center"/>
              <w:rPr>
                <w:rFonts w:ascii="Times New Roman" w:hAnsi="Times New Roman" w:cs="Times New Roman"/>
                <w:strike/>
                <w:color w:val="auto"/>
                <w:kern w:val="0"/>
                <w:highlight w:val="none"/>
              </w:rPr>
            </w:pPr>
            <w:r>
              <w:rPr>
                <w:rFonts w:ascii="Times New Roman" w:hAnsi="Times New Roman" w:cs="Times New Roman"/>
                <w:color w:val="auto"/>
                <w:kern w:val="0"/>
                <w:highlight w:val="none"/>
              </w:rPr>
              <w:t>酸度系数</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5480—2017</w:t>
            </w:r>
          </w:p>
        </w:tc>
        <w:tc>
          <w:tcPr>
            <w:tcW w:w="2159" w:type="dxa"/>
            <w:vAlign w:val="center"/>
          </w:tcPr>
          <w:p>
            <w:pPr>
              <w:snapToGrid w:val="0"/>
              <w:spacing w:line="440" w:lineRule="exact"/>
              <w:jc w:val="center"/>
              <w:rPr>
                <w:rFonts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3</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导热系数</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10294—2008</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10295—2008</w:t>
            </w:r>
          </w:p>
        </w:tc>
        <w:tc>
          <w:tcPr>
            <w:tcW w:w="2159" w:type="dxa"/>
            <w:vAlign w:val="center"/>
          </w:tcPr>
          <w:p>
            <w:pPr>
              <w:snapToGrid w:val="0"/>
              <w:spacing w:line="440" w:lineRule="exact"/>
              <w:jc w:val="center"/>
              <w:rPr>
                <w:rFonts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4</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质量吸湿率</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5480—2017</w:t>
            </w:r>
          </w:p>
        </w:tc>
        <w:tc>
          <w:tcPr>
            <w:tcW w:w="2159" w:type="dxa"/>
            <w:vAlign w:val="center"/>
          </w:tcPr>
          <w:p>
            <w:pPr>
              <w:snapToGrid w:val="0"/>
              <w:spacing w:line="440" w:lineRule="exact"/>
              <w:jc w:val="center"/>
              <w:rPr>
                <w:rFonts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5</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憎水率</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10299—2011</w:t>
            </w:r>
          </w:p>
        </w:tc>
        <w:tc>
          <w:tcPr>
            <w:tcW w:w="2159" w:type="dxa"/>
            <w:vAlign w:val="center"/>
          </w:tcPr>
          <w:p>
            <w:pPr>
              <w:snapToGrid w:val="0"/>
              <w:spacing w:line="440" w:lineRule="exact"/>
              <w:jc w:val="center"/>
              <w:rPr>
                <w:rFonts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6</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燃烧性能</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 xml:space="preserve">GB/T 5464—2010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5464—20</w:t>
            </w:r>
            <w:r>
              <w:rPr>
                <w:rFonts w:hint="eastAsia" w:ascii="Times New Roman" w:hAnsi="Times New Roman" w:cs="Times New Roman"/>
                <w:color w:val="auto"/>
                <w:highlight w:val="none"/>
              </w:rPr>
              <w:t>26</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14402—2007</w:t>
            </w:r>
            <w:r>
              <w:rPr>
                <w:rFonts w:hint="eastAsia" w:ascii="Times New Roman" w:hAnsi="Times New Roman" w:cs="Times New Roman"/>
                <w:color w:val="auto"/>
                <w:highlight w:val="none"/>
              </w:rPr>
              <w:t xml:space="preserve">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14402—20</w:t>
            </w:r>
            <w:r>
              <w:rPr>
                <w:rFonts w:hint="eastAsia" w:ascii="Times New Roman" w:hAnsi="Times New Roman" w:cs="Times New Roman"/>
                <w:color w:val="auto"/>
                <w:highlight w:val="none"/>
              </w:rPr>
              <w:t>26</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20284—2006</w:t>
            </w:r>
            <w:r>
              <w:rPr>
                <w:rFonts w:hint="eastAsia" w:ascii="Times New Roman" w:hAnsi="Times New Roman" w:cs="Times New Roman"/>
                <w:color w:val="auto"/>
                <w:highlight w:val="none"/>
              </w:rPr>
              <w:t xml:space="preserve">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p>
        </w:tc>
        <w:tc>
          <w:tcPr>
            <w:tcW w:w="2159" w:type="dxa"/>
            <w:vAlign w:val="center"/>
          </w:tcPr>
          <w:p>
            <w:pPr>
              <w:snapToGrid w:val="0"/>
              <w:spacing w:line="440" w:lineRule="exact"/>
              <w:jc w:val="center"/>
              <w:rPr>
                <w:rFonts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7</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短期吸水量</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30805—2014</w:t>
            </w:r>
          </w:p>
        </w:tc>
        <w:tc>
          <w:tcPr>
            <w:tcW w:w="2159" w:type="dxa"/>
            <w:vAlign w:val="center"/>
          </w:tcPr>
          <w:p>
            <w:pPr>
              <w:snapToGrid w:val="0"/>
              <w:spacing w:line="440" w:lineRule="exact"/>
              <w:jc w:val="center"/>
              <w:rPr>
                <w:rFonts w:ascii="Times New Roman" w:hAnsi="Times New Roman" w:cs="Times New Roman"/>
                <w:color w:val="auto"/>
                <w:highlight w:val="none"/>
              </w:rPr>
            </w:pPr>
            <w:r>
              <w:rPr>
                <w:rFonts w:hint="eastAsia"/>
                <w:color w:val="auto"/>
                <w:kern w:val="0"/>
                <w:highlight w:val="none"/>
              </w:rPr>
              <w:t>除钢结构及内保温用外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8</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压缩强度</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13480—2014</w:t>
            </w:r>
          </w:p>
        </w:tc>
        <w:tc>
          <w:tcPr>
            <w:tcW w:w="2159" w:type="dxa"/>
            <w:vAlign w:val="center"/>
          </w:tcPr>
          <w:p>
            <w:pPr>
              <w:snapToGrid w:val="0"/>
              <w:spacing w:line="440" w:lineRule="exact"/>
              <w:jc w:val="center"/>
              <w:rPr>
                <w:rFonts w:ascii="Times New Roman" w:hAnsi="Times New Roman" w:cs="Times New Roman"/>
                <w:color w:val="auto"/>
                <w:highlight w:val="none"/>
              </w:rPr>
            </w:pPr>
            <w:bookmarkStart w:id="11" w:name="OLE_LINK17"/>
            <w:bookmarkStart w:id="12" w:name="OLE_LINK18"/>
            <w:r>
              <w:rPr>
                <w:rFonts w:hint="eastAsia"/>
                <w:color w:val="auto"/>
                <w:kern w:val="0"/>
                <w:highlight w:val="none"/>
              </w:rPr>
              <w:t>仅限屋面和地板用</w:t>
            </w:r>
            <w:bookmarkEnd w:id="11"/>
            <w:bookmarkEnd w:id="12"/>
            <w:r>
              <w:rPr>
                <w:rFonts w:hint="eastAsia"/>
                <w:color w:val="auto"/>
                <w:kern w:val="0"/>
                <w:highlight w:val="none"/>
              </w:rPr>
              <w:t>、金属面夹芯板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9</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水萃取液pH值</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159" w:type="dxa"/>
            <w:vAlign w:val="center"/>
          </w:tcPr>
          <w:p>
            <w:pPr>
              <w:snapToGrid w:val="0"/>
              <w:spacing w:line="440" w:lineRule="exact"/>
              <w:jc w:val="center"/>
              <w:rPr>
                <w:rFonts w:ascii="Times New Roman" w:hAnsi="Times New Roman" w:cs="Times New Roman"/>
                <w:color w:val="auto"/>
                <w:highlight w:val="none"/>
              </w:rPr>
            </w:pPr>
            <w:r>
              <w:rPr>
                <w:rFonts w:hint="eastAsia"/>
                <w:color w:val="auto"/>
                <w:kern w:val="0"/>
                <w:highlight w:val="none"/>
              </w:rPr>
              <w:t>除屋面和地板用外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10</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甲醛释放量</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32379—2015</w:t>
            </w:r>
          </w:p>
        </w:tc>
        <w:tc>
          <w:tcPr>
            <w:tcW w:w="2159" w:type="dxa"/>
            <w:vAlign w:val="center"/>
          </w:tcPr>
          <w:p>
            <w:pPr>
              <w:snapToGrid w:val="0"/>
              <w:spacing w:line="440" w:lineRule="exact"/>
              <w:jc w:val="center"/>
              <w:rPr>
                <w:rFonts w:ascii="Times New Roman" w:hAnsi="Times New Roman" w:cs="Times New Roman"/>
                <w:color w:val="auto"/>
                <w:highlight w:val="none"/>
              </w:rPr>
            </w:pPr>
            <w:r>
              <w:rPr>
                <w:rFonts w:hint="eastAsia"/>
                <w:color w:val="auto"/>
                <w:kern w:val="0"/>
                <w:highlight w:val="none"/>
              </w:rPr>
              <w:t>仅限用于室内时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11</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点载荷</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30802—2014</w:t>
            </w:r>
          </w:p>
        </w:tc>
        <w:tc>
          <w:tcPr>
            <w:tcW w:w="2159" w:type="dxa"/>
            <w:vAlign w:val="center"/>
          </w:tcPr>
          <w:p>
            <w:pPr>
              <w:snapToGrid w:val="0"/>
              <w:spacing w:line="440" w:lineRule="exact"/>
              <w:jc w:val="center"/>
              <w:rPr>
                <w:rFonts w:ascii="Times New Roman" w:hAnsi="Times New Roman" w:cs="Times New Roman"/>
                <w:color w:val="auto"/>
                <w:highlight w:val="none"/>
              </w:rPr>
            </w:pPr>
            <w:r>
              <w:rPr>
                <w:rFonts w:hint="eastAsia"/>
                <w:color w:val="auto"/>
                <w:kern w:val="0"/>
                <w:highlight w:val="none"/>
              </w:rPr>
              <w:t>仅限屋面和地板用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765"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12</w:t>
            </w:r>
          </w:p>
        </w:tc>
        <w:tc>
          <w:tcPr>
            <w:tcW w:w="2018"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标志</w:t>
            </w:r>
          </w:p>
        </w:tc>
        <w:tc>
          <w:tcPr>
            <w:tcW w:w="2055"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318"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19686—2015</w:t>
            </w:r>
          </w:p>
        </w:tc>
        <w:tc>
          <w:tcPr>
            <w:tcW w:w="2159" w:type="dxa"/>
            <w:vAlign w:val="center"/>
          </w:tcPr>
          <w:p>
            <w:pPr>
              <w:snapToGrid w:val="0"/>
              <w:spacing w:line="440" w:lineRule="exact"/>
              <w:jc w:val="center"/>
              <w:rPr>
                <w:rFonts w:ascii="Times New Roman" w:hAnsi="Times New Roman" w:cs="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9315" w:type="dxa"/>
            <w:gridSpan w:val="5"/>
            <w:vAlign w:val="center"/>
          </w:tcPr>
          <w:p>
            <w:pPr>
              <w:snapToGrid w:val="0"/>
              <w:spacing w:line="440" w:lineRule="exact"/>
              <w:jc w:val="left"/>
              <w:rPr>
                <w:rFonts w:ascii="Times New Roman" w:hAnsi="Times New Roman" w:cs="Times New Roman"/>
                <w:color w:val="auto"/>
                <w:highlight w:val="none"/>
              </w:rPr>
            </w:pPr>
            <w:r>
              <w:rPr>
                <w:rFonts w:ascii="Times New Roman" w:hAnsi="Times New Roman" w:cs="Times New Roman"/>
                <w:color w:val="auto"/>
                <w:highlight w:val="none"/>
              </w:rPr>
              <w:t>注：</w:t>
            </w:r>
            <w:r>
              <w:rPr>
                <w:rFonts w:hint="eastAsia" w:ascii="Times New Roman" w:hAnsi="Times New Roman" w:cs="Times New Roman"/>
                <w:color w:val="auto"/>
                <w:highlight w:val="none"/>
              </w:rPr>
              <w:t>GB/T 5464-2026、</w:t>
            </w:r>
            <w:r>
              <w:rPr>
                <w:rFonts w:ascii="Times New Roman" w:hAnsi="Times New Roman" w:cs="Times New Roman"/>
                <w:color w:val="auto"/>
                <w:highlight w:val="none"/>
              </w:rPr>
              <w:t>GB/T 20284—20</w:t>
            </w:r>
            <w:r>
              <w:rPr>
                <w:rFonts w:hint="eastAsia" w:ascii="Times New Roman" w:hAnsi="Times New Roman" w:cs="Times New Roman"/>
                <w:color w:val="auto"/>
                <w:highlight w:val="none"/>
              </w:rPr>
              <w:t>26、</w:t>
            </w:r>
            <w:r>
              <w:rPr>
                <w:rFonts w:ascii="Times New Roman" w:hAnsi="Times New Roman" w:cs="Times New Roman"/>
                <w:color w:val="auto"/>
                <w:highlight w:val="none"/>
              </w:rPr>
              <w:t xml:space="preserve">GB/T </w:t>
            </w:r>
            <w:r>
              <w:rPr>
                <w:rFonts w:hint="eastAsia" w:ascii="Times New Roman" w:hAnsi="Times New Roman" w:cs="Times New Roman"/>
                <w:color w:val="auto"/>
                <w:highlight w:val="none"/>
              </w:rPr>
              <w:t>14402</w:t>
            </w:r>
            <w:r>
              <w:rPr>
                <w:rFonts w:ascii="Times New Roman" w:hAnsi="Times New Roman" w:cs="Times New Roman"/>
                <w:color w:val="auto"/>
                <w:highlight w:val="none"/>
              </w:rPr>
              <w:t>—20</w:t>
            </w:r>
            <w:r>
              <w:rPr>
                <w:rFonts w:hint="eastAsia" w:ascii="Times New Roman" w:hAnsi="Times New Roman" w:cs="Times New Roman"/>
                <w:color w:val="auto"/>
                <w:highlight w:val="none"/>
              </w:rPr>
              <w:t>26</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10</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p>
        </w:tc>
      </w:tr>
    </w:tbl>
    <w:p>
      <w:pPr>
        <w:snapToGrid w:val="0"/>
        <w:ind w:firstLine="420" w:firstLineChars="200"/>
        <w:rPr>
          <w:color w:val="auto"/>
          <w:highlight w:val="none"/>
        </w:rPr>
      </w:pPr>
    </w:p>
    <w:p>
      <w:pPr>
        <w:rPr>
          <w:rFonts w:ascii="Times New Roman" w:hAnsi="Times New Roman" w:cs="Times New Roman"/>
          <w:color w:val="auto"/>
          <w:highlight w:val="none"/>
        </w:rPr>
      </w:pPr>
      <w:r>
        <w:rPr>
          <w:rFonts w:hint="eastAsia" w:ascii="Times New Roman" w:hAnsi="Times New Roman" w:cs="Times New Roman"/>
          <w:color w:val="auto"/>
          <w:highlight w:val="none"/>
        </w:rPr>
        <w:t>2.10建筑外墙外保温用岩棉板</w:t>
      </w:r>
    </w:p>
    <w:tbl>
      <w:tblPr>
        <w:tblStyle w:val="8"/>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3246"/>
        <w:gridCol w:w="2161"/>
        <w:gridCol w:w="2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blHeader/>
        </w:trPr>
        <w:tc>
          <w:tcPr>
            <w:tcW w:w="943" w:type="dxa"/>
            <w:vAlign w:val="center"/>
          </w:tcPr>
          <w:p>
            <w:pPr>
              <w:snapToGrid w:val="0"/>
              <w:jc w:val="center"/>
              <w:rPr>
                <w:rFonts w:ascii="Times New Roman" w:hAnsi="Times New Roman" w:cs="Times New Roman"/>
                <w:color w:val="auto"/>
                <w:highlight w:val="none"/>
              </w:rPr>
            </w:pPr>
            <w:r>
              <w:rPr>
                <w:rFonts w:ascii="Times New Roman" w:hAnsi="Times New Roman" w:cs="Times New Roman"/>
                <w:color w:val="auto"/>
                <w:highlight w:val="none"/>
              </w:rPr>
              <w:t>序号</w:t>
            </w:r>
          </w:p>
        </w:tc>
        <w:tc>
          <w:tcPr>
            <w:tcW w:w="3246" w:type="dxa"/>
            <w:vAlign w:val="center"/>
          </w:tcPr>
          <w:p>
            <w:pPr>
              <w:snapToGrid w:val="0"/>
              <w:jc w:val="center"/>
              <w:rPr>
                <w:rFonts w:ascii="Times New Roman" w:hAnsi="Times New Roman" w:cs="Times New Roman"/>
                <w:color w:val="auto"/>
                <w:highlight w:val="none"/>
              </w:rPr>
            </w:pPr>
            <w:r>
              <w:rPr>
                <w:rFonts w:ascii="Times New Roman" w:hAnsi="Times New Roman" w:cs="Times New Roman"/>
                <w:color w:val="auto"/>
                <w:highlight w:val="none"/>
              </w:rPr>
              <w:t>检验项目</w:t>
            </w:r>
          </w:p>
        </w:tc>
        <w:tc>
          <w:tcPr>
            <w:tcW w:w="2161" w:type="dxa"/>
            <w:vAlign w:val="center"/>
          </w:tcPr>
          <w:p>
            <w:pPr>
              <w:snapToGrid w:val="0"/>
              <w:jc w:val="center"/>
              <w:rPr>
                <w:rFonts w:ascii="Times New Roman" w:hAnsi="Times New Roman" w:cs="Times New Roman"/>
                <w:color w:val="auto"/>
                <w:highlight w:val="none"/>
              </w:rPr>
            </w:pPr>
            <w:r>
              <w:rPr>
                <w:rFonts w:ascii="Times New Roman" w:hAnsi="Times New Roman" w:cs="Times New Roman"/>
                <w:bCs/>
                <w:color w:val="auto"/>
                <w:kern w:val="0"/>
                <w:highlight w:val="none"/>
              </w:rPr>
              <w:t>检验依据</w:t>
            </w:r>
          </w:p>
        </w:tc>
        <w:tc>
          <w:tcPr>
            <w:tcW w:w="2706" w:type="dxa"/>
            <w:vAlign w:val="center"/>
          </w:tcPr>
          <w:p>
            <w:pPr>
              <w:snapToGrid w:val="0"/>
              <w:jc w:val="center"/>
              <w:rPr>
                <w:rFonts w:ascii="Times New Roman" w:hAnsi="Times New Roman" w:cs="Times New Roman"/>
                <w:color w:val="auto"/>
                <w:highlight w:val="none"/>
              </w:rPr>
            </w:pPr>
            <w:r>
              <w:rPr>
                <w:rFonts w:ascii="Times New Roman" w:hAnsi="Times New Roman" w:cs="Times New Roman"/>
                <w:color w:val="auto"/>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trPr>
        <w:tc>
          <w:tcPr>
            <w:tcW w:w="943"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1</w:t>
            </w:r>
          </w:p>
        </w:tc>
        <w:tc>
          <w:tcPr>
            <w:tcW w:w="3246" w:type="dxa"/>
            <w:vAlign w:val="center"/>
          </w:tcPr>
          <w:p>
            <w:pPr>
              <w:adjustRightInd w:val="0"/>
              <w:jc w:val="center"/>
              <w:rPr>
                <w:rFonts w:ascii="Times New Roman" w:hAnsi="Times New Roman" w:cs="Times New Roman"/>
                <w:color w:val="auto"/>
                <w:highlight w:val="none"/>
              </w:rPr>
            </w:pPr>
            <w:r>
              <w:rPr>
                <w:rFonts w:ascii="Times New Roman" w:hAnsi="Times New Roman" w:cs="Times New Roman"/>
                <w:color w:val="auto"/>
                <w:highlight w:val="none"/>
              </w:rPr>
              <w:t>密度允许偏差</w:t>
            </w:r>
          </w:p>
        </w:tc>
        <w:tc>
          <w:tcPr>
            <w:tcW w:w="2161"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25975—2018</w:t>
            </w:r>
          </w:p>
        </w:tc>
        <w:tc>
          <w:tcPr>
            <w:tcW w:w="2706"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5480—2017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 w:hRule="atLeast"/>
        </w:trPr>
        <w:tc>
          <w:tcPr>
            <w:tcW w:w="943"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2</w:t>
            </w:r>
          </w:p>
        </w:tc>
        <w:tc>
          <w:tcPr>
            <w:tcW w:w="3246" w:type="dxa"/>
            <w:vAlign w:val="center"/>
          </w:tcPr>
          <w:p>
            <w:pPr>
              <w:adjustRightInd w:val="0"/>
              <w:jc w:val="center"/>
              <w:rPr>
                <w:rFonts w:ascii="Times New Roman" w:hAnsi="Times New Roman" w:cs="Times New Roman"/>
                <w:color w:val="auto"/>
                <w:highlight w:val="none"/>
              </w:rPr>
            </w:pPr>
            <w:r>
              <w:rPr>
                <w:rFonts w:ascii="Times New Roman" w:hAnsi="Times New Roman" w:cs="Times New Roman"/>
                <w:color w:val="auto"/>
                <w:highlight w:val="none"/>
              </w:rPr>
              <w:t>酸度系数</w:t>
            </w:r>
          </w:p>
        </w:tc>
        <w:tc>
          <w:tcPr>
            <w:tcW w:w="2161"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25975—2018</w:t>
            </w:r>
          </w:p>
        </w:tc>
        <w:tc>
          <w:tcPr>
            <w:tcW w:w="2706"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5480—2017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 w:hRule="atLeast"/>
        </w:trPr>
        <w:tc>
          <w:tcPr>
            <w:tcW w:w="943"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3</w:t>
            </w:r>
          </w:p>
        </w:tc>
        <w:tc>
          <w:tcPr>
            <w:tcW w:w="3246" w:type="dxa"/>
            <w:vAlign w:val="center"/>
          </w:tcPr>
          <w:p>
            <w:pPr>
              <w:adjustRightInd w:val="0"/>
              <w:jc w:val="center"/>
              <w:rPr>
                <w:rFonts w:ascii="Times New Roman" w:hAnsi="Times New Roman" w:cs="Times New Roman"/>
                <w:color w:val="auto"/>
                <w:highlight w:val="none"/>
              </w:rPr>
            </w:pPr>
            <w:r>
              <w:rPr>
                <w:rFonts w:ascii="Times New Roman" w:hAnsi="Times New Roman" w:cs="Times New Roman"/>
                <w:color w:val="auto"/>
                <w:highlight w:val="none"/>
              </w:rPr>
              <w:t>质量吸湿率</w:t>
            </w:r>
          </w:p>
        </w:tc>
        <w:tc>
          <w:tcPr>
            <w:tcW w:w="2161"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25975—2018 GB/T 25975—2018</w:t>
            </w:r>
          </w:p>
        </w:tc>
        <w:tc>
          <w:tcPr>
            <w:tcW w:w="2706"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5480—2017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trPr>
        <w:tc>
          <w:tcPr>
            <w:tcW w:w="943"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4</w:t>
            </w:r>
          </w:p>
        </w:tc>
        <w:tc>
          <w:tcPr>
            <w:tcW w:w="3246" w:type="dxa"/>
            <w:vAlign w:val="center"/>
          </w:tcPr>
          <w:p>
            <w:pPr>
              <w:adjustRightInd w:val="0"/>
              <w:jc w:val="center"/>
              <w:rPr>
                <w:rFonts w:ascii="Times New Roman" w:hAnsi="Times New Roman" w:cs="Times New Roman"/>
                <w:color w:val="auto"/>
                <w:highlight w:val="none"/>
              </w:rPr>
            </w:pPr>
            <w:r>
              <w:rPr>
                <w:rFonts w:ascii="Times New Roman" w:hAnsi="Times New Roman" w:cs="Times New Roman"/>
                <w:color w:val="auto"/>
                <w:highlight w:val="none"/>
              </w:rPr>
              <w:t>憎水率</w:t>
            </w:r>
          </w:p>
        </w:tc>
        <w:tc>
          <w:tcPr>
            <w:tcW w:w="2161"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25975—2018</w:t>
            </w:r>
          </w:p>
        </w:tc>
        <w:tc>
          <w:tcPr>
            <w:tcW w:w="2706"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10299—2011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43"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5</w:t>
            </w:r>
          </w:p>
        </w:tc>
        <w:tc>
          <w:tcPr>
            <w:tcW w:w="3246" w:type="dxa"/>
            <w:vAlign w:val="center"/>
          </w:tcPr>
          <w:p>
            <w:pPr>
              <w:adjustRightInd w:val="0"/>
              <w:jc w:val="center"/>
              <w:rPr>
                <w:rFonts w:ascii="Times New Roman" w:hAnsi="Times New Roman" w:cs="Times New Roman"/>
                <w:color w:val="auto"/>
                <w:highlight w:val="none"/>
              </w:rPr>
            </w:pPr>
            <w:r>
              <w:rPr>
                <w:rFonts w:ascii="Times New Roman" w:hAnsi="Times New Roman" w:cs="Times New Roman"/>
                <w:color w:val="auto"/>
                <w:highlight w:val="none"/>
              </w:rPr>
              <w:t>导热系数</w:t>
            </w:r>
          </w:p>
        </w:tc>
        <w:tc>
          <w:tcPr>
            <w:tcW w:w="2161"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25975—2018</w:t>
            </w:r>
          </w:p>
        </w:tc>
        <w:tc>
          <w:tcPr>
            <w:tcW w:w="2706"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10294—2008</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10295—2008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43"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6</w:t>
            </w:r>
          </w:p>
        </w:tc>
        <w:tc>
          <w:tcPr>
            <w:tcW w:w="3246" w:type="dxa"/>
            <w:vAlign w:val="center"/>
          </w:tcPr>
          <w:p>
            <w:pPr>
              <w:adjustRightInd w:val="0"/>
              <w:jc w:val="center"/>
              <w:rPr>
                <w:rFonts w:ascii="Times New Roman" w:hAnsi="Times New Roman" w:cs="Times New Roman"/>
                <w:color w:val="auto"/>
                <w:highlight w:val="none"/>
              </w:rPr>
            </w:pPr>
            <w:r>
              <w:rPr>
                <w:rFonts w:ascii="Times New Roman" w:hAnsi="Times New Roman" w:cs="Times New Roman"/>
                <w:color w:val="auto"/>
                <w:highlight w:val="none"/>
              </w:rPr>
              <w:t>压缩强度</w:t>
            </w:r>
          </w:p>
        </w:tc>
        <w:tc>
          <w:tcPr>
            <w:tcW w:w="2161"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25975—2018</w:t>
            </w:r>
          </w:p>
        </w:tc>
        <w:tc>
          <w:tcPr>
            <w:tcW w:w="2706"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25975—2018</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13480—2014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943"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7</w:t>
            </w:r>
          </w:p>
        </w:tc>
        <w:tc>
          <w:tcPr>
            <w:tcW w:w="3246" w:type="dxa"/>
            <w:vAlign w:val="center"/>
          </w:tcPr>
          <w:p>
            <w:pPr>
              <w:adjustRightInd w:val="0"/>
              <w:jc w:val="center"/>
              <w:rPr>
                <w:rFonts w:ascii="Times New Roman" w:hAnsi="Times New Roman" w:cs="Times New Roman"/>
                <w:color w:val="auto"/>
                <w:highlight w:val="none"/>
              </w:rPr>
            </w:pPr>
            <w:r>
              <w:rPr>
                <w:rFonts w:ascii="Times New Roman" w:hAnsi="Times New Roman" w:cs="Times New Roman"/>
                <w:color w:val="auto"/>
                <w:highlight w:val="none"/>
              </w:rPr>
              <w:t>垂直于表面的抗拉强度</w:t>
            </w:r>
          </w:p>
        </w:tc>
        <w:tc>
          <w:tcPr>
            <w:tcW w:w="2161"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25975—2018</w:t>
            </w:r>
          </w:p>
        </w:tc>
        <w:tc>
          <w:tcPr>
            <w:tcW w:w="2706" w:type="dxa"/>
            <w:vAlign w:val="center"/>
          </w:tcPr>
          <w:p>
            <w:pPr>
              <w:snapToGrid w:val="0"/>
              <w:spacing w:line="440" w:lineRule="exact"/>
              <w:jc w:val="center"/>
              <w:rPr>
                <w:rFonts w:ascii="Times New Roman" w:hAnsi="Times New Roman" w:cs="Times New Roman"/>
                <w:color w:val="auto"/>
                <w:highlight w:val="none"/>
              </w:rPr>
            </w:pPr>
            <w:bookmarkStart w:id="13" w:name="OLE_LINK13"/>
            <w:bookmarkStart w:id="14" w:name="OLE_LINK14"/>
            <w:r>
              <w:rPr>
                <w:rFonts w:ascii="Times New Roman" w:hAnsi="Times New Roman" w:cs="Times New Roman"/>
                <w:color w:val="auto"/>
                <w:highlight w:val="none"/>
              </w:rPr>
              <w:t>GB/T 25975—2018</w:t>
            </w:r>
            <w:bookmarkEnd w:id="13"/>
            <w:bookmarkEnd w:id="14"/>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30804—2014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943"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8</w:t>
            </w:r>
          </w:p>
        </w:tc>
        <w:tc>
          <w:tcPr>
            <w:tcW w:w="3246" w:type="dxa"/>
            <w:vAlign w:val="center"/>
          </w:tcPr>
          <w:p>
            <w:pPr>
              <w:adjustRightInd w:val="0"/>
              <w:jc w:val="center"/>
              <w:rPr>
                <w:rFonts w:ascii="Times New Roman" w:hAnsi="Times New Roman" w:cs="Times New Roman"/>
                <w:color w:val="auto"/>
                <w:highlight w:val="none"/>
              </w:rPr>
            </w:pPr>
            <w:r>
              <w:rPr>
                <w:rFonts w:ascii="Times New Roman" w:hAnsi="Times New Roman" w:cs="Times New Roman"/>
                <w:color w:val="auto"/>
                <w:highlight w:val="none"/>
              </w:rPr>
              <w:t>燃烧性能</w:t>
            </w:r>
          </w:p>
        </w:tc>
        <w:tc>
          <w:tcPr>
            <w:tcW w:w="2161"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 8624—2012</w:t>
            </w:r>
          </w:p>
        </w:tc>
        <w:tc>
          <w:tcPr>
            <w:tcW w:w="2706" w:type="dxa"/>
            <w:vAlign w:val="center"/>
          </w:tcPr>
          <w:p>
            <w:pPr>
              <w:snapToGrid w:val="0"/>
              <w:spacing w:line="440" w:lineRule="exact"/>
              <w:jc w:val="center"/>
              <w:rPr>
                <w:rFonts w:ascii="Times New Roman" w:hAnsi="Times New Roman" w:cs="Times New Roman"/>
                <w:color w:val="auto"/>
                <w:highlight w:val="none"/>
              </w:rPr>
            </w:pPr>
            <w:bookmarkStart w:id="15" w:name="OLE_LINK15"/>
            <w:bookmarkStart w:id="16" w:name="OLE_LINK16"/>
            <w:r>
              <w:rPr>
                <w:rFonts w:ascii="Times New Roman" w:hAnsi="Times New Roman" w:cs="Times New Roman"/>
                <w:color w:val="auto"/>
                <w:highlight w:val="none"/>
              </w:rPr>
              <w:t>GB 8624—2012</w:t>
            </w:r>
            <w:bookmarkEnd w:id="15"/>
            <w:bookmarkEnd w:id="16"/>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 xml:space="preserve">GB/T 5464—2010 </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5464—20</w:t>
            </w:r>
            <w:r>
              <w:rPr>
                <w:rFonts w:hint="eastAsia" w:ascii="Times New Roman" w:hAnsi="Times New Roman" w:cs="Times New Roman"/>
                <w:color w:val="auto"/>
                <w:highlight w:val="none"/>
              </w:rPr>
              <w:t>26</w:t>
            </w:r>
          </w:p>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14402—2007</w:t>
            </w:r>
            <w:r>
              <w:rPr>
                <w:rFonts w:hint="eastAsia" w:ascii="Times New Roman" w:hAnsi="Times New Roman" w:cs="Times New Roman"/>
                <w:color w:val="auto"/>
                <w:highlight w:val="none"/>
              </w:rPr>
              <w:t xml:space="preserve">或 </w:t>
            </w:r>
            <w:r>
              <w:rPr>
                <w:rFonts w:ascii="Times New Roman" w:hAnsi="Times New Roman" w:cs="Times New Roman"/>
                <w:color w:val="auto"/>
                <w:highlight w:val="none"/>
              </w:rPr>
              <w:t>GB/T 14402—20</w:t>
            </w:r>
            <w:r>
              <w:rPr>
                <w:rFonts w:hint="eastAsia" w:ascii="Times New Roman" w:hAnsi="Times New Roman" w:cs="Times New Roman"/>
                <w:color w:val="auto"/>
                <w:highlight w:val="none"/>
              </w:rPr>
              <w:t>26</w:t>
            </w:r>
            <w:r>
              <w:rPr>
                <w:rFonts w:ascii="Times New Roman" w:hAnsi="Times New Roman" w:cs="Times New Roman"/>
                <w:color w:val="auto"/>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943" w:type="dxa"/>
            <w:vAlign w:val="center"/>
          </w:tcPr>
          <w:p>
            <w:pPr>
              <w:autoSpaceDE w:val="0"/>
              <w:autoSpaceDN w:val="0"/>
              <w:adjustRightInd w:val="0"/>
              <w:jc w:val="center"/>
              <w:rPr>
                <w:rFonts w:ascii="Times New Roman" w:hAnsi="Times New Roman" w:cs="Times New Roman"/>
                <w:color w:val="auto"/>
                <w:kern w:val="0"/>
                <w:highlight w:val="none"/>
              </w:rPr>
            </w:pPr>
            <w:r>
              <w:rPr>
                <w:rFonts w:ascii="Times New Roman" w:hAnsi="Times New Roman" w:cs="Times New Roman"/>
                <w:color w:val="auto"/>
                <w:kern w:val="0"/>
                <w:highlight w:val="none"/>
              </w:rPr>
              <w:t>9</w:t>
            </w:r>
          </w:p>
        </w:tc>
        <w:tc>
          <w:tcPr>
            <w:tcW w:w="3246" w:type="dxa"/>
            <w:vAlign w:val="center"/>
          </w:tcPr>
          <w:p>
            <w:pPr>
              <w:adjustRightInd w:val="0"/>
              <w:jc w:val="center"/>
              <w:rPr>
                <w:rFonts w:ascii="Times New Roman" w:hAnsi="Times New Roman" w:cs="Times New Roman"/>
                <w:color w:val="auto"/>
                <w:highlight w:val="none"/>
              </w:rPr>
            </w:pPr>
            <w:r>
              <w:rPr>
                <w:rFonts w:ascii="Times New Roman" w:hAnsi="Times New Roman" w:cs="Times New Roman"/>
                <w:color w:val="auto"/>
                <w:highlight w:val="none"/>
              </w:rPr>
              <w:t>标志</w:t>
            </w:r>
          </w:p>
        </w:tc>
        <w:tc>
          <w:tcPr>
            <w:tcW w:w="2161"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25975—2018</w:t>
            </w:r>
          </w:p>
        </w:tc>
        <w:tc>
          <w:tcPr>
            <w:tcW w:w="2706" w:type="dxa"/>
            <w:vAlign w:val="center"/>
          </w:tcPr>
          <w:p>
            <w:pPr>
              <w:snapToGrid w:val="0"/>
              <w:spacing w:line="440" w:lineRule="exact"/>
              <w:jc w:val="center"/>
              <w:rPr>
                <w:rFonts w:ascii="Times New Roman" w:hAnsi="Times New Roman" w:cs="Times New Roman"/>
                <w:color w:val="auto"/>
                <w:highlight w:val="none"/>
              </w:rPr>
            </w:pPr>
            <w:r>
              <w:rPr>
                <w:rFonts w:ascii="Times New Roman" w:hAnsi="Times New Roman" w:cs="Times New Roman"/>
                <w:color w:val="auto"/>
                <w:highlight w:val="none"/>
              </w:rPr>
              <w:t>GB/T 25975—2018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9056" w:type="dxa"/>
            <w:gridSpan w:val="4"/>
            <w:vAlign w:val="center"/>
          </w:tcPr>
          <w:p>
            <w:pPr>
              <w:snapToGrid w:val="0"/>
              <w:spacing w:line="440" w:lineRule="exact"/>
              <w:jc w:val="left"/>
              <w:rPr>
                <w:rFonts w:ascii="Times New Roman" w:hAnsi="Times New Roman" w:cs="Times New Roman"/>
                <w:color w:val="auto"/>
                <w:highlight w:val="none"/>
              </w:rPr>
            </w:pPr>
            <w:r>
              <w:rPr>
                <w:rFonts w:ascii="Times New Roman" w:hAnsi="Times New Roman" w:cs="Times New Roman"/>
                <w:color w:val="auto"/>
                <w:highlight w:val="none"/>
              </w:rPr>
              <w:t>注：</w:t>
            </w:r>
            <w:r>
              <w:rPr>
                <w:rFonts w:hint="eastAsia" w:ascii="Times New Roman" w:hAnsi="Times New Roman" w:cs="Times New Roman"/>
                <w:color w:val="auto"/>
                <w:highlight w:val="none"/>
              </w:rPr>
              <w:t>GB/T 5464-2026、</w:t>
            </w:r>
            <w:r>
              <w:rPr>
                <w:rFonts w:ascii="Times New Roman" w:hAnsi="Times New Roman" w:cs="Times New Roman"/>
                <w:color w:val="auto"/>
                <w:highlight w:val="none"/>
              </w:rPr>
              <w:t xml:space="preserve">GB/T </w:t>
            </w:r>
            <w:r>
              <w:rPr>
                <w:rFonts w:hint="eastAsia" w:ascii="Times New Roman" w:hAnsi="Times New Roman" w:cs="Times New Roman"/>
                <w:color w:val="auto"/>
                <w:highlight w:val="none"/>
              </w:rPr>
              <w:t>14402</w:t>
            </w:r>
            <w:r>
              <w:rPr>
                <w:rFonts w:ascii="Times New Roman" w:hAnsi="Times New Roman" w:cs="Times New Roman"/>
                <w:color w:val="auto"/>
                <w:highlight w:val="none"/>
              </w:rPr>
              <w:t>—20</w:t>
            </w:r>
            <w:r>
              <w:rPr>
                <w:rFonts w:hint="eastAsia" w:ascii="Times New Roman" w:hAnsi="Times New Roman" w:cs="Times New Roman"/>
                <w:color w:val="auto"/>
                <w:highlight w:val="none"/>
              </w:rPr>
              <w:t>26</w:t>
            </w:r>
            <w:r>
              <w:rPr>
                <w:rFonts w:ascii="Times New Roman" w:hAnsi="Times New Roman" w:cs="Times New Roman"/>
                <w:color w:val="auto"/>
                <w:highlight w:val="none"/>
              </w:rPr>
              <w:t>标准于202</w:t>
            </w:r>
            <w:r>
              <w:rPr>
                <w:rFonts w:hint="eastAsia" w:ascii="Times New Roman" w:hAnsi="Times New Roman" w:cs="Times New Roman"/>
                <w:color w:val="auto"/>
                <w:highlight w:val="none"/>
              </w:rPr>
              <w:t>6</w:t>
            </w:r>
            <w:r>
              <w:rPr>
                <w:rFonts w:ascii="Times New Roman" w:hAnsi="Times New Roman" w:cs="Times New Roman"/>
                <w:color w:val="auto"/>
                <w:highlight w:val="none"/>
              </w:rPr>
              <w:t>年</w:t>
            </w:r>
            <w:r>
              <w:rPr>
                <w:rFonts w:hint="eastAsia" w:ascii="Times New Roman" w:hAnsi="Times New Roman" w:cs="Times New Roman"/>
                <w:color w:val="auto"/>
                <w:highlight w:val="none"/>
              </w:rPr>
              <w:t>10</w:t>
            </w:r>
            <w:r>
              <w:rPr>
                <w:rFonts w:ascii="Times New Roman" w:hAnsi="Times New Roman" w:cs="Times New Roman"/>
                <w:color w:val="auto"/>
                <w:highlight w:val="none"/>
              </w:rPr>
              <w:t>月</w:t>
            </w:r>
            <w:r>
              <w:rPr>
                <w:rFonts w:hint="eastAsia" w:ascii="Times New Roman" w:hAnsi="Times New Roman" w:cs="Times New Roman"/>
                <w:color w:val="auto"/>
                <w:highlight w:val="none"/>
              </w:rPr>
              <w:t>01</w:t>
            </w:r>
            <w:r>
              <w:rPr>
                <w:rFonts w:ascii="Times New Roman" w:hAnsi="Times New Roman" w:cs="Times New Roman"/>
                <w:color w:val="auto"/>
                <w:highlight w:val="none"/>
              </w:rPr>
              <w:t>日开始实施</w:t>
            </w:r>
            <w:r>
              <w:rPr>
                <w:rFonts w:hint="eastAsia" w:ascii="Times New Roman" w:hAnsi="Times New Roman" w:cs="Times New Roman"/>
                <w:color w:val="auto"/>
                <w:highlight w:val="none"/>
              </w:rPr>
              <w:t>。</w:t>
            </w:r>
          </w:p>
        </w:tc>
      </w:tr>
    </w:tbl>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执行企业标准、团体标准、地方标准的产品，检验项目参照上述内容执行。</w:t>
      </w:r>
      <w:bookmarkEnd w:id="0"/>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凡是注日期的文件，其随后所有的修改单（不包括勘误的内容）或修订版不适用于本细则。凡是不注日期的文件，其最新版本适用于本细则。</w:t>
      </w:r>
    </w:p>
    <w:p>
      <w:pPr>
        <w:snapToGrid w:val="0"/>
        <w:spacing w:line="440" w:lineRule="exact"/>
        <w:rPr>
          <w:rFonts w:ascii="Times New Roman" w:hAnsi="Times New Roman" w:eastAsia="黑体" w:cs="Times New Roman"/>
          <w:color w:val="auto"/>
          <w:highlight w:val="none"/>
        </w:rPr>
      </w:pPr>
    </w:p>
    <w:p>
      <w:pPr>
        <w:snapToGrid w:val="0"/>
        <w:spacing w:line="440" w:lineRule="exact"/>
        <w:rPr>
          <w:rFonts w:ascii="Times New Roman" w:hAnsi="Times New Roman" w:eastAsia="黑体" w:cs="Times New Roman"/>
          <w:color w:val="auto"/>
          <w:highlight w:val="none"/>
        </w:rPr>
      </w:pPr>
      <w:r>
        <w:rPr>
          <w:rFonts w:ascii="Times New Roman" w:hAnsi="Times New Roman" w:eastAsia="黑体" w:cs="Times New Roman"/>
          <w:color w:val="auto"/>
          <w:highlight w:val="none"/>
        </w:rPr>
        <w:t>3 判定规则</w:t>
      </w:r>
    </w:p>
    <w:p>
      <w:pPr>
        <w:snapToGrid w:val="0"/>
        <w:spacing w:line="440" w:lineRule="exact"/>
        <w:rPr>
          <w:rFonts w:ascii="Times New Roman" w:hAnsi="Times New Roman" w:cs="Times New Roman"/>
          <w:color w:val="auto"/>
          <w:highlight w:val="none"/>
        </w:rPr>
      </w:pPr>
      <w:r>
        <w:rPr>
          <w:rFonts w:ascii="Times New Roman" w:hAnsi="Times New Roman" w:cs="Times New Roman"/>
          <w:color w:val="auto"/>
          <w:highlight w:val="none"/>
        </w:rPr>
        <w:t>3.1依据标准</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GB/T 23932—2009 建筑用金属面绝热夹芯板</w:t>
      </w:r>
    </w:p>
    <w:p>
      <w:pPr>
        <w:snapToGrid w:val="0"/>
        <w:spacing w:line="440" w:lineRule="exact"/>
        <w:ind w:firstLine="420" w:firstLineChars="200"/>
        <w:rPr>
          <w:rFonts w:hint="eastAsia" w:ascii="Times New Roman" w:hAnsi="Times New Roman" w:cs="Times New Roman"/>
          <w:color w:val="auto"/>
          <w:highlight w:val="none"/>
        </w:rPr>
      </w:pPr>
      <w:r>
        <w:rPr>
          <w:rFonts w:ascii="Times New Roman" w:hAnsi="Times New Roman" w:cs="Times New Roman"/>
          <w:color w:val="auto"/>
          <w:highlight w:val="none"/>
        </w:rPr>
        <w:t>GB/T 23932—2025 建筑用金属面绝热夹芯板</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GB/T 10801.1—2021 绝热用模塑聚苯乙烯泡沫塑料（EPS）</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GB/T 10801.1—202</w:t>
      </w:r>
      <w:r>
        <w:rPr>
          <w:rFonts w:hint="eastAsia" w:ascii="Times New Roman" w:hAnsi="Times New Roman" w:cs="Times New Roman"/>
          <w:color w:val="auto"/>
          <w:highlight w:val="none"/>
        </w:rPr>
        <w:t>5</w:t>
      </w:r>
      <w:r>
        <w:rPr>
          <w:rFonts w:ascii="Times New Roman" w:hAnsi="Times New Roman" w:cs="Times New Roman"/>
          <w:color w:val="auto"/>
          <w:highlight w:val="none"/>
        </w:rPr>
        <w:t xml:space="preserve"> 绝热用模塑聚苯乙烯泡沫塑料（EPS）</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GB/T 10801.2—2018 绝热用挤塑聚苯乙烯泡沫塑料（XPS）</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GB/T 10801.2—20</w:t>
      </w:r>
      <w:r>
        <w:rPr>
          <w:rFonts w:hint="eastAsia" w:ascii="Times New Roman" w:hAnsi="Times New Roman" w:cs="Times New Roman"/>
          <w:color w:val="auto"/>
          <w:highlight w:val="none"/>
        </w:rPr>
        <w:t>25</w:t>
      </w:r>
      <w:r>
        <w:rPr>
          <w:rFonts w:ascii="Times New Roman" w:hAnsi="Times New Roman" w:cs="Times New Roman"/>
          <w:color w:val="auto"/>
          <w:highlight w:val="none"/>
        </w:rPr>
        <w:t xml:space="preserve"> 绝热用挤塑聚苯乙烯泡沫塑料（XPS）</w:t>
      </w:r>
    </w:p>
    <w:p>
      <w:pPr>
        <w:spacing w:line="440" w:lineRule="exact"/>
        <w:ind w:right="142" w:firstLine="420"/>
        <w:rPr>
          <w:rFonts w:ascii="Times New Roman" w:hAnsi="Times New Roman" w:cs="Times New Roman"/>
          <w:color w:val="auto"/>
          <w:highlight w:val="none"/>
        </w:rPr>
      </w:pPr>
      <w:r>
        <w:rPr>
          <w:rFonts w:ascii="Times New Roman" w:hAnsi="Times New Roman" w:cs="Times New Roman"/>
          <w:color w:val="auto"/>
          <w:highlight w:val="none"/>
        </w:rPr>
        <w:t>GB/T 29906—2013 模塑聚苯板薄抹灰外墙外保温系统材料</w:t>
      </w:r>
    </w:p>
    <w:p>
      <w:pPr>
        <w:spacing w:line="440" w:lineRule="exact"/>
        <w:ind w:right="142" w:firstLine="420" w:firstLineChars="200"/>
        <w:rPr>
          <w:rFonts w:ascii="Times New Roman" w:hAnsi="Times New Roman" w:cs="Times New Roman"/>
          <w:color w:val="auto"/>
          <w:highlight w:val="none"/>
        </w:rPr>
      </w:pPr>
      <w:r>
        <w:rPr>
          <w:rFonts w:ascii="Times New Roman" w:hAnsi="Times New Roman" w:cs="Times New Roman"/>
          <w:color w:val="auto"/>
          <w:highlight w:val="none"/>
        </w:rPr>
        <w:t>GB/T 30595—2024 建筑保温用挤塑聚苯板（XPS）系统材料</w:t>
      </w:r>
    </w:p>
    <w:p>
      <w:pPr>
        <w:spacing w:line="440" w:lineRule="exact"/>
        <w:ind w:right="142" w:firstLine="420" w:firstLineChars="200"/>
        <w:rPr>
          <w:rFonts w:ascii="Times New Roman" w:hAnsi="Times New Roman" w:cs="Times New Roman"/>
          <w:color w:val="auto"/>
          <w:highlight w:val="none"/>
        </w:rPr>
      </w:pPr>
      <w:r>
        <w:rPr>
          <w:rFonts w:ascii="Times New Roman" w:hAnsi="Times New Roman" w:cs="Times New Roman"/>
          <w:color w:val="auto"/>
          <w:highlight w:val="none"/>
        </w:rPr>
        <w:t>JC/T 2441—2018 建筑绝热用石墨改性模塑聚苯乙烯泡沫塑料板</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GB/T 21558—2008 建筑绝热用硬质聚氨酯泡沫塑料</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GB/T 21558—20</w:t>
      </w:r>
      <w:r>
        <w:rPr>
          <w:rFonts w:hint="eastAsia" w:ascii="Times New Roman" w:hAnsi="Times New Roman" w:cs="Times New Roman"/>
          <w:color w:val="auto"/>
          <w:highlight w:val="none"/>
        </w:rPr>
        <w:t>25</w:t>
      </w:r>
      <w:r>
        <w:rPr>
          <w:rFonts w:ascii="Times New Roman" w:hAnsi="Times New Roman" w:cs="Times New Roman"/>
          <w:color w:val="auto"/>
          <w:highlight w:val="none"/>
        </w:rPr>
        <w:t xml:space="preserve"> 建筑绝热用硬质聚氨酯泡沫塑料</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GB 8624—2012 建筑材料及制品燃烧性能分级</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GB/T 41077—2021建筑用绝热制品 六溴环十二烷的限值</w:t>
      </w:r>
    </w:p>
    <w:p>
      <w:pPr>
        <w:snapToGrid w:val="0"/>
        <w:spacing w:line="440" w:lineRule="exact"/>
        <w:ind w:firstLine="420" w:firstLineChars="200"/>
        <w:rPr>
          <w:rFonts w:ascii="Times New Roman" w:hAnsi="Times New Roman" w:cs="Times New Roman"/>
          <w:color w:val="auto"/>
          <w:highlight w:val="none"/>
        </w:rPr>
      </w:pPr>
      <w:r>
        <w:rPr>
          <w:rFonts w:hint="eastAsia" w:ascii="Times New Roman" w:hAnsi="Times New Roman" w:cs="Times New Roman"/>
          <w:color w:val="auto"/>
          <w:highlight w:val="none"/>
        </w:rPr>
        <w:t>GB/T 11835</w:t>
      </w:r>
      <w:r>
        <w:rPr>
          <w:rFonts w:ascii="Times New Roman" w:hAnsi="Times New Roman" w:cs="Times New Roman"/>
          <w:color w:val="auto"/>
          <w:highlight w:val="none"/>
        </w:rPr>
        <w:t>—</w:t>
      </w:r>
      <w:r>
        <w:rPr>
          <w:rFonts w:hint="eastAsia" w:ascii="Times New Roman" w:hAnsi="Times New Roman" w:cs="Times New Roman"/>
          <w:color w:val="auto"/>
          <w:highlight w:val="none"/>
        </w:rPr>
        <w:t>2016 绝热用岩棉、矿渣棉及其制品</w:t>
      </w:r>
    </w:p>
    <w:p>
      <w:pPr>
        <w:snapToGrid w:val="0"/>
        <w:spacing w:line="440" w:lineRule="exact"/>
        <w:ind w:firstLine="420" w:firstLineChars="200"/>
        <w:rPr>
          <w:rFonts w:ascii="Times New Roman" w:hAnsi="Times New Roman" w:cs="Times New Roman"/>
          <w:color w:val="auto"/>
          <w:highlight w:val="none"/>
        </w:rPr>
      </w:pPr>
      <w:r>
        <w:rPr>
          <w:rFonts w:hint="eastAsia" w:ascii="Times New Roman" w:hAnsi="Times New Roman" w:cs="Times New Roman"/>
          <w:color w:val="auto"/>
          <w:highlight w:val="none"/>
        </w:rPr>
        <w:t>GB/T 19686</w:t>
      </w:r>
      <w:r>
        <w:rPr>
          <w:rFonts w:ascii="Times New Roman" w:hAnsi="Times New Roman" w:cs="Times New Roman"/>
          <w:color w:val="auto"/>
          <w:highlight w:val="none"/>
        </w:rPr>
        <w:t>—</w:t>
      </w:r>
      <w:r>
        <w:rPr>
          <w:rFonts w:hint="eastAsia" w:ascii="Times New Roman" w:hAnsi="Times New Roman" w:cs="Times New Roman"/>
          <w:color w:val="auto"/>
          <w:highlight w:val="none"/>
        </w:rPr>
        <w:t>2015 建筑用岩棉绝热制品</w:t>
      </w:r>
    </w:p>
    <w:p>
      <w:pPr>
        <w:snapToGrid w:val="0"/>
        <w:spacing w:line="440" w:lineRule="exact"/>
        <w:ind w:firstLine="420" w:firstLineChars="200"/>
        <w:rPr>
          <w:rFonts w:ascii="Times New Roman" w:hAnsi="Times New Roman" w:cs="Times New Roman"/>
          <w:color w:val="auto"/>
          <w:highlight w:val="none"/>
        </w:rPr>
      </w:pPr>
      <w:r>
        <w:rPr>
          <w:rFonts w:hint="eastAsia" w:ascii="Times New Roman" w:hAnsi="Times New Roman" w:cs="Times New Roman"/>
          <w:color w:val="auto"/>
          <w:highlight w:val="none"/>
        </w:rPr>
        <w:t>GB/T 25975</w:t>
      </w:r>
      <w:r>
        <w:rPr>
          <w:rFonts w:ascii="Times New Roman" w:hAnsi="Times New Roman" w:cs="Times New Roman"/>
          <w:color w:val="auto"/>
          <w:highlight w:val="none"/>
        </w:rPr>
        <w:t>—</w:t>
      </w:r>
      <w:r>
        <w:rPr>
          <w:rFonts w:hint="eastAsia" w:ascii="Times New Roman" w:hAnsi="Times New Roman" w:cs="Times New Roman"/>
          <w:color w:val="auto"/>
          <w:highlight w:val="none"/>
        </w:rPr>
        <w:t>2018 建筑外墙外保温用岩棉制品</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现行有效的企业标准、团体标准、地方标准及产品明示质量要求</w:t>
      </w:r>
    </w:p>
    <w:p>
      <w:pPr>
        <w:snapToGrid w:val="0"/>
        <w:spacing w:line="440" w:lineRule="exact"/>
        <w:rPr>
          <w:rFonts w:ascii="Times New Roman" w:hAnsi="Times New Roman" w:cs="Times New Roman"/>
          <w:color w:val="auto"/>
          <w:highlight w:val="none"/>
        </w:rPr>
      </w:pPr>
      <w:r>
        <w:rPr>
          <w:rFonts w:ascii="Times New Roman" w:hAnsi="Times New Roman" w:cs="Times New Roman"/>
          <w:color w:val="auto"/>
          <w:highlight w:val="none"/>
        </w:rPr>
        <w:t>3.2判定原则</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若被检产品明示的质量要求高于本细则中检验项目依据的标准要求时，应按被检产品明示的质量要求判定。</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若被检产品明示的质量要求低于本细则中检验项目依据的强制性标准要求时，应按照强制性标准要求判定。</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若被检产品明示的质量要求缺少本细则中检验项目依据的强制性标准要求时，应按照强制性标准要求判定。</w:t>
      </w:r>
    </w:p>
    <w:p>
      <w:pPr>
        <w:snapToGrid w:val="0"/>
        <w:spacing w:line="440" w:lineRule="exact"/>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若被检产品明示的质量要求缺少本细则中检验项目依据的推荐性标准要求时，该项目不参与判定。</w:t>
      </w:r>
    </w:p>
    <w:p>
      <w:pPr>
        <w:spacing w:line="360" w:lineRule="auto"/>
        <w:ind w:firstLine="560" w:firstLineChars="200"/>
        <w:rPr>
          <w:rFonts w:ascii="Times New Roman" w:hAnsi="Times New Roman" w:eastAsia="仿宋_GB2312" w:cs="Times New Roman"/>
          <w:color w:val="auto"/>
          <w:kern w:val="0"/>
          <w:sz w:val="28"/>
          <w:szCs w:val="28"/>
          <w:highlight w:val="none"/>
        </w:rPr>
      </w:pPr>
    </w:p>
    <w:sectPr>
      <w:headerReference r:id="rId3" w:type="default"/>
      <w:footerReference r:id="rId4"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67A4ADDD-93BB-4891-9E59-5F3B37B28614}"/>
  </w:font>
  <w:font w:name="黑体">
    <w:panose1 w:val="02010609060101010101"/>
    <w:charset w:val="86"/>
    <w:family w:val="auto"/>
    <w:pitch w:val="default"/>
    <w:sig w:usb0="800002BF" w:usb1="38CF7CFA" w:usb2="00000016" w:usb3="00000000" w:csb0="00040001" w:csb1="00000000"/>
    <w:embedRegular r:id="rId2" w:fontKey="{E494BA75-0C8C-4E31-8BA0-BEF097297BC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3" w:fontKey="{9BD1D0A9-3646-4E6F-BAA4-2C63851F55B1}"/>
  </w:font>
  <w:font w:name="等线">
    <w:altName w:val="微软雅黑"/>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4" w:fontKey="{8DDEC863-1C3E-40AF-AE16-224C5C61D93F}"/>
  </w:font>
  <w:font w:name="微软雅黑">
    <w:panose1 w:val="020B0503020204020204"/>
    <w:charset w:val="86"/>
    <w:family w:val="swiss"/>
    <w:pitch w:val="default"/>
    <w:sig w:usb0="80000287" w:usb1="280F3C52" w:usb2="00000016" w:usb3="00000000" w:csb0="0004001F" w:csb1="00000000"/>
    <w:embedRegular r:id="rId5" w:fontKey="{3E297221-2DE2-4D7B-9765-EA514E233E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945" cy="162560"/>
              <wp:effectExtent l="0" t="0" r="0" b="0"/>
              <wp:wrapNone/>
              <wp:docPr id="1" name="文本框 1"/>
              <wp:cNvGraphicFramePr/>
              <a:graphic xmlns:a="http://schemas.openxmlformats.org/drawingml/2006/main">
                <a:graphicData uri="http://schemas.microsoft.com/office/word/2010/wordprocessingShape">
                  <wps:wsp>
                    <wps:cNvSpPr>
                      <a:spLocks noChangeArrowheads="1"/>
                    </wps:cNvSpPr>
                    <wps:spPr bwMode="auto">
                      <a:xfrm>
                        <a:off x="0" y="0"/>
                        <a:ext cx="67945" cy="162560"/>
                      </a:xfrm>
                      <a:prstGeom prst="rect">
                        <a:avLst/>
                      </a:prstGeom>
                      <a:noFill/>
                      <a:ln>
                        <a:noFill/>
                      </a:ln>
                    </wps:spPr>
                    <wps:txbx>
                      <w:txbxContent>
                        <w:p>
                          <w:pPr>
                            <w:snapToGrid w:val="0"/>
                            <w:rPr>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t>11</w:t>
                          </w:r>
                          <w:r>
                            <w:rPr>
                              <w:rFonts w:ascii="Times New Roman" w:hAnsi="Times New Roman" w:cs="Times New Roman"/>
                              <w:sz w:val="18"/>
                            </w:rPr>
                            <w:fldChar w:fldCharType="end"/>
                          </w:r>
                        </w:p>
                      </w:txbxContent>
                    </wps:txbx>
                    <wps:bodyPr rot="0" vert="horz" wrap="none" lIns="0" tIns="0" rIns="0" bIns="0" anchor="t" anchorCtr="0" upright="1">
                      <a:spAutoFit/>
                    </wps:bodyPr>
                  </wps:wsp>
                </a:graphicData>
              </a:graphic>
            </wp:anchor>
          </w:drawing>
        </mc:Choice>
        <mc:Fallback>
          <w:pict>
            <v:rect id="文本框 1" o:spid="_x0000_s1026" o:spt="1" style="position:absolute;left:0pt;margin-top:0pt;height:12.8pt;width:5.35pt;mso-position-horizontal:center;mso-position-horizontal-relative:margin;mso-wrap-style:none;z-index:251659264;mso-width-relative:page;mso-height-relative:page;" filled="f" stroked="f" coordsize="21600,21600" o:gfxdata="UEsDBAoAAAAAAIdO4kAAAAAAAAAAAAAAAAAEAAAAZHJzL1BLAwQUAAAACACHTuJAXFpMj9EAAAAD&#10;AQAADwAAAGRycy9kb3ducmV2LnhtbE2PzWrDMBCE74W+g9hCb40UQ9Pgep1DINCWXuL0ARRr/UOk&#10;lZGUOH37Kr20l4Vhhplvq83VWXGhEEfPCMuFAkHcejNyj/B12D2tQcSk2WjrmRC+KcKmvr+rdGn8&#10;zHu6NKkXuYRjqRGGlKZSytgO5HRc+Ik4e50PTqcsQy9N0HMud1YWSq2k0yPnhUFPtB2oPTVnhyAP&#10;zW5eNzYo/1F0n/b9bd+RR3x8WKpXEImu6S8MN/yMDnVmOvozmygsQn4k/d6bp15AHBGK5xXIupL/&#10;2esfUEsDBBQAAAAIAIdO4kDEeUFZ6AEAAKkDAAAOAAAAZHJzL2Uyb0RvYy54bWytU0GO0zAU3SNx&#10;B8t7mqZiCkRNR6MZFSENMNLAARzHSSxif+vbbVIOADdgxWb2nKvn4NtpCwM7xMb6tr9f3nv/ZXU5&#10;mp7tFHoNtuT5bM6ZshJqbduSf/ywefaSMx+ErUUPVpV8rzy/XD99shpcoRbQQV8rZARifTG4knch&#10;uCLLvOyUEX4GTlm6bACNCLTFNqtRDIRu+mwxny+zAbB2CFJ5T6c30yVfJ/ymUTK8bxqvAutLTtxC&#10;WjGtVVyz9UoULQrXaXmkIf6BhRHa0kfPUDciCLZF/ReU0RLBQxNmEkwGTaOlShpITT7/Q819J5xK&#10;Wsgc7842+f8HK9/t7pDpmmbHmRWGRnT49vXw/cfh4QvLoz2D8wV13bs7jAK9uwX5yTML152wrbpC&#10;hKFToiZSqT979CBuPD1l1fAWakIX2wDJqbFBEwHJAzamgezPA1FjYJIOly9ePb/gTNJNvlxcLNO8&#10;MlGc3jr04bUCw2JRcqRxJ2yxu/WBuFPrqSV+ysJG930aeW8fHVBjPEncI91Jdhir8ehABfWeVCBM&#10;CaLEU9EBfuZsoPSU3FK8OevfWPIhBu1U4KmoToWwkh6WPHA2lddhCuTWoW47ws2TCO+uyKuNTkKi&#10;jxOHI0vKQ9J3zG4M3O/71PXrD1v/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xaTI/RAAAAAwEA&#10;AA8AAAAAAAAAAQAgAAAAIgAAAGRycy9kb3ducmV2LnhtbFBLAQIUABQAAAAIAIdO4kDEeUFZ6AEA&#10;AKkDAAAOAAAAAAAAAAEAIAAAACABAABkcnMvZTJvRG9jLnhtbFBLBQYAAAAABgAGAFkBAAB6BQAA&#10;AAA=&#10;">
              <v:fill on="f" focussize="0,0"/>
              <v:stroke on="f"/>
              <v:imagedata o:title=""/>
              <o:lock v:ext="edit" aspectratio="f"/>
              <v:textbox inset="0mm,0mm,0mm,0mm" style="mso-fit-shape-to-text:t;">
                <w:txbxContent>
                  <w:p>
                    <w:pPr>
                      <w:snapToGrid w:val="0"/>
                      <w:rPr>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t>11</w:t>
                    </w:r>
                    <w:r>
                      <w:rPr>
                        <w:rFonts w:ascii="Times New Roman" w:hAnsi="Times New Roman" w:cs="Times New Roman"/>
                        <w:sz w:val="1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0MzZhMmM5MDk1YzljNDBkOWZkNzY5NjNlM2ZmNmEifQ=="/>
  </w:docVars>
  <w:rsids>
    <w:rsidRoot w:val="008D644C"/>
    <w:rsid w:val="00002234"/>
    <w:rsid w:val="00002841"/>
    <w:rsid w:val="00007B54"/>
    <w:rsid w:val="00022E2A"/>
    <w:rsid w:val="0004211A"/>
    <w:rsid w:val="00046250"/>
    <w:rsid w:val="000522A4"/>
    <w:rsid w:val="000630A6"/>
    <w:rsid w:val="00093E7D"/>
    <w:rsid w:val="0009738A"/>
    <w:rsid w:val="000A11C6"/>
    <w:rsid w:val="000B0BB2"/>
    <w:rsid w:val="000D15EF"/>
    <w:rsid w:val="000D592F"/>
    <w:rsid w:val="00101B8E"/>
    <w:rsid w:val="00101BC8"/>
    <w:rsid w:val="00106FD2"/>
    <w:rsid w:val="00121C53"/>
    <w:rsid w:val="00122792"/>
    <w:rsid w:val="001227DA"/>
    <w:rsid w:val="00132695"/>
    <w:rsid w:val="00145C5D"/>
    <w:rsid w:val="00172891"/>
    <w:rsid w:val="00181DC5"/>
    <w:rsid w:val="001D2692"/>
    <w:rsid w:val="001E3FE7"/>
    <w:rsid w:val="001E5DD7"/>
    <w:rsid w:val="001F5F57"/>
    <w:rsid w:val="00201924"/>
    <w:rsid w:val="00217482"/>
    <w:rsid w:val="00217C4C"/>
    <w:rsid w:val="00233DE5"/>
    <w:rsid w:val="00234599"/>
    <w:rsid w:val="002862F4"/>
    <w:rsid w:val="00292333"/>
    <w:rsid w:val="002A1F47"/>
    <w:rsid w:val="002A204B"/>
    <w:rsid w:val="002B57A0"/>
    <w:rsid w:val="002B76EA"/>
    <w:rsid w:val="002D2F8D"/>
    <w:rsid w:val="002E0F07"/>
    <w:rsid w:val="002E6661"/>
    <w:rsid w:val="00301D56"/>
    <w:rsid w:val="00303073"/>
    <w:rsid w:val="00307DC8"/>
    <w:rsid w:val="00310500"/>
    <w:rsid w:val="00321277"/>
    <w:rsid w:val="00330FE6"/>
    <w:rsid w:val="00334847"/>
    <w:rsid w:val="00337BC8"/>
    <w:rsid w:val="00343298"/>
    <w:rsid w:val="00344A8A"/>
    <w:rsid w:val="00344BFC"/>
    <w:rsid w:val="00350B5C"/>
    <w:rsid w:val="003536D7"/>
    <w:rsid w:val="00357007"/>
    <w:rsid w:val="003573C5"/>
    <w:rsid w:val="00382C93"/>
    <w:rsid w:val="003952FF"/>
    <w:rsid w:val="003A37C5"/>
    <w:rsid w:val="003A6C84"/>
    <w:rsid w:val="003B4637"/>
    <w:rsid w:val="003C6D67"/>
    <w:rsid w:val="003D02A0"/>
    <w:rsid w:val="004032D0"/>
    <w:rsid w:val="00407A3B"/>
    <w:rsid w:val="0041784D"/>
    <w:rsid w:val="00417E5A"/>
    <w:rsid w:val="004267B3"/>
    <w:rsid w:val="00426B7B"/>
    <w:rsid w:val="00433711"/>
    <w:rsid w:val="004513E8"/>
    <w:rsid w:val="00462EA3"/>
    <w:rsid w:val="00464066"/>
    <w:rsid w:val="00470D74"/>
    <w:rsid w:val="00493E23"/>
    <w:rsid w:val="00495D35"/>
    <w:rsid w:val="004968E1"/>
    <w:rsid w:val="004B366F"/>
    <w:rsid w:val="004B3EC6"/>
    <w:rsid w:val="004B4C57"/>
    <w:rsid w:val="004D5058"/>
    <w:rsid w:val="004E2DAE"/>
    <w:rsid w:val="004E6E45"/>
    <w:rsid w:val="005000C9"/>
    <w:rsid w:val="00500C96"/>
    <w:rsid w:val="00502506"/>
    <w:rsid w:val="00503BEB"/>
    <w:rsid w:val="00506C5B"/>
    <w:rsid w:val="005115DE"/>
    <w:rsid w:val="00522AD6"/>
    <w:rsid w:val="00532181"/>
    <w:rsid w:val="00543705"/>
    <w:rsid w:val="00551C89"/>
    <w:rsid w:val="00572457"/>
    <w:rsid w:val="00577A20"/>
    <w:rsid w:val="0058159A"/>
    <w:rsid w:val="00592738"/>
    <w:rsid w:val="00593D97"/>
    <w:rsid w:val="005A0E64"/>
    <w:rsid w:val="005A3B83"/>
    <w:rsid w:val="005D0A0B"/>
    <w:rsid w:val="005E7513"/>
    <w:rsid w:val="005F4013"/>
    <w:rsid w:val="0060153E"/>
    <w:rsid w:val="00606245"/>
    <w:rsid w:val="00607364"/>
    <w:rsid w:val="00607665"/>
    <w:rsid w:val="00620166"/>
    <w:rsid w:val="00624366"/>
    <w:rsid w:val="00626D4C"/>
    <w:rsid w:val="00627094"/>
    <w:rsid w:val="00632139"/>
    <w:rsid w:val="006333CB"/>
    <w:rsid w:val="006420F6"/>
    <w:rsid w:val="00646F5B"/>
    <w:rsid w:val="00656059"/>
    <w:rsid w:val="006633D2"/>
    <w:rsid w:val="00685406"/>
    <w:rsid w:val="006A2707"/>
    <w:rsid w:val="006A3887"/>
    <w:rsid w:val="006B6E35"/>
    <w:rsid w:val="006C1613"/>
    <w:rsid w:val="006D529B"/>
    <w:rsid w:val="006F485F"/>
    <w:rsid w:val="0070026C"/>
    <w:rsid w:val="007224FE"/>
    <w:rsid w:val="00730DFB"/>
    <w:rsid w:val="007514FB"/>
    <w:rsid w:val="0076165A"/>
    <w:rsid w:val="00770005"/>
    <w:rsid w:val="007769F7"/>
    <w:rsid w:val="00776B4F"/>
    <w:rsid w:val="00784EE7"/>
    <w:rsid w:val="00784F0D"/>
    <w:rsid w:val="00785CF8"/>
    <w:rsid w:val="007A79DF"/>
    <w:rsid w:val="007D1782"/>
    <w:rsid w:val="007D2971"/>
    <w:rsid w:val="007D620B"/>
    <w:rsid w:val="007E64C8"/>
    <w:rsid w:val="0080432D"/>
    <w:rsid w:val="008157E5"/>
    <w:rsid w:val="00823C79"/>
    <w:rsid w:val="008321AD"/>
    <w:rsid w:val="00835B17"/>
    <w:rsid w:val="00840C3D"/>
    <w:rsid w:val="00842F4D"/>
    <w:rsid w:val="008502E1"/>
    <w:rsid w:val="0085305D"/>
    <w:rsid w:val="00877673"/>
    <w:rsid w:val="0088432D"/>
    <w:rsid w:val="00890A27"/>
    <w:rsid w:val="0089278B"/>
    <w:rsid w:val="008B2585"/>
    <w:rsid w:val="008C0629"/>
    <w:rsid w:val="008C6748"/>
    <w:rsid w:val="008D3C61"/>
    <w:rsid w:val="008D52CD"/>
    <w:rsid w:val="008D644C"/>
    <w:rsid w:val="008D676B"/>
    <w:rsid w:val="008E18ED"/>
    <w:rsid w:val="008E527C"/>
    <w:rsid w:val="00903B1F"/>
    <w:rsid w:val="00912D80"/>
    <w:rsid w:val="00920784"/>
    <w:rsid w:val="0093428B"/>
    <w:rsid w:val="00941E3D"/>
    <w:rsid w:val="00946CF0"/>
    <w:rsid w:val="00974FAE"/>
    <w:rsid w:val="0098054F"/>
    <w:rsid w:val="00980EC3"/>
    <w:rsid w:val="00991E24"/>
    <w:rsid w:val="00997EC4"/>
    <w:rsid w:val="009A2FB9"/>
    <w:rsid w:val="009A5638"/>
    <w:rsid w:val="009B67E6"/>
    <w:rsid w:val="009C0695"/>
    <w:rsid w:val="009C0901"/>
    <w:rsid w:val="009E6EE7"/>
    <w:rsid w:val="009F194F"/>
    <w:rsid w:val="00A070D0"/>
    <w:rsid w:val="00A21BF2"/>
    <w:rsid w:val="00A2395B"/>
    <w:rsid w:val="00A263A0"/>
    <w:rsid w:val="00A35751"/>
    <w:rsid w:val="00A3635F"/>
    <w:rsid w:val="00A4482B"/>
    <w:rsid w:val="00A51A1B"/>
    <w:rsid w:val="00A56F7A"/>
    <w:rsid w:val="00A6301E"/>
    <w:rsid w:val="00A7060F"/>
    <w:rsid w:val="00A73BB1"/>
    <w:rsid w:val="00A745BF"/>
    <w:rsid w:val="00A97516"/>
    <w:rsid w:val="00AA436C"/>
    <w:rsid w:val="00AA6BC3"/>
    <w:rsid w:val="00AA7855"/>
    <w:rsid w:val="00AB2933"/>
    <w:rsid w:val="00AB297A"/>
    <w:rsid w:val="00AB43E1"/>
    <w:rsid w:val="00AB60E5"/>
    <w:rsid w:val="00AC6E69"/>
    <w:rsid w:val="00AD1679"/>
    <w:rsid w:val="00AE0AC8"/>
    <w:rsid w:val="00AE5191"/>
    <w:rsid w:val="00AF6722"/>
    <w:rsid w:val="00B06468"/>
    <w:rsid w:val="00B23EDD"/>
    <w:rsid w:val="00B24777"/>
    <w:rsid w:val="00B27A22"/>
    <w:rsid w:val="00B31795"/>
    <w:rsid w:val="00B37CD1"/>
    <w:rsid w:val="00B40697"/>
    <w:rsid w:val="00B43A1E"/>
    <w:rsid w:val="00B630BE"/>
    <w:rsid w:val="00B65C4B"/>
    <w:rsid w:val="00B7081A"/>
    <w:rsid w:val="00B72031"/>
    <w:rsid w:val="00B75EE4"/>
    <w:rsid w:val="00B869BF"/>
    <w:rsid w:val="00B9183A"/>
    <w:rsid w:val="00BA04C2"/>
    <w:rsid w:val="00BA1215"/>
    <w:rsid w:val="00BA59B8"/>
    <w:rsid w:val="00BB415A"/>
    <w:rsid w:val="00BC0547"/>
    <w:rsid w:val="00BD07FD"/>
    <w:rsid w:val="00BD291C"/>
    <w:rsid w:val="00BD76AE"/>
    <w:rsid w:val="00BF7EFD"/>
    <w:rsid w:val="00C5446D"/>
    <w:rsid w:val="00C63FEE"/>
    <w:rsid w:val="00C651EC"/>
    <w:rsid w:val="00C674A5"/>
    <w:rsid w:val="00C67F07"/>
    <w:rsid w:val="00C747BC"/>
    <w:rsid w:val="00CA6EE8"/>
    <w:rsid w:val="00CB3F46"/>
    <w:rsid w:val="00CB48C7"/>
    <w:rsid w:val="00CB5A72"/>
    <w:rsid w:val="00CD2FE4"/>
    <w:rsid w:val="00CD3092"/>
    <w:rsid w:val="00CD3AE2"/>
    <w:rsid w:val="00CE0F66"/>
    <w:rsid w:val="00CE10EE"/>
    <w:rsid w:val="00CE46FE"/>
    <w:rsid w:val="00CF3664"/>
    <w:rsid w:val="00CF558E"/>
    <w:rsid w:val="00CF70CA"/>
    <w:rsid w:val="00D018A1"/>
    <w:rsid w:val="00D02991"/>
    <w:rsid w:val="00D12A9A"/>
    <w:rsid w:val="00D14006"/>
    <w:rsid w:val="00D227C3"/>
    <w:rsid w:val="00D302FE"/>
    <w:rsid w:val="00D307CD"/>
    <w:rsid w:val="00D4215F"/>
    <w:rsid w:val="00D611A6"/>
    <w:rsid w:val="00D62524"/>
    <w:rsid w:val="00D72DB1"/>
    <w:rsid w:val="00D768F0"/>
    <w:rsid w:val="00DA51D1"/>
    <w:rsid w:val="00DB78F0"/>
    <w:rsid w:val="00DC05EA"/>
    <w:rsid w:val="00DD3F1A"/>
    <w:rsid w:val="00DD6E9B"/>
    <w:rsid w:val="00DD77A2"/>
    <w:rsid w:val="00DE2E03"/>
    <w:rsid w:val="00DF3765"/>
    <w:rsid w:val="00E17271"/>
    <w:rsid w:val="00E23849"/>
    <w:rsid w:val="00E25BDF"/>
    <w:rsid w:val="00E450C2"/>
    <w:rsid w:val="00E45818"/>
    <w:rsid w:val="00E55A6C"/>
    <w:rsid w:val="00E61CA7"/>
    <w:rsid w:val="00E7515B"/>
    <w:rsid w:val="00E87C80"/>
    <w:rsid w:val="00E87F28"/>
    <w:rsid w:val="00EA4E6E"/>
    <w:rsid w:val="00EB1E59"/>
    <w:rsid w:val="00EB52D5"/>
    <w:rsid w:val="00EC2637"/>
    <w:rsid w:val="00ED6E0E"/>
    <w:rsid w:val="00EF2308"/>
    <w:rsid w:val="00F2497A"/>
    <w:rsid w:val="00F26717"/>
    <w:rsid w:val="00F47F0E"/>
    <w:rsid w:val="00F50054"/>
    <w:rsid w:val="00F52AA9"/>
    <w:rsid w:val="00F557BD"/>
    <w:rsid w:val="00F57EEC"/>
    <w:rsid w:val="00F6431D"/>
    <w:rsid w:val="00F7168E"/>
    <w:rsid w:val="00F72CEE"/>
    <w:rsid w:val="00F75520"/>
    <w:rsid w:val="00F8458E"/>
    <w:rsid w:val="00F9382D"/>
    <w:rsid w:val="00F972DD"/>
    <w:rsid w:val="00FA18B8"/>
    <w:rsid w:val="00FB772D"/>
    <w:rsid w:val="00FD43F0"/>
    <w:rsid w:val="00FE699F"/>
    <w:rsid w:val="00FE7D5D"/>
    <w:rsid w:val="01B2240C"/>
    <w:rsid w:val="02201D8C"/>
    <w:rsid w:val="02E80AFB"/>
    <w:rsid w:val="032E7DEA"/>
    <w:rsid w:val="051060E7"/>
    <w:rsid w:val="088910BC"/>
    <w:rsid w:val="09C95987"/>
    <w:rsid w:val="0A3E3365"/>
    <w:rsid w:val="0AE93662"/>
    <w:rsid w:val="0B776EBF"/>
    <w:rsid w:val="0F8D78B9"/>
    <w:rsid w:val="12EB040C"/>
    <w:rsid w:val="1417616F"/>
    <w:rsid w:val="153E341A"/>
    <w:rsid w:val="1629525B"/>
    <w:rsid w:val="168F0BB0"/>
    <w:rsid w:val="19805192"/>
    <w:rsid w:val="19B34D4F"/>
    <w:rsid w:val="1CC7132A"/>
    <w:rsid w:val="1CCE090A"/>
    <w:rsid w:val="1D3E783E"/>
    <w:rsid w:val="1E3215F3"/>
    <w:rsid w:val="1E34479D"/>
    <w:rsid w:val="248F321B"/>
    <w:rsid w:val="2500187D"/>
    <w:rsid w:val="258C072F"/>
    <w:rsid w:val="26267F98"/>
    <w:rsid w:val="2748638E"/>
    <w:rsid w:val="29A40EC9"/>
    <w:rsid w:val="2BE41C4F"/>
    <w:rsid w:val="2C001724"/>
    <w:rsid w:val="30136908"/>
    <w:rsid w:val="30D204C2"/>
    <w:rsid w:val="36274EBB"/>
    <w:rsid w:val="37A4253C"/>
    <w:rsid w:val="3E1D6BA4"/>
    <w:rsid w:val="3F2C133D"/>
    <w:rsid w:val="407B46CC"/>
    <w:rsid w:val="41066B45"/>
    <w:rsid w:val="43FA6997"/>
    <w:rsid w:val="443864E5"/>
    <w:rsid w:val="455E20DB"/>
    <w:rsid w:val="471C3E9C"/>
    <w:rsid w:val="4784486B"/>
    <w:rsid w:val="47B9793D"/>
    <w:rsid w:val="483F2680"/>
    <w:rsid w:val="4886411D"/>
    <w:rsid w:val="48CB3521"/>
    <w:rsid w:val="4D1D271C"/>
    <w:rsid w:val="51D746C9"/>
    <w:rsid w:val="52F52966"/>
    <w:rsid w:val="56090EEE"/>
    <w:rsid w:val="579E08FE"/>
    <w:rsid w:val="58675193"/>
    <w:rsid w:val="58692CBA"/>
    <w:rsid w:val="58F85DEC"/>
    <w:rsid w:val="5AEF3169"/>
    <w:rsid w:val="5C643EC4"/>
    <w:rsid w:val="5C837167"/>
    <w:rsid w:val="5CC85C50"/>
    <w:rsid w:val="5EA93E10"/>
    <w:rsid w:val="603911C4"/>
    <w:rsid w:val="618A51C2"/>
    <w:rsid w:val="62854B94"/>
    <w:rsid w:val="66DB0708"/>
    <w:rsid w:val="66E31E89"/>
    <w:rsid w:val="674370F9"/>
    <w:rsid w:val="67C909D8"/>
    <w:rsid w:val="69414002"/>
    <w:rsid w:val="69C67719"/>
    <w:rsid w:val="6AE8188C"/>
    <w:rsid w:val="6B950991"/>
    <w:rsid w:val="6BC645B1"/>
    <w:rsid w:val="6BF568E6"/>
    <w:rsid w:val="6E873ACF"/>
    <w:rsid w:val="6FCB4081"/>
    <w:rsid w:val="70CF6063"/>
    <w:rsid w:val="731509EE"/>
    <w:rsid w:val="7508310B"/>
    <w:rsid w:val="77553C3C"/>
    <w:rsid w:val="7AB64389"/>
    <w:rsid w:val="7BF36E49"/>
    <w:rsid w:val="7D87708F"/>
    <w:rsid w:val="7F2D7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qFormat/>
    <w:uiPriority w:val="0"/>
    <w:rPr>
      <w:rFonts w:ascii="宋体" w:hAnsi="Courier New"/>
      <w:kern w:val="0"/>
      <w:sz w:val="20"/>
      <w:szCs w:val="20"/>
    </w:rPr>
  </w:style>
  <w:style w:type="paragraph" w:styleId="4">
    <w:name w:val="Balloon Text"/>
    <w:basedOn w:val="1"/>
    <w:semiHidden/>
    <w:qFormat/>
    <w:uiPriority w:val="0"/>
    <w:rPr>
      <w:sz w:val="18"/>
      <w:szCs w:val="18"/>
    </w:rPr>
  </w:style>
  <w:style w:type="paragraph" w:styleId="5">
    <w:name w:val="footer"/>
    <w:basedOn w:val="1"/>
    <w:link w:val="17"/>
    <w:qFormat/>
    <w:uiPriority w:val="0"/>
    <w:pPr>
      <w:tabs>
        <w:tab w:val="center" w:pos="4153"/>
        <w:tab w:val="right" w:pos="8306"/>
      </w:tabs>
      <w:snapToGrid w:val="0"/>
      <w:jc w:val="left"/>
    </w:pPr>
    <w:rPr>
      <w:rFonts w:cs="Times New Roman"/>
      <w:sz w:val="18"/>
      <w:szCs w:val="18"/>
    </w:rPr>
  </w:style>
  <w:style w:type="paragraph" w:styleId="6">
    <w:name w:val="header"/>
    <w:basedOn w:val="1"/>
    <w:link w:val="18"/>
    <w:qFormat/>
    <w:uiPriority w:val="0"/>
    <w:pPr>
      <w:pBdr>
        <w:bottom w:val="single" w:color="auto" w:sz="6" w:space="1"/>
      </w:pBdr>
      <w:tabs>
        <w:tab w:val="center" w:pos="4153"/>
        <w:tab w:val="right" w:pos="8306"/>
      </w:tabs>
      <w:snapToGrid w:val="0"/>
      <w:jc w:val="center"/>
    </w:pPr>
    <w:rPr>
      <w:rFonts w:cs="Times New Roman"/>
      <w:sz w:val="18"/>
      <w:szCs w:val="18"/>
    </w:rPr>
  </w:style>
  <w:style w:type="paragraph" w:styleId="7">
    <w:name w:val="annotation subject"/>
    <w:basedOn w:val="2"/>
    <w:next w:val="2"/>
    <w:link w:val="16"/>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1">
    <w:name w:val="page number"/>
    <w:basedOn w:val="10"/>
    <w:qFormat/>
    <w:uiPriority w:val="0"/>
  </w:style>
  <w:style w:type="character" w:styleId="12">
    <w:name w:val="annotation reference"/>
    <w:qFormat/>
    <w:uiPriority w:val="0"/>
    <w:rPr>
      <w:sz w:val="21"/>
      <w:szCs w:val="21"/>
    </w:rPr>
  </w:style>
  <w:style w:type="paragraph" w:customStyle="1" w:styleId="13">
    <w:name w:val="列出段落1"/>
    <w:basedOn w:val="1"/>
    <w:qFormat/>
    <w:uiPriority w:val="34"/>
    <w:pPr>
      <w:ind w:firstLine="420" w:firstLineChars="200"/>
    </w:pPr>
    <w:rPr>
      <w:rFonts w:ascii="等线" w:hAnsi="等线" w:eastAsia="等线" w:cs="Times New Roman"/>
      <w:szCs w:val="22"/>
    </w:rPr>
  </w:style>
  <w:style w:type="paragraph" w:customStyle="1" w:styleId="14">
    <w:name w:val="_Style 16"/>
    <w:unhideWhenUsed/>
    <w:qFormat/>
    <w:uiPriority w:val="99"/>
    <w:rPr>
      <w:rFonts w:ascii="Calibri" w:hAnsi="Calibri" w:eastAsia="宋体" w:cs="Calibri"/>
      <w:kern w:val="2"/>
      <w:sz w:val="21"/>
      <w:szCs w:val="21"/>
      <w:lang w:val="en-US" w:eastAsia="zh-CN" w:bidi="ar-SA"/>
    </w:rPr>
  </w:style>
  <w:style w:type="character" w:customStyle="1" w:styleId="15">
    <w:name w:val="批注文字 Char"/>
    <w:link w:val="2"/>
    <w:semiHidden/>
    <w:qFormat/>
    <w:locked/>
    <w:uiPriority w:val="0"/>
    <w:rPr>
      <w:rFonts w:ascii="Calibri" w:hAnsi="Calibri" w:eastAsia="宋体" w:cs="Calibri"/>
      <w:kern w:val="2"/>
      <w:sz w:val="21"/>
      <w:szCs w:val="21"/>
      <w:lang w:val="en-US" w:eastAsia="zh-CN" w:bidi="ar-SA"/>
    </w:rPr>
  </w:style>
  <w:style w:type="character" w:customStyle="1" w:styleId="16">
    <w:name w:val="批注主题 Char"/>
    <w:link w:val="7"/>
    <w:qFormat/>
    <w:uiPriority w:val="0"/>
    <w:rPr>
      <w:rFonts w:ascii="Calibri" w:hAnsi="Calibri" w:eastAsia="宋体" w:cs="Calibri"/>
      <w:b/>
      <w:bCs/>
      <w:kern w:val="2"/>
      <w:sz w:val="21"/>
      <w:szCs w:val="21"/>
      <w:lang w:val="en-US" w:eastAsia="zh-CN" w:bidi="ar-SA"/>
    </w:rPr>
  </w:style>
  <w:style w:type="character" w:customStyle="1" w:styleId="17">
    <w:name w:val="页脚 Char"/>
    <w:link w:val="5"/>
    <w:qFormat/>
    <w:uiPriority w:val="0"/>
    <w:rPr>
      <w:rFonts w:ascii="Calibri" w:hAnsi="Calibri" w:cs="Calibri"/>
      <w:kern w:val="2"/>
      <w:sz w:val="18"/>
      <w:szCs w:val="18"/>
    </w:rPr>
  </w:style>
  <w:style w:type="character" w:customStyle="1" w:styleId="18">
    <w:name w:val="页眉 Char"/>
    <w:link w:val="6"/>
    <w:qFormat/>
    <w:uiPriority w:val="0"/>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3184</Words>
  <Characters>7235</Characters>
  <Lines>58</Lines>
  <Paragraphs>16</Paragraphs>
  <TotalTime>18</TotalTime>
  <ScaleCrop>false</ScaleCrop>
  <LinksUpToDate>false</LinksUpToDate>
  <CharactersWithSpaces>7652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2026-05-07T07:10:00Z</dcterms:created>
  <dc:creator>User</dc:creator>
  <cp:lastModifiedBy>胖炳文</cp:lastModifiedBy>
  <cp:lastPrinted>2023-04-18T09:10:00Z</cp:lastPrinted>
  <dcterms:modified xsi:type="dcterms:W3CDTF">2026-05-27T02:29:44Z</dcterms:modified>
  <dc:title>2019年北京市非机动车（电动自行车）产品质量监督抽查方案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eyJoZGlkIjoiZDg0ZTEyYTcyYWRkN2VhMWQ4ZWVjOTk2ZGMxYTNkOWMiLCJ1c2VySWQiOiIzNjUyMDE1OTUifQ==</vt:lpwstr>
  </property>
  <property fmtid="{D5CDD505-2E9C-101B-9397-08002B2CF9AE}" pid="4" name="ICV">
    <vt:lpwstr>47208EB8B7FB4D1A815B9C92B1B91995_13</vt:lpwstr>
  </property>
</Properties>
</file>