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CAC07">
      <w:pPr>
        <w:spacing w:line="600" w:lineRule="exact"/>
        <w:rPr>
          <w:rFonts w:ascii="方正小标宋简体" w:hAnsi="黑体" w:eastAsia="方正小标宋简体"/>
          <w:sz w:val="32"/>
          <w:szCs w:val="32"/>
        </w:rPr>
      </w:pPr>
    </w:p>
    <w:tbl>
      <w:tblPr>
        <w:tblStyle w:val="13"/>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14:paraId="5277C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14:paraId="00610851">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r>
              <w:rPr>
                <w:rFonts w:hint="eastAsia" w:ascii="方正小标宋简体" w:hAnsi="黑体" w:eastAsia="方正小标宋简体"/>
                <w:sz w:val="40"/>
                <w:szCs w:val="40"/>
                <w:lang w:eastAsia="zh-CN"/>
              </w:rPr>
              <w:t>街道办事处</w:t>
            </w:r>
            <w:r>
              <w:rPr>
                <w:rFonts w:hint="eastAsia" w:ascii="方正小标宋简体" w:hAnsi="黑体" w:eastAsia="方正小标宋简体"/>
                <w:sz w:val="40"/>
                <w:szCs w:val="40"/>
              </w:rPr>
              <w:t>轻微违法行为不予行政处罚</w:t>
            </w:r>
            <w:r>
              <w:rPr>
                <w:rFonts w:hint="eastAsia" w:ascii="方正小标宋简体" w:hAnsi="黑体" w:eastAsia="方正小标宋简体"/>
                <w:sz w:val="40"/>
                <w:szCs w:val="40"/>
                <w:lang w:eastAsia="zh-CN"/>
              </w:rPr>
              <w:t>事项清单</w:t>
            </w:r>
          </w:p>
        </w:tc>
      </w:tr>
      <w:tr w14:paraId="29AA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3F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7C0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BC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D0F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4C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39A0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475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14:paraId="65EFC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29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4D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38B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CFF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258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D3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C4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EFB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B4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B4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7FE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A3C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5BC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01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64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3280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F8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FA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51A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3D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DA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49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62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F2B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F6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F4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A6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995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86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F1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60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8620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D2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27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9A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42F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E24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AA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C6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DC5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F5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F3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40B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07B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0C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E3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91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7135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7E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C6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C0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086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DF4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00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91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DD5D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62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91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E20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33B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371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AF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A8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3BAD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69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F0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08F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E6C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992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BD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F6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6552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11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82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652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069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2C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D1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A4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F87F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4D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5C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06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D24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DA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74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E0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46B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D4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1B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22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8206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02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74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27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8740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44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95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75F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AEF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3FB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B8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81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909C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C7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7C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78D1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4B6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F2B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28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C7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665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982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D8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E86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B97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EB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96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36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089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61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64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053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D59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009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E2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33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E0D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E1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71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E8D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5A0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986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5D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7C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248F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3F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31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93A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00D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3EA8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3E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5F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7112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DD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7A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13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AFD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E38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74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19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65B8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77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28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BF9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8C4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A0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59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E8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F40B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3E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7B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04E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3DF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35F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AC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0B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25EE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D9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55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2C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74D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61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4D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47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AE85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C5E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2F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395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9B32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42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14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D8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C3A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97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F1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09B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233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C3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8A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1D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D52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B0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B0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B2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91C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8D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36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46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206D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97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56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02D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08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92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5A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AF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4691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A3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9B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D4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9B5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F81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2D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A2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B8F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06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D1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C1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49C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C31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89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C9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DA32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F2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8D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B5F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FB8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41E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8B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3E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CDB5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6D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28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24D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096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0768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40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F0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6E2F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8A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CB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5EC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04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341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CF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39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C2CB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63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0D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0DC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2A3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81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C6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85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9375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CE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16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44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343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6F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98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A0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2DA0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46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07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6E3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6A3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727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53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E3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493C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91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2F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481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58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C6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BA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EF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E762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19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37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422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1D6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D0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BA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17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A833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C6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E8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D82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5EC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6A9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F1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16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A196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9D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96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818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4F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F9D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D1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E0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0582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18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D6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BAB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0CC6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C2B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A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E9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FC8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48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E0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3C7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317D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8F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p w14:paraId="6EFADAA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DC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BA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C7BF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BD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DA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BB2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BA7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48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62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C1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C71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45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89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B31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E16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B82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C9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6B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8786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BD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05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392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803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927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61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24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2F67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96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58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0A5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991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FF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41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63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629A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10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BC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D3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B27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4D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19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F3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92D8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2A2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4</w:t>
            </w:r>
            <w:r>
              <w:rPr>
                <w:rFonts w:hint="eastAsia" w:ascii="宋体" w:hAnsi="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336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B3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56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97A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41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7C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0250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B3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1C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C71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C6B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EE4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63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23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AE51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1A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EA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32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A4F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5B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4A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7F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360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0C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D4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E5A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BD3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B6A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AA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EA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2513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03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17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AC5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F5C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345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A8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67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D57C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EB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68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F30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D4A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FF1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5E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AD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20B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45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F4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24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46B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961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6D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04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68F8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D0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CA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CBC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A2A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B1D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49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DE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EBA8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98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50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BF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F7C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AFC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B1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33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5940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04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8E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672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529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172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D4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A5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FDCC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26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CC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36E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162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52C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D2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49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4890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08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C4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BAE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665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D7F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A9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8D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370F2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3D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A3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AF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DE3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13C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8C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EC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55B8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F4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E2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A05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273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9CC4">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9E1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8F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9CD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89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BD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DB0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225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68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95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0F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0A9B7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6E4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28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1B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69A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A1D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7E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A9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1718F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8F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A9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D70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E9C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F63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57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25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EAC5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AB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AA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48E3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06E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EB6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CB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54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A203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C6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AA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111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2F3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3C4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50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8F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FBC6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87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9E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531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E93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29E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22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EE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5AE6E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668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D5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BEC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B2D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373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03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B5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12774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DE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74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DC6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C3C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81C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B2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60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7914D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C5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38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E15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483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1F3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02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443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9E7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686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DC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2F1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70D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9D2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D2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E5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2A446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2F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1B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829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4DC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8F5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0F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D2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59B2B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D9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w:t>
            </w:r>
            <w:r>
              <w:rPr>
                <w:rFonts w:hint="eastAsia" w:ascii="宋体" w:hAnsi="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1A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EBE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3EB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BB9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C9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50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6E0F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4E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89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385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1D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7B1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2C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9F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12575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9B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91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CAD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32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04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05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46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3BAC8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15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7A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274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99C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B99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29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6C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55F2B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BC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BA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F83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2A2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6E53">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0B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4D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0094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D5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C7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CA6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2EC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CB9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25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17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14:paraId="09FB5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F4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5A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455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7EF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CAF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A7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94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7BD08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1B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AE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0ED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925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4A0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55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E5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4C195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9D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82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E4A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D2C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1E87">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2D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6D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14:paraId="6DC73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A8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A5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213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E01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6BD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75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4D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14:paraId="32DC1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14:paraId="578514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14:paraId="460841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14:paraId="5D8AAE9B">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6"/>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14:paraId="540DFE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14:paraId="4089C8F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14:paraId="12692D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14:paraId="0F52CE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6A919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14:paraId="37504D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82</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14:paraId="26F9CE2C">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14:paraId="1275EA5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14:paraId="2839620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14:paraId="1BB8C28C">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14:paraId="50CB129E">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14:paraId="290FC7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14:paraId="2BFBCA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14:paraId="2930E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40" w:hRule="atLeast"/>
        </w:trPr>
        <w:tc>
          <w:tcPr>
            <w:tcW w:w="14226" w:type="dxa"/>
            <w:gridSpan w:val="7"/>
            <w:tcBorders>
              <w:top w:val="single" w:color="auto" w:sz="4" w:space="0"/>
              <w:left w:val="nil"/>
              <w:bottom w:val="nil"/>
              <w:right w:val="nil"/>
            </w:tcBorders>
            <w:shd w:val="clear" w:color="auto" w:fill="auto"/>
            <w:vAlign w:val="top"/>
          </w:tcPr>
          <w:p w14:paraId="33A69E8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14:paraId="64AF05B2"/>
    <w:p w14:paraId="38F19419"/>
    <w:p w14:paraId="18B46EDA"/>
    <w:p w14:paraId="000EEA0B"/>
    <w:p w14:paraId="66C30E94"/>
    <w:p w14:paraId="318C1EBF">
      <w:bookmarkStart w:id="5" w:name="_GoBack"/>
      <w:bookmarkEnd w:id="5"/>
    </w:p>
    <w:p w14:paraId="7AFA9D6F"/>
    <w:p w14:paraId="1932C038"/>
    <w:p w14:paraId="6A112344"/>
    <w:p w14:paraId="27E8C275"/>
    <w:p w14:paraId="0520222B"/>
    <w:p w14:paraId="1F3FF3B9">
      <w:pPr>
        <w:pStyle w:val="2"/>
        <w:bidi w:val="0"/>
        <w:ind w:firstLine="6325" w:firstLineChars="3000"/>
        <w:jc w:val="both"/>
        <w:rPr>
          <w:rFonts w:hint="eastAsia" w:ascii="宋体" w:hAnsi="宋体" w:eastAsia="宋体" w:cs="宋体"/>
          <w:color w:val="000000"/>
          <w:lang w:val="en-US" w:eastAsia="zh-CN"/>
        </w:rPr>
      </w:pPr>
      <w:bookmarkStart w:id="0" w:name="_Toc1437339030"/>
      <w:bookmarkStart w:id="1" w:name="_Toc341845612"/>
      <w:bookmarkStart w:id="2" w:name="_Toc1953583257"/>
      <w:bookmarkStart w:id="3" w:name="_Toc243115343"/>
      <w:bookmarkStart w:id="4" w:name="_Toc110851502"/>
      <w:r>
        <w:rPr>
          <w:rFonts w:hint="eastAsia"/>
          <w:color w:val="000000"/>
          <w:sz w:val="21"/>
          <w:szCs w:val="21"/>
        </w:rPr>
        <w:t>生态环境</w:t>
      </w:r>
      <w:bookmarkEnd w:id="0"/>
      <w:r>
        <w:rPr>
          <w:rFonts w:hint="eastAsia"/>
          <w:color w:val="000000"/>
          <w:sz w:val="21"/>
          <w:szCs w:val="21"/>
          <w:lang w:eastAsia="zh-CN"/>
        </w:rPr>
        <w:t>下放</w:t>
      </w:r>
      <w:bookmarkEnd w:id="1"/>
      <w:bookmarkEnd w:id="2"/>
      <w:bookmarkEnd w:id="3"/>
      <w:bookmarkEnd w:id="4"/>
    </w:p>
    <w:p w14:paraId="0F1F57C0">
      <w:pPr>
        <w:jc w:val="both"/>
        <w:outlineLvl w:val="0"/>
      </w:pPr>
      <w:r>
        <w:rPr>
          <w:rFonts w:hint="eastAsia" w:ascii="宋体" w:hAnsi="宋体" w:eastAsia="宋体" w:cs="宋体"/>
          <w:color w:val="000000"/>
          <w:lang w:val="en-US" w:eastAsia="zh-CN"/>
        </w:rPr>
        <w:t>《北京市生态环境局关于印发&lt;北京市生态环境行政处罚裁量权基准（2023年版）&gt;的通知》(京环发〔2024〕25号)</w:t>
      </w:r>
    </w:p>
    <w:tbl>
      <w:tblPr>
        <w:tblStyle w:val="13"/>
        <w:tblW w:w="14682" w:type="dxa"/>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091"/>
        <w:gridCol w:w="1914"/>
        <w:gridCol w:w="3604"/>
        <w:gridCol w:w="1787"/>
        <w:gridCol w:w="1889"/>
        <w:gridCol w:w="2763"/>
        <w:gridCol w:w="971"/>
      </w:tblGrid>
      <w:tr w14:paraId="6ED92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663" w:type="dxa"/>
            <w:noWrap w:val="0"/>
            <w:vAlign w:val="center"/>
          </w:tcPr>
          <w:p w14:paraId="535EA059">
            <w:pPr>
              <w:jc w:val="center"/>
              <w:rPr>
                <w:rFonts w:ascii="仿宋_GB2312" w:hAnsi="仿宋_GB2312" w:eastAsia="仿宋_GB2312" w:cs="仿宋_GB2312"/>
                <w:sz w:val="24"/>
              </w:rPr>
            </w:pPr>
            <w:r>
              <w:rPr>
                <w:rFonts w:hint="eastAsia" w:ascii="黑体" w:hAnsi="黑体" w:eastAsia="黑体" w:cs="黑体"/>
                <w:sz w:val="28"/>
                <w:szCs w:val="28"/>
              </w:rPr>
              <w:t>序号</w:t>
            </w:r>
          </w:p>
        </w:tc>
        <w:tc>
          <w:tcPr>
            <w:tcW w:w="1091" w:type="dxa"/>
            <w:noWrap w:val="0"/>
            <w:vAlign w:val="center"/>
          </w:tcPr>
          <w:p w14:paraId="1D527F84">
            <w:pPr>
              <w:jc w:val="center"/>
              <w:rPr>
                <w:rFonts w:hint="eastAsia" w:ascii="仿宋_GB2312" w:hAnsi="仿宋_GB2312" w:eastAsia="仿宋_GB2312" w:cs="仿宋_GB2312"/>
                <w:sz w:val="24"/>
              </w:rPr>
            </w:pPr>
            <w:r>
              <w:rPr>
                <w:rFonts w:hint="eastAsia" w:ascii="黑体" w:hAnsi="黑体" w:eastAsia="黑体" w:cs="黑体"/>
                <w:sz w:val="28"/>
                <w:szCs w:val="28"/>
              </w:rPr>
              <w:t>裁量基准编码</w:t>
            </w:r>
          </w:p>
        </w:tc>
        <w:tc>
          <w:tcPr>
            <w:tcW w:w="1914" w:type="dxa"/>
            <w:noWrap w:val="0"/>
            <w:vAlign w:val="center"/>
          </w:tcPr>
          <w:p w14:paraId="10E80CD9">
            <w:pPr>
              <w:jc w:val="center"/>
              <w:rPr>
                <w:rFonts w:hint="eastAsia" w:ascii="黑体" w:hAnsi="黑体" w:eastAsia="黑体" w:cs="黑体"/>
                <w:sz w:val="28"/>
                <w:szCs w:val="28"/>
              </w:rPr>
            </w:pPr>
            <w:r>
              <w:rPr>
                <w:rFonts w:hint="eastAsia" w:ascii="黑体" w:hAnsi="黑体" w:eastAsia="黑体" w:cs="黑体"/>
                <w:sz w:val="28"/>
                <w:szCs w:val="28"/>
              </w:rPr>
              <w:t>违法行为</w:t>
            </w:r>
          </w:p>
          <w:p w14:paraId="65946F97">
            <w:pPr>
              <w:jc w:val="center"/>
              <w:rPr>
                <w:rFonts w:hint="eastAsia" w:ascii="仿宋_GB2312" w:hAnsi="仿宋_GB2312" w:eastAsia="仿宋_GB2312" w:cs="仿宋_GB2312"/>
                <w:sz w:val="24"/>
              </w:rPr>
            </w:pPr>
            <w:r>
              <w:rPr>
                <w:rFonts w:hint="eastAsia" w:ascii="黑体" w:hAnsi="黑体" w:eastAsia="黑体" w:cs="黑体"/>
                <w:sz w:val="28"/>
                <w:szCs w:val="28"/>
              </w:rPr>
              <w:t>名称</w:t>
            </w:r>
          </w:p>
        </w:tc>
        <w:tc>
          <w:tcPr>
            <w:tcW w:w="3604" w:type="dxa"/>
            <w:noWrap w:val="0"/>
            <w:vAlign w:val="center"/>
          </w:tcPr>
          <w:p w14:paraId="0AF2B6E1">
            <w:pPr>
              <w:jc w:val="center"/>
              <w:rPr>
                <w:rFonts w:hint="eastAsia" w:ascii="仿宋_GB2312" w:hAnsi="仿宋_GB2312" w:eastAsia="仿宋_GB2312" w:cs="仿宋_GB2312"/>
                <w:kern w:val="0"/>
                <w:sz w:val="24"/>
              </w:rPr>
            </w:pPr>
            <w:r>
              <w:rPr>
                <w:rFonts w:hint="eastAsia" w:ascii="黑体" w:hAnsi="黑体" w:eastAsia="黑体" w:cs="黑体"/>
                <w:sz w:val="28"/>
                <w:szCs w:val="28"/>
              </w:rPr>
              <w:t>不予处罚适用条件</w:t>
            </w:r>
          </w:p>
        </w:tc>
        <w:tc>
          <w:tcPr>
            <w:tcW w:w="1787" w:type="dxa"/>
            <w:noWrap w:val="0"/>
            <w:vAlign w:val="center"/>
          </w:tcPr>
          <w:p w14:paraId="2CCD574D">
            <w:pPr>
              <w:jc w:val="center"/>
              <w:rPr>
                <w:rFonts w:hint="eastAsia" w:ascii="黑体" w:hAnsi="黑体" w:eastAsia="黑体" w:cs="黑体"/>
                <w:sz w:val="28"/>
                <w:szCs w:val="28"/>
              </w:rPr>
            </w:pPr>
            <w:r>
              <w:rPr>
                <w:rFonts w:hint="eastAsia" w:ascii="黑体" w:hAnsi="黑体" w:eastAsia="黑体" w:cs="黑体"/>
                <w:sz w:val="28"/>
                <w:szCs w:val="28"/>
              </w:rPr>
              <w:t>违法行为</w:t>
            </w:r>
          </w:p>
          <w:p w14:paraId="7991DF2C">
            <w:pPr>
              <w:jc w:val="center"/>
              <w:rPr>
                <w:rFonts w:hint="eastAsia" w:ascii="仿宋_GB2312" w:hAnsi="仿宋_GB2312" w:eastAsia="仿宋_GB2312" w:cs="仿宋_GB2312"/>
                <w:sz w:val="24"/>
              </w:rPr>
            </w:pPr>
            <w:r>
              <w:rPr>
                <w:rFonts w:hint="eastAsia" w:ascii="黑体" w:hAnsi="黑体" w:eastAsia="黑体" w:cs="黑体"/>
                <w:sz w:val="28"/>
                <w:szCs w:val="28"/>
              </w:rPr>
              <w:t>依据</w:t>
            </w:r>
          </w:p>
        </w:tc>
        <w:tc>
          <w:tcPr>
            <w:tcW w:w="1889" w:type="dxa"/>
            <w:noWrap w:val="0"/>
            <w:vAlign w:val="center"/>
          </w:tcPr>
          <w:p w14:paraId="7A20AB78">
            <w:pPr>
              <w:jc w:val="center"/>
              <w:rPr>
                <w:rFonts w:hint="eastAsia" w:ascii="黑体" w:hAnsi="黑体" w:eastAsia="黑体" w:cs="黑体"/>
                <w:sz w:val="28"/>
                <w:szCs w:val="28"/>
              </w:rPr>
            </w:pPr>
            <w:r>
              <w:rPr>
                <w:rFonts w:hint="eastAsia" w:ascii="黑体" w:hAnsi="黑体" w:eastAsia="黑体" w:cs="黑体"/>
                <w:sz w:val="28"/>
                <w:szCs w:val="28"/>
              </w:rPr>
              <w:t>行政处罚</w:t>
            </w:r>
          </w:p>
          <w:p w14:paraId="4B962157">
            <w:pPr>
              <w:jc w:val="center"/>
              <w:rPr>
                <w:rFonts w:hint="eastAsia" w:ascii="仿宋_GB2312" w:hAnsi="仿宋_GB2312" w:eastAsia="仿宋_GB2312" w:cs="仿宋_GB2312"/>
                <w:kern w:val="0"/>
                <w:sz w:val="24"/>
              </w:rPr>
            </w:pPr>
            <w:r>
              <w:rPr>
                <w:rFonts w:hint="eastAsia" w:ascii="黑体" w:hAnsi="黑体" w:eastAsia="黑体" w:cs="黑体"/>
                <w:sz w:val="28"/>
                <w:szCs w:val="28"/>
              </w:rPr>
              <w:t>依据</w:t>
            </w:r>
          </w:p>
        </w:tc>
        <w:tc>
          <w:tcPr>
            <w:tcW w:w="2763" w:type="dxa"/>
            <w:noWrap w:val="0"/>
            <w:vAlign w:val="center"/>
          </w:tcPr>
          <w:p w14:paraId="3F957E7C">
            <w:pPr>
              <w:jc w:val="center"/>
              <w:rPr>
                <w:rFonts w:hint="eastAsia" w:ascii="仿宋_GB2312" w:hAnsi="仿宋_GB2312" w:eastAsia="仿宋_GB2312" w:cs="仿宋_GB2312"/>
                <w:sz w:val="24"/>
              </w:rPr>
            </w:pPr>
            <w:r>
              <w:rPr>
                <w:rFonts w:hint="eastAsia" w:ascii="黑体" w:hAnsi="黑体" w:eastAsia="黑体" w:cs="黑体"/>
                <w:sz w:val="28"/>
                <w:szCs w:val="28"/>
              </w:rPr>
              <w:t>管理措施</w:t>
            </w:r>
          </w:p>
        </w:tc>
        <w:tc>
          <w:tcPr>
            <w:tcW w:w="971" w:type="dxa"/>
            <w:noWrap w:val="0"/>
            <w:vAlign w:val="center"/>
          </w:tcPr>
          <w:p w14:paraId="3B98B15A">
            <w:pPr>
              <w:ind w:left="-105" w:leftChars="-50" w:right="-105" w:rightChars="-50"/>
              <w:jc w:val="center"/>
              <w:rPr>
                <w:rFonts w:hint="eastAsia" w:ascii="仿宋_GB2312" w:hAnsi="仿宋_GB2312" w:eastAsia="仿宋_GB2312" w:cs="仿宋_GB2312"/>
                <w:sz w:val="24"/>
              </w:rPr>
            </w:pPr>
            <w:r>
              <w:rPr>
                <w:rFonts w:hint="eastAsia" w:ascii="黑体" w:hAnsi="黑体" w:eastAsia="黑体" w:cs="黑体"/>
                <w:sz w:val="28"/>
                <w:szCs w:val="28"/>
              </w:rPr>
              <w:t>行使层级</w:t>
            </w:r>
          </w:p>
        </w:tc>
      </w:tr>
      <w:tr w14:paraId="0ED3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4" w:hRule="atLeast"/>
        </w:trPr>
        <w:tc>
          <w:tcPr>
            <w:tcW w:w="663" w:type="dxa"/>
            <w:shd w:val="clear" w:color="auto" w:fill="auto"/>
            <w:noWrap w:val="0"/>
            <w:vAlign w:val="center"/>
          </w:tcPr>
          <w:p w14:paraId="67AFD7E3">
            <w:pPr>
              <w:jc w:val="center"/>
              <w:rPr>
                <w:rFonts w:hint="eastAsia" w:ascii="仿宋_GB2312" w:hAnsi="仿宋_GB2312" w:eastAsia="仿宋_GB2312" w:cs="仿宋_GB2312"/>
                <w:color w:val="000000" w:themeColor="text1"/>
                <w:kern w:val="2"/>
                <w:sz w:val="24"/>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w:t>
            </w:r>
          </w:p>
        </w:tc>
        <w:tc>
          <w:tcPr>
            <w:tcW w:w="1091" w:type="dxa"/>
            <w:shd w:val="clear" w:color="auto" w:fill="auto"/>
            <w:noWrap w:val="0"/>
            <w:vAlign w:val="center"/>
          </w:tcPr>
          <w:p w14:paraId="7A6CBF80">
            <w:pPr>
              <w:jc w:val="center"/>
              <w:rPr>
                <w:rFonts w:hint="eastAsia" w:ascii="仿宋_GB2312" w:hAnsi="仿宋_GB2312" w:eastAsia="仿宋_GB2312" w:cs="仿宋_GB2312"/>
                <w:color w:val="000000" w:themeColor="text1"/>
                <w:kern w:val="2"/>
                <w:sz w:val="24"/>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C1325600B010</w:t>
            </w:r>
          </w:p>
        </w:tc>
        <w:tc>
          <w:tcPr>
            <w:tcW w:w="1914" w:type="dxa"/>
            <w:shd w:val="clear" w:color="auto" w:fill="auto"/>
            <w:noWrap w:val="0"/>
            <w:vAlign w:val="center"/>
          </w:tcPr>
          <w:p w14:paraId="0CD8C52F">
            <w:pPr>
              <w:jc w:val="left"/>
              <w:rPr>
                <w:rFonts w:hint="eastAsia" w:ascii="仿宋_GB2312" w:hAnsi="仿宋_GB2312" w:eastAsia="仿宋_GB2312" w:cs="仿宋_GB2312"/>
                <w:color w:val="000000" w:themeColor="text1"/>
                <w:kern w:val="2"/>
                <w:sz w:val="24"/>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对工业企业不能密闭的易产生扬尘的物料，未设置不低于堆放物高度的严密围挡，或者未采取有效覆盖措施防治扬尘污染的行为进行处罚</w:t>
            </w:r>
          </w:p>
        </w:tc>
        <w:tc>
          <w:tcPr>
            <w:tcW w:w="3604" w:type="dxa"/>
            <w:shd w:val="clear" w:color="auto" w:fill="auto"/>
            <w:noWrap w:val="0"/>
            <w:vAlign w:val="center"/>
          </w:tcPr>
          <w:p w14:paraId="34F49C13">
            <w:pPr>
              <w:jc w:val="left"/>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1.本市生态环境部门行政处罚、行政检查系统中无针对当事人同一种违法行为的记录，且当事人确认初次违法</w:t>
            </w:r>
          </w:p>
          <w:p w14:paraId="0C7752FD">
            <w:pPr>
              <w:jc w:val="left"/>
              <w:rPr>
                <w:rFonts w:hint="eastAsia" w:ascii="仿宋_GB2312" w:hAnsi="仿宋_GB2312" w:eastAsia="仿宋_GB2312" w:cs="仿宋_GB2312"/>
                <w:color w:val="000000" w:themeColor="text1"/>
                <w:kern w:val="0"/>
                <w:sz w:val="24"/>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2.工业企业未密闭，未设置不低于堆放物高度的严密围挡，或者未采取有效覆盖措施防治扬尘污染，物料总量小于10立方米，且堆存时间不超过3天，当场整改的</w:t>
            </w:r>
          </w:p>
        </w:tc>
        <w:tc>
          <w:tcPr>
            <w:tcW w:w="1787" w:type="dxa"/>
            <w:shd w:val="clear" w:color="auto" w:fill="auto"/>
            <w:noWrap w:val="0"/>
            <w:vAlign w:val="center"/>
          </w:tcPr>
          <w:p w14:paraId="2B8FAB3C">
            <w:pPr>
              <w:jc w:val="center"/>
              <w:rPr>
                <w:rFonts w:hint="eastAsia" w:ascii="仿宋_GB2312" w:hAnsi="仿宋_GB2312" w:eastAsia="仿宋_GB2312" w:cs="仿宋_GB2312"/>
                <w:color w:val="000000" w:themeColor="text1"/>
                <w:kern w:val="2"/>
                <w:sz w:val="24"/>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《北京市大气污染防治条例》第八十二条第一款</w:t>
            </w:r>
          </w:p>
        </w:tc>
        <w:tc>
          <w:tcPr>
            <w:tcW w:w="1889" w:type="dxa"/>
            <w:shd w:val="clear" w:color="auto" w:fill="auto"/>
            <w:noWrap w:val="0"/>
            <w:vAlign w:val="center"/>
          </w:tcPr>
          <w:p w14:paraId="40A4325C">
            <w:pPr>
              <w:jc w:val="center"/>
              <w:rPr>
                <w:rFonts w:hint="eastAsia" w:ascii="仿宋_GB2312" w:hAnsi="仿宋_GB2312" w:eastAsia="仿宋_GB2312" w:cs="仿宋_GB2312"/>
                <w:color w:val="000000" w:themeColor="text1"/>
                <w:kern w:val="0"/>
                <w:sz w:val="24"/>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《北京市大气污染防治条例》第一百二十条</w:t>
            </w:r>
          </w:p>
        </w:tc>
        <w:tc>
          <w:tcPr>
            <w:tcW w:w="2763" w:type="dxa"/>
            <w:shd w:val="clear" w:color="auto" w:fill="auto"/>
            <w:noWrap w:val="0"/>
            <w:vAlign w:val="center"/>
          </w:tcPr>
          <w:p w14:paraId="68697225">
            <w:pPr>
              <w:jc w:val="lef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1.通过说服教育、提示告诫、指导约谈等措施教育、引导、督促当事人依法依规开展相关活动</w:t>
            </w:r>
          </w:p>
          <w:p w14:paraId="7989CD7E">
            <w:pPr>
              <w:jc w:val="lef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2.拒不改正的，依法处罚</w:t>
            </w:r>
          </w:p>
          <w:p w14:paraId="7452B78F">
            <w:pPr>
              <w:jc w:val="left"/>
              <w:rPr>
                <w:rFonts w:hint="eastAsia" w:ascii="仿宋_GB2312" w:hAnsi="仿宋_GB2312" w:eastAsia="仿宋_GB2312" w:cs="仿宋_GB2312"/>
                <w:color w:val="000000" w:themeColor="text1"/>
                <w:kern w:val="2"/>
                <w:sz w:val="24"/>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3.再次违法的，依法处罚</w:t>
            </w:r>
          </w:p>
        </w:tc>
        <w:tc>
          <w:tcPr>
            <w:tcW w:w="971" w:type="dxa"/>
            <w:shd w:val="clear" w:color="auto" w:fill="auto"/>
            <w:noWrap w:val="0"/>
            <w:vAlign w:val="center"/>
          </w:tcPr>
          <w:p w14:paraId="7C2B0027">
            <w:pPr>
              <w:jc w:val="lef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市级,区级,街道及乡镇级</w:t>
            </w:r>
          </w:p>
          <w:p w14:paraId="12C5D298">
            <w:pPr>
              <w:ind w:left="-105" w:leftChars="-50" w:right="-105" w:rightChars="-50"/>
              <w:jc w:val="center"/>
              <w:rPr>
                <w:rFonts w:hint="eastAsia" w:ascii="仿宋_GB2312" w:hAnsi="仿宋_GB2312" w:eastAsia="仿宋_GB2312" w:cs="仿宋_GB2312"/>
                <w:color w:val="000000" w:themeColor="text1"/>
                <w:kern w:val="2"/>
                <w:sz w:val="24"/>
                <w:szCs w:val="22"/>
                <w:lang w:val="en-US" w:eastAsia="zh-CN" w:bidi="ar-SA"/>
                <w14:textFill>
                  <w14:solidFill>
                    <w14:schemeClr w14:val="tx1"/>
                  </w14:solidFill>
                </w14:textFill>
              </w:rPr>
            </w:pPr>
          </w:p>
        </w:tc>
      </w:tr>
    </w:tbl>
    <w:p w14:paraId="1AB77688"/>
    <w:p w14:paraId="1F4CB48E"/>
    <w:p w14:paraId="04EDAB0B"/>
    <w:p w14:paraId="533CA7E6">
      <w:pPr>
        <w:widowControl/>
        <w:shd w:val="clear" w:color="auto" w:fill="FFFFFF"/>
        <w:spacing w:line="560" w:lineRule="exact"/>
        <w:rPr>
          <w:rFonts w:ascii="仿宋_GB2312" w:hAnsi="Times New Roman" w:eastAsia="仿宋_GB2312"/>
          <w:snapToGrid w:val="0"/>
          <w:kern w:val="0"/>
          <w:sz w:val="32"/>
          <w:szCs w:val="32"/>
        </w:rPr>
      </w:pPr>
    </w:p>
    <w:sectPr>
      <w:headerReference r:id="rId3" w:type="default"/>
      <w:footerReference r:id="rId4" w:type="default"/>
      <w:pgSz w:w="16839" w:h="11907" w:orient="landscape"/>
      <w:pgMar w:top="1587" w:right="2098" w:bottom="1474" w:left="1984"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微软雅黑">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4A9DD">
    <w:pPr>
      <w:pStyle w:val="9"/>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888F3">
                          <w:pPr>
                            <w:pStyle w:val="9"/>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93888F3">
                    <w:pPr>
                      <w:pStyle w:val="9"/>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3632A">
    <w:pPr>
      <w:pStyle w:val="10"/>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zYjNkMDgxOTA2ZjQyNGZhYzNkYTU5OTZkOTNjMWEifQ=="/>
  </w:docVars>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93F130B"/>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DE8892"/>
    <w:rsid w:val="3DFF3833"/>
    <w:rsid w:val="3EEDB004"/>
    <w:rsid w:val="3EFD403E"/>
    <w:rsid w:val="3FCFF7A1"/>
    <w:rsid w:val="3FE5579F"/>
    <w:rsid w:val="417F150D"/>
    <w:rsid w:val="46D8132D"/>
    <w:rsid w:val="48677392"/>
    <w:rsid w:val="49773E04"/>
    <w:rsid w:val="49933C9D"/>
    <w:rsid w:val="4BDF36A8"/>
    <w:rsid w:val="4C843786"/>
    <w:rsid w:val="4DB76BB1"/>
    <w:rsid w:val="4F5EB6A9"/>
    <w:rsid w:val="4F6D3A04"/>
    <w:rsid w:val="51FF51CF"/>
    <w:rsid w:val="524B2647"/>
    <w:rsid w:val="52C16284"/>
    <w:rsid w:val="551E2129"/>
    <w:rsid w:val="561476D3"/>
    <w:rsid w:val="577CCA57"/>
    <w:rsid w:val="5A381B38"/>
    <w:rsid w:val="5D5A0DFE"/>
    <w:rsid w:val="5D5D58A0"/>
    <w:rsid w:val="5F630F1A"/>
    <w:rsid w:val="5FF35695"/>
    <w:rsid w:val="61BC5FAC"/>
    <w:rsid w:val="62811C83"/>
    <w:rsid w:val="636A59F9"/>
    <w:rsid w:val="63FF7916"/>
    <w:rsid w:val="653F2FC9"/>
    <w:rsid w:val="67034349"/>
    <w:rsid w:val="672B2BDA"/>
    <w:rsid w:val="677023A6"/>
    <w:rsid w:val="689A0C72"/>
    <w:rsid w:val="69147F20"/>
    <w:rsid w:val="6A28043D"/>
    <w:rsid w:val="6C5B64B9"/>
    <w:rsid w:val="6C5DCF0F"/>
    <w:rsid w:val="6D741DD2"/>
    <w:rsid w:val="6DEE99C9"/>
    <w:rsid w:val="6E0F3D80"/>
    <w:rsid w:val="6FFF59C2"/>
    <w:rsid w:val="71660CC4"/>
    <w:rsid w:val="71BC27C8"/>
    <w:rsid w:val="754F31CE"/>
    <w:rsid w:val="75AC4151"/>
    <w:rsid w:val="77FF397B"/>
    <w:rsid w:val="799561E4"/>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9BDDD61"/>
    <w:rsid w:val="BE7FAF86"/>
    <w:rsid w:val="BEFF63D2"/>
    <w:rsid w:val="BF9D5215"/>
    <w:rsid w:val="C52B3C43"/>
    <w:rsid w:val="C53E385B"/>
    <w:rsid w:val="C9EED341"/>
    <w:rsid w:val="D18F783F"/>
    <w:rsid w:val="D5F55720"/>
    <w:rsid w:val="D9FB70D8"/>
    <w:rsid w:val="DDEA24AC"/>
    <w:rsid w:val="DF7AAEBD"/>
    <w:rsid w:val="DF7F5F2F"/>
    <w:rsid w:val="E95E2097"/>
    <w:rsid w:val="EEDD29DD"/>
    <w:rsid w:val="EF3B95EA"/>
    <w:rsid w:val="EF6F5BC9"/>
    <w:rsid w:val="F3F927A2"/>
    <w:rsid w:val="F79F18E8"/>
    <w:rsid w:val="FBCD4410"/>
    <w:rsid w:val="FBEB47E5"/>
    <w:rsid w:val="FDECAA3F"/>
    <w:rsid w:val="FE78286A"/>
    <w:rsid w:val="FEBE1D7A"/>
    <w:rsid w:val="FFA2F7E2"/>
    <w:rsid w:val="FFBB2717"/>
    <w:rsid w:val="FFBFF959"/>
    <w:rsid w:val="FFF76FCC"/>
    <w:rsid w:val="FFFD37F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jc w:val="center"/>
      <w:outlineLvl w:val="0"/>
    </w:pPr>
    <w:rPr>
      <w:rFonts w:eastAsia="方正小标宋简体"/>
      <w:b/>
      <w:bCs/>
      <w:kern w:val="44"/>
      <w:sz w:val="36"/>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unhideWhenUsed/>
    <w:qFormat/>
    <w:uiPriority w:val="99"/>
    <w:pPr>
      <w:jc w:val="left"/>
    </w:pPr>
  </w:style>
  <w:style w:type="paragraph" w:styleId="4">
    <w:name w:val="Body Text"/>
    <w:basedOn w:val="1"/>
    <w:next w:val="5"/>
    <w:qFormat/>
    <w:uiPriority w:val="0"/>
    <w:pPr>
      <w:jc w:val="center"/>
    </w:pPr>
    <w:rPr>
      <w:rFonts w:ascii="方正小标宋_GBK" w:hAnsi="Times New Roman" w:eastAsia="方正小标宋_GBK" w:cs="Times New Roman"/>
      <w:b/>
      <w:bCs/>
      <w:sz w:val="36"/>
      <w:szCs w:val="24"/>
    </w:rPr>
  </w:style>
  <w:style w:type="paragraph" w:customStyle="1" w:styleId="5">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Date"/>
    <w:basedOn w:val="1"/>
    <w:next w:val="1"/>
    <w:link w:val="19"/>
    <w:qFormat/>
    <w:uiPriority w:val="0"/>
    <w:pPr>
      <w:ind w:left="100" w:leftChars="2500"/>
    </w:pPr>
    <w:rPr>
      <w:rFonts w:ascii="Times New Roman" w:hAnsi="Times New Roman"/>
      <w:szCs w:val="24"/>
    </w:rPr>
  </w:style>
  <w:style w:type="paragraph" w:styleId="8">
    <w:name w:val="Balloon Text"/>
    <w:basedOn w:val="1"/>
    <w:link w:val="20"/>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annotation subject"/>
    <w:basedOn w:val="3"/>
    <w:next w:val="3"/>
    <w:link w:val="23"/>
    <w:semiHidden/>
    <w:unhideWhenUsed/>
    <w:qFormat/>
    <w:uiPriority w:val="99"/>
    <w:rPr>
      <w:b/>
      <w:bCs/>
    </w:rPr>
  </w:style>
  <w:style w:type="paragraph" w:styleId="12">
    <w:name w:val="Body Text First Indent 2"/>
    <w:basedOn w:val="6"/>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semiHidden/>
    <w:unhideWhenUsed/>
    <w:qFormat/>
    <w:uiPriority w:val="99"/>
    <w:rPr>
      <w:sz w:val="21"/>
      <w:szCs w:val="21"/>
    </w:rPr>
  </w:style>
  <w:style w:type="character" w:customStyle="1" w:styleId="17">
    <w:name w:val="页眉 Char"/>
    <w:basedOn w:val="15"/>
    <w:link w:val="10"/>
    <w:qFormat/>
    <w:uiPriority w:val="99"/>
    <w:rPr>
      <w:sz w:val="18"/>
      <w:szCs w:val="18"/>
    </w:rPr>
  </w:style>
  <w:style w:type="character" w:customStyle="1" w:styleId="18">
    <w:name w:val="页脚 Char"/>
    <w:basedOn w:val="15"/>
    <w:link w:val="9"/>
    <w:qFormat/>
    <w:uiPriority w:val="99"/>
    <w:rPr>
      <w:sz w:val="18"/>
      <w:szCs w:val="18"/>
    </w:rPr>
  </w:style>
  <w:style w:type="character" w:customStyle="1" w:styleId="19">
    <w:name w:val="日期 Char"/>
    <w:basedOn w:val="15"/>
    <w:link w:val="7"/>
    <w:qFormat/>
    <w:uiPriority w:val="0"/>
    <w:rPr>
      <w:rFonts w:ascii="Times New Roman" w:hAnsi="Times New Roman" w:eastAsia="宋体" w:cs="Times New Roman"/>
      <w:szCs w:val="24"/>
    </w:rPr>
  </w:style>
  <w:style w:type="character" w:customStyle="1" w:styleId="20">
    <w:name w:val="批注框文本 Char"/>
    <w:basedOn w:val="15"/>
    <w:link w:val="8"/>
    <w:semiHidden/>
    <w:qFormat/>
    <w:uiPriority w:val="99"/>
    <w:rPr>
      <w:rFonts w:ascii="Calibri" w:hAnsi="Calibri" w:eastAsia="宋体" w:cs="Times New Roman"/>
      <w:sz w:val="18"/>
      <w:szCs w:val="18"/>
    </w:rPr>
  </w:style>
  <w:style w:type="paragraph" w:styleId="21">
    <w:name w:val="List Paragraph"/>
    <w:basedOn w:val="1"/>
    <w:qFormat/>
    <w:uiPriority w:val="99"/>
    <w:pPr>
      <w:ind w:firstLine="420" w:firstLineChars="200"/>
    </w:pPr>
  </w:style>
  <w:style w:type="character" w:customStyle="1" w:styleId="22">
    <w:name w:val="批注文字 Char"/>
    <w:basedOn w:val="15"/>
    <w:link w:val="3"/>
    <w:semiHidden/>
    <w:qFormat/>
    <w:uiPriority w:val="99"/>
    <w:rPr>
      <w:rFonts w:ascii="Calibri" w:hAnsi="Calibri"/>
      <w:kern w:val="2"/>
      <w:sz w:val="21"/>
      <w:szCs w:val="22"/>
    </w:rPr>
  </w:style>
  <w:style w:type="character" w:customStyle="1" w:styleId="23">
    <w:name w:val="批注主题 Char"/>
    <w:basedOn w:val="22"/>
    <w:link w:val="11"/>
    <w:semiHidden/>
    <w:qFormat/>
    <w:uiPriority w:val="99"/>
    <w:rPr>
      <w:rFonts w:ascii="Calibri" w:hAnsi="Calibri"/>
      <w:b/>
      <w:bCs/>
      <w:kern w:val="2"/>
      <w:sz w:val="21"/>
      <w:szCs w:val="22"/>
    </w:rPr>
  </w:style>
  <w:style w:type="paragraph" w:customStyle="1" w:styleId="24">
    <w:name w:val="修订1"/>
    <w:hidden/>
    <w:semiHidden/>
    <w:qFormat/>
    <w:uiPriority w:val="99"/>
    <w:rPr>
      <w:rFonts w:ascii="Calibri" w:hAnsi="Calibri" w:eastAsia="宋体" w:cs="Times New Roman"/>
      <w:kern w:val="2"/>
      <w:sz w:val="21"/>
      <w:szCs w:val="22"/>
      <w:lang w:val="en-US" w:eastAsia="zh-CN" w:bidi="ar-SA"/>
    </w:rPr>
  </w:style>
  <w:style w:type="character" w:customStyle="1" w:styleId="25">
    <w:name w:val="font01"/>
    <w:basedOn w:val="15"/>
    <w:qFormat/>
    <w:uiPriority w:val="0"/>
    <w:rPr>
      <w:rFonts w:hint="eastAsia" w:ascii="宋体" w:hAnsi="宋体" w:eastAsia="宋体" w:cs="宋体"/>
      <w:color w:val="000000"/>
      <w:sz w:val="24"/>
      <w:szCs w:val="24"/>
      <w:u w:val="none"/>
    </w:rPr>
  </w:style>
  <w:style w:type="character" w:customStyle="1" w:styleId="26">
    <w:name w:val="font2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39550</Words>
  <Characters>40920</Characters>
  <Lines>35</Lines>
  <Paragraphs>9</Paragraphs>
  <TotalTime>17</TotalTime>
  <ScaleCrop>false</ScaleCrop>
  <LinksUpToDate>false</LinksUpToDate>
  <CharactersWithSpaces>41958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2021-01-07T03:02:00Z</dcterms:created>
  <dc:creator>李光旭</dc:creator>
  <cp:lastModifiedBy>user</cp:lastModifiedBy>
  <cp:lastPrinted>2021-01-07T03:33:00Z</cp:lastPrinted>
  <dcterms:modified xsi:type="dcterms:W3CDTF">2026-06-09T10:08:44Z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81C36FC816403B21AC75276AF2E3CDCE_43</vt:lpwstr>
  </property>
</Properties>
</file>