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jc w:val="center"/>
        <w:textAlignment w:val="baseline"/>
        <w:rPr>
          <w:rFonts w:hint="eastAsia" w:ascii="宋体" w:hAnsi="宋体" w:eastAsia="宋体" w:cs="宋体"/>
          <w:i w:val="0"/>
          <w:iCs w:val="0"/>
          <w:caps w:val="0"/>
          <w:color w:val="404040"/>
          <w:spacing w:val="0"/>
          <w:sz w:val="21"/>
          <w:szCs w:val="21"/>
        </w:rPr>
      </w:pPr>
      <w:bookmarkStart w:id="0" w:name="_GoBack"/>
      <w:r>
        <w:rPr>
          <w:rFonts w:hint="eastAsia" w:ascii="宋体" w:hAnsi="宋体" w:eastAsia="宋体" w:cs="宋体"/>
          <w:i w:val="0"/>
          <w:iCs w:val="0"/>
          <w:caps w:val="0"/>
          <w:color w:val="404040"/>
          <w:spacing w:val="0"/>
          <w:sz w:val="21"/>
          <w:szCs w:val="21"/>
          <w:bdr w:val="none" w:color="auto" w:sz="0" w:space="0"/>
          <w:shd w:val="clear" w:fill="FFFFFF"/>
          <w:vertAlign w:val="baseline"/>
          <w:lang w:eastAsia="zh-CN"/>
        </w:rPr>
        <w:t>西城</w:t>
      </w:r>
      <w:r>
        <w:rPr>
          <w:rFonts w:hint="eastAsia" w:ascii="宋体" w:hAnsi="宋体" w:eastAsia="宋体" w:cs="宋体"/>
          <w:i w:val="0"/>
          <w:iCs w:val="0"/>
          <w:caps w:val="0"/>
          <w:color w:val="404040"/>
          <w:spacing w:val="0"/>
          <w:sz w:val="21"/>
          <w:szCs w:val="21"/>
          <w:bdr w:val="none" w:color="auto" w:sz="0" w:space="0"/>
          <w:shd w:val="clear" w:fill="FFFFFF"/>
          <w:vertAlign w:val="baseline"/>
        </w:rPr>
        <w:t>区发展和改革委员会行政职权运行责任清单</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jc w:val="center"/>
        <w:textAlignment w:val="baseline"/>
        <w:rPr>
          <w:rFonts w:hint="eastAsia" w:ascii="宋体" w:hAnsi="宋体" w:eastAsia="宋体" w:cs="宋体"/>
          <w:i w:val="0"/>
          <w:iCs w:val="0"/>
          <w:caps w:val="0"/>
          <w:color w:val="404040"/>
          <w:spacing w:val="0"/>
          <w:sz w:val="21"/>
          <w:szCs w:val="21"/>
        </w:rPr>
      </w:pPr>
      <w:r>
        <w:rPr>
          <w:rFonts w:hint="eastAsia" w:ascii="宋体" w:hAnsi="宋体" w:eastAsia="宋体" w:cs="宋体"/>
          <w:i w:val="0"/>
          <w:iCs w:val="0"/>
          <w:caps w:val="0"/>
          <w:color w:val="404040"/>
          <w:spacing w:val="0"/>
          <w:sz w:val="21"/>
          <w:szCs w:val="21"/>
          <w:bdr w:val="none" w:color="auto" w:sz="0" w:space="0"/>
          <w:shd w:val="clear" w:fill="FFFFFF"/>
          <w:vertAlign w:val="baseline"/>
        </w:rPr>
        <w:t>（</w:t>
      </w:r>
      <w:r>
        <w:rPr>
          <w:rFonts w:hint="eastAsia" w:ascii="宋体" w:hAnsi="宋体" w:eastAsia="宋体" w:cs="宋体"/>
          <w:i w:val="0"/>
          <w:iCs w:val="0"/>
          <w:caps w:val="0"/>
          <w:color w:val="000000"/>
          <w:spacing w:val="0"/>
          <w:sz w:val="21"/>
          <w:szCs w:val="21"/>
          <w:bdr w:val="none" w:color="auto" w:sz="0" w:space="0"/>
          <w:shd w:val="clear" w:fill="FFFFFF"/>
          <w:vertAlign w:val="baseline"/>
        </w:rPr>
        <w:t>通用责任清单</w:t>
      </w:r>
      <w:r>
        <w:rPr>
          <w:rFonts w:hint="eastAsia" w:ascii="宋体" w:hAnsi="宋体" w:eastAsia="宋体" w:cs="宋体"/>
          <w:i w:val="0"/>
          <w:iCs w:val="0"/>
          <w:caps w:val="0"/>
          <w:color w:val="404040"/>
          <w:spacing w:val="0"/>
          <w:sz w:val="21"/>
          <w:szCs w:val="21"/>
          <w:bdr w:val="none" w:color="auto" w:sz="0" w:space="0"/>
          <w:shd w:val="clear" w:fill="FFFFFF"/>
          <w:vertAlign w:val="baseline"/>
        </w:rPr>
        <w:t>）</w:t>
      </w:r>
    </w:p>
    <w:tbl>
      <w:tblPr>
        <w:tblW w:w="90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775"/>
        <w:gridCol w:w="1092"/>
        <w:gridCol w:w="71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9030" w:type="dxa"/>
            <w:gridSpan w:val="3"/>
            <w:tcBorders>
              <w:top w:val="outset" w:color="auto" w:sz="8" w:space="0"/>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一、行政许可类行政职权运行通用责任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77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序号</w:t>
            </w:r>
          </w:p>
        </w:tc>
        <w:tc>
          <w:tcPr>
            <w:tcW w:w="1092" w:type="dxa"/>
            <w:tcBorders>
              <w:top w:val="outset" w:color="auto" w:sz="8" w:space="0"/>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运行环节</w:t>
            </w:r>
          </w:p>
        </w:tc>
        <w:tc>
          <w:tcPr>
            <w:tcW w:w="7163" w:type="dxa"/>
            <w:tcBorders>
              <w:top w:val="outset" w:color="auto" w:sz="8" w:space="0"/>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77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w:t>
            </w:r>
          </w:p>
        </w:tc>
        <w:tc>
          <w:tcPr>
            <w:tcW w:w="1092" w:type="dxa"/>
            <w:vMerge w:val="restart"/>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b/>
                <w:bCs/>
                <w:i w:val="0"/>
                <w:iCs w:val="0"/>
                <w:caps w:val="0"/>
                <w:color w:val="404040"/>
                <w:spacing w:val="0"/>
                <w:sz w:val="21"/>
                <w:szCs w:val="21"/>
                <w:bdr w:val="none" w:color="auto" w:sz="0" w:space="0"/>
                <w:vertAlign w:val="baseline"/>
              </w:rPr>
              <w:t>（一）受理</w:t>
            </w:r>
          </w:p>
        </w:tc>
        <w:tc>
          <w:tcPr>
            <w:tcW w:w="716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接收申请人提交的材料。若申请人提交的申请材料不齐全、不符合法定形式，应当一次性告知申请人必须补正的全部内容。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77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2</w:t>
            </w:r>
          </w:p>
        </w:tc>
        <w:tc>
          <w:tcPr>
            <w:tcW w:w="1092"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6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受理或者不予受理行政许可申请，应当出具加盖行政机关专用印章和注明日期的书面凭证。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77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3</w:t>
            </w:r>
          </w:p>
        </w:tc>
        <w:tc>
          <w:tcPr>
            <w:tcW w:w="1092"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6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依法说明不受理行政许可申请或者不予行政许可的理由。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77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4</w:t>
            </w:r>
          </w:p>
        </w:tc>
        <w:tc>
          <w:tcPr>
            <w:tcW w:w="1092" w:type="dxa"/>
            <w:vMerge w:val="restart"/>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b/>
                <w:bCs/>
                <w:i w:val="0"/>
                <w:iCs w:val="0"/>
                <w:caps w:val="0"/>
                <w:color w:val="404040"/>
                <w:spacing w:val="0"/>
                <w:sz w:val="21"/>
                <w:szCs w:val="21"/>
                <w:bdr w:val="none" w:color="auto" w:sz="0" w:space="0"/>
                <w:vertAlign w:val="baseline"/>
              </w:rPr>
              <w:t>（二）审查</w:t>
            </w:r>
          </w:p>
        </w:tc>
        <w:tc>
          <w:tcPr>
            <w:tcW w:w="716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申请人提交的申请材料齐全、符合法定形式，能够当场作出决定的，当场作出书面的行政许可决定。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77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5</w:t>
            </w:r>
          </w:p>
        </w:tc>
        <w:tc>
          <w:tcPr>
            <w:tcW w:w="1092"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6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根据法定条件和程序，需要对申请材料的实质内容进行核实的，行政机关应当指派2名以上工作人员进行核查。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77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6</w:t>
            </w:r>
          </w:p>
        </w:tc>
        <w:tc>
          <w:tcPr>
            <w:tcW w:w="1092"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6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需依法举行听证的应当依法举行听证。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77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7</w:t>
            </w:r>
          </w:p>
        </w:tc>
        <w:tc>
          <w:tcPr>
            <w:tcW w:w="1092" w:type="dxa"/>
            <w:vMerge w:val="restart"/>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b/>
                <w:bCs/>
                <w:i w:val="0"/>
                <w:iCs w:val="0"/>
                <w:caps w:val="0"/>
                <w:color w:val="404040"/>
                <w:spacing w:val="0"/>
                <w:sz w:val="21"/>
                <w:szCs w:val="21"/>
                <w:bdr w:val="none" w:color="auto" w:sz="0" w:space="0"/>
                <w:vertAlign w:val="baseline"/>
              </w:rPr>
              <w:t>（三）决定</w:t>
            </w:r>
          </w:p>
        </w:tc>
        <w:tc>
          <w:tcPr>
            <w:tcW w:w="716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对符合法定条件的申请人应当在法定职权范围和期限内尽快作出准予行政许可的决定。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77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8</w:t>
            </w:r>
          </w:p>
        </w:tc>
        <w:tc>
          <w:tcPr>
            <w:tcW w:w="1092"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6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依法根据招标、拍卖结果或者考试成绩择优作出准予行政许可的决定。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77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9</w:t>
            </w:r>
          </w:p>
        </w:tc>
        <w:tc>
          <w:tcPr>
            <w:tcW w:w="1092"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6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依法作出不予行政许可的书面决定的，应当说明理由，并告知申请人享有依法申请行政复议或者提起行政诉讼的权利。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77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10</w:t>
            </w:r>
          </w:p>
        </w:tc>
        <w:tc>
          <w:tcPr>
            <w:tcW w:w="1092"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6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按法定项目和标准予以收费。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77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11</w:t>
            </w:r>
          </w:p>
        </w:tc>
        <w:tc>
          <w:tcPr>
            <w:tcW w:w="1092"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6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作出的准予行政许可决定，应当予以公开，公众有权查阅。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77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12</w:t>
            </w:r>
          </w:p>
        </w:tc>
        <w:tc>
          <w:tcPr>
            <w:tcW w:w="1092" w:type="dxa"/>
            <w:vMerge w:val="restart"/>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b/>
                <w:bCs/>
                <w:i w:val="0"/>
                <w:iCs w:val="0"/>
                <w:caps w:val="0"/>
                <w:color w:val="404040"/>
                <w:spacing w:val="0"/>
                <w:sz w:val="21"/>
                <w:szCs w:val="21"/>
                <w:bdr w:val="none" w:color="auto" w:sz="0" w:space="0"/>
                <w:vertAlign w:val="baseline"/>
              </w:rPr>
              <w:t>（四）送达</w:t>
            </w:r>
          </w:p>
        </w:tc>
        <w:tc>
          <w:tcPr>
            <w:tcW w:w="716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送达行政执法文书应当有送达回证，受送达人在送达回证上的签收日期为送达日期。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77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13</w:t>
            </w:r>
          </w:p>
        </w:tc>
        <w:tc>
          <w:tcPr>
            <w:tcW w:w="1092"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6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送达程序参照民事诉讼法有关规定执行。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77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14</w:t>
            </w:r>
          </w:p>
        </w:tc>
        <w:tc>
          <w:tcPr>
            <w:tcW w:w="1092" w:type="dxa"/>
            <w:vMerge w:val="restart"/>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b/>
                <w:bCs/>
                <w:i w:val="0"/>
                <w:iCs w:val="0"/>
                <w:caps w:val="0"/>
                <w:color w:val="404040"/>
                <w:spacing w:val="0"/>
                <w:sz w:val="21"/>
                <w:szCs w:val="21"/>
                <w:bdr w:val="none" w:color="auto" w:sz="0" w:space="0"/>
                <w:vertAlign w:val="baseline"/>
              </w:rPr>
              <w:t>（五）事后监管</w:t>
            </w:r>
          </w:p>
        </w:tc>
        <w:tc>
          <w:tcPr>
            <w:tcW w:w="716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建立健全监督制度，通过核查反映被许可人从事行政许可事项活动情况的有关材料，履行监督责任。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77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15</w:t>
            </w:r>
          </w:p>
        </w:tc>
        <w:tc>
          <w:tcPr>
            <w:tcW w:w="1092"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6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建立随机抽查制度，对被许可人生产经营的产品依法进行抽样检查、检验、检测，对其生产经营场所依法进行实地检查。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77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16</w:t>
            </w:r>
          </w:p>
        </w:tc>
        <w:tc>
          <w:tcPr>
            <w:tcW w:w="1092" w:type="dxa"/>
            <w:vMerge w:val="restart"/>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6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根据法律、行政法规的规定，对直接关系公共安全、人身健康、生命财产安全的重要设备、设施进行定期检验。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77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17</w:t>
            </w:r>
          </w:p>
        </w:tc>
        <w:tc>
          <w:tcPr>
            <w:tcW w:w="1092"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6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实施监督检查时，应当将监督检查的情况和处理结果予以记录，由监督检查人员签字后归档。公众有权查阅监督检查记录。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77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18</w:t>
            </w:r>
          </w:p>
        </w:tc>
        <w:tc>
          <w:tcPr>
            <w:tcW w:w="1092"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6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实施监督检查，不得妨碍被许可人正常的生产经营活动，不得索取或收受被许可人的财物，不得谋取其他利益。</w:t>
            </w:r>
          </w:p>
        </w:tc>
      </w:tr>
    </w:tbl>
    <w:p>
      <w:pPr>
        <w:rPr>
          <w:vanish/>
          <w:sz w:val="24"/>
          <w:szCs w:val="24"/>
        </w:rPr>
      </w:pPr>
    </w:p>
    <w:tbl>
      <w:tblPr>
        <w:tblW w:w="899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713"/>
        <w:gridCol w:w="1095"/>
        <w:gridCol w:w="71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8993" w:type="dxa"/>
            <w:gridSpan w:val="3"/>
            <w:tcBorders>
              <w:top w:val="single" w:color="auto" w:sz="8" w:space="0"/>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二、行政处罚类行政职权运行通用责任清单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713" w:type="dxa"/>
            <w:tcBorders>
              <w:top w:val="nil"/>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序号</w:t>
            </w:r>
          </w:p>
        </w:tc>
        <w:tc>
          <w:tcPr>
            <w:tcW w:w="1095" w:type="dxa"/>
            <w:tcBorders>
              <w:top w:val="outset" w:color="auto" w:sz="8" w:space="0"/>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运行环节</w:t>
            </w:r>
          </w:p>
        </w:tc>
        <w:tc>
          <w:tcPr>
            <w:tcW w:w="7185" w:type="dxa"/>
            <w:tcBorders>
              <w:top w:val="outset" w:color="auto" w:sz="8" w:space="0"/>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713" w:type="dxa"/>
            <w:tcBorders>
              <w:top w:val="nil"/>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w:t>
            </w:r>
          </w:p>
        </w:tc>
        <w:tc>
          <w:tcPr>
            <w:tcW w:w="109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b/>
                <w:bCs/>
                <w:i w:val="0"/>
                <w:iCs w:val="0"/>
                <w:caps w:val="0"/>
                <w:color w:val="404040"/>
                <w:spacing w:val="0"/>
                <w:sz w:val="21"/>
                <w:szCs w:val="21"/>
                <w:bdr w:val="none" w:color="auto" w:sz="0" w:space="0"/>
                <w:vertAlign w:val="baseline"/>
              </w:rPr>
              <w:t>（一）立案</w:t>
            </w:r>
          </w:p>
        </w:tc>
        <w:tc>
          <w:tcPr>
            <w:tcW w:w="718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对符合立案条件的案件及时立案。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713" w:type="dxa"/>
            <w:tcBorders>
              <w:top w:val="nil"/>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2</w:t>
            </w:r>
          </w:p>
        </w:tc>
        <w:tc>
          <w:tcPr>
            <w:tcW w:w="1095" w:type="dxa"/>
            <w:vMerge w:val="restart"/>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b/>
                <w:bCs/>
                <w:i w:val="0"/>
                <w:iCs w:val="0"/>
                <w:caps w:val="0"/>
                <w:color w:val="404040"/>
                <w:spacing w:val="0"/>
                <w:sz w:val="21"/>
                <w:szCs w:val="21"/>
                <w:bdr w:val="none" w:color="auto" w:sz="0" w:space="0"/>
                <w:vertAlign w:val="baseline"/>
              </w:rPr>
              <w:t>（二）调查</w:t>
            </w:r>
          </w:p>
        </w:tc>
        <w:tc>
          <w:tcPr>
            <w:tcW w:w="718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出示执法身份证件，表明执法身份。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713" w:type="dxa"/>
            <w:tcBorders>
              <w:top w:val="nil"/>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3</w:t>
            </w:r>
          </w:p>
        </w:tc>
        <w:tc>
          <w:tcPr>
            <w:tcW w:w="1095"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8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应当有2名以上（含2名）行政执法人员共同参加调查取证。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713" w:type="dxa"/>
            <w:tcBorders>
              <w:top w:val="nil"/>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4</w:t>
            </w:r>
          </w:p>
        </w:tc>
        <w:tc>
          <w:tcPr>
            <w:tcW w:w="1095"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8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依法调查和保存证据。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713" w:type="dxa"/>
            <w:tcBorders>
              <w:top w:val="nil"/>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5</w:t>
            </w:r>
          </w:p>
        </w:tc>
        <w:tc>
          <w:tcPr>
            <w:tcW w:w="1095"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8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适用简易程序的，当场制作行政处罚决定书并当场交付，在事后难以执行及特殊情况下应当当场收缴罚款。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713" w:type="dxa"/>
            <w:tcBorders>
              <w:top w:val="nil"/>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6</w:t>
            </w:r>
          </w:p>
        </w:tc>
        <w:tc>
          <w:tcPr>
            <w:tcW w:w="1095"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8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适用简易程序的，执法人员当场作出的行政处罚决定应当报所属行政机关备案。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713" w:type="dxa"/>
            <w:tcBorders>
              <w:top w:val="nil"/>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7</w:t>
            </w:r>
          </w:p>
        </w:tc>
        <w:tc>
          <w:tcPr>
            <w:tcW w:w="1095" w:type="dxa"/>
            <w:vMerge w:val="restart"/>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b/>
                <w:bCs/>
                <w:i w:val="0"/>
                <w:iCs w:val="0"/>
                <w:caps w:val="0"/>
                <w:color w:val="404040"/>
                <w:spacing w:val="0"/>
                <w:sz w:val="21"/>
                <w:szCs w:val="21"/>
                <w:bdr w:val="none" w:color="auto" w:sz="0" w:space="0"/>
                <w:vertAlign w:val="baseline"/>
              </w:rPr>
              <w:t>（三）审查</w:t>
            </w:r>
          </w:p>
        </w:tc>
        <w:tc>
          <w:tcPr>
            <w:tcW w:w="718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审理案件调查报告，对案件违法事实、证据、调查取证程序、法律适用、处罚种类和幅度、当事人陈述和申辩理由等方面进行审查，提出处理意见（主要证据不足时，以适当的方式补充调查）。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713" w:type="dxa"/>
            <w:tcBorders>
              <w:top w:val="nil"/>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8</w:t>
            </w:r>
          </w:p>
        </w:tc>
        <w:tc>
          <w:tcPr>
            <w:tcW w:w="1095"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8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构成犯罪的，移送司法机关依法追究刑事责任。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713" w:type="dxa"/>
            <w:tcBorders>
              <w:top w:val="nil"/>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9</w:t>
            </w:r>
          </w:p>
        </w:tc>
        <w:tc>
          <w:tcPr>
            <w:tcW w:w="1095" w:type="dxa"/>
            <w:vMerge w:val="restart"/>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b/>
                <w:bCs/>
                <w:i w:val="0"/>
                <w:iCs w:val="0"/>
                <w:caps w:val="0"/>
                <w:color w:val="404040"/>
                <w:spacing w:val="0"/>
                <w:sz w:val="21"/>
                <w:szCs w:val="21"/>
                <w:bdr w:val="none" w:color="auto" w:sz="0" w:space="0"/>
                <w:vertAlign w:val="baseline"/>
              </w:rPr>
              <w:t>（四）告知</w:t>
            </w:r>
          </w:p>
        </w:tc>
        <w:tc>
          <w:tcPr>
            <w:tcW w:w="718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在作出行政处罚前，应告知当事人作出行政处罚决定的事实、理由及依据，并告知当事人依法享有的权利。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713" w:type="dxa"/>
            <w:tcBorders>
              <w:top w:val="nil"/>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10</w:t>
            </w:r>
          </w:p>
        </w:tc>
        <w:tc>
          <w:tcPr>
            <w:tcW w:w="1095"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8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依法告知当事人有举行听证的权利，当事人要求听证的，应当依法组织听证。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713" w:type="dxa"/>
            <w:tcBorders>
              <w:top w:val="nil"/>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11</w:t>
            </w:r>
          </w:p>
        </w:tc>
        <w:tc>
          <w:tcPr>
            <w:tcW w:w="1095" w:type="dxa"/>
            <w:vMerge w:val="restart"/>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b/>
                <w:bCs/>
                <w:i w:val="0"/>
                <w:iCs w:val="0"/>
                <w:caps w:val="0"/>
                <w:color w:val="404040"/>
                <w:spacing w:val="0"/>
                <w:sz w:val="21"/>
                <w:szCs w:val="21"/>
                <w:bdr w:val="none" w:color="auto" w:sz="0" w:space="0"/>
                <w:vertAlign w:val="baseline"/>
              </w:rPr>
              <w:t>（五）决定</w:t>
            </w:r>
          </w:p>
        </w:tc>
        <w:tc>
          <w:tcPr>
            <w:tcW w:w="718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充分听取当事人的意见，对当事人提出的事实、理由和证据，应当进行复核；当事人提出的事实、理由或者证据成立的，应当采纳，不得因当事人申辩而加重处罚。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713" w:type="dxa"/>
            <w:tcBorders>
              <w:top w:val="nil"/>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12</w:t>
            </w:r>
          </w:p>
        </w:tc>
        <w:tc>
          <w:tcPr>
            <w:tcW w:w="1095"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8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对情节复杂或者重大违法行为给予较重的行政处罚，应当集体讨论决定。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713" w:type="dxa"/>
            <w:tcBorders>
              <w:top w:val="nil"/>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13</w:t>
            </w:r>
          </w:p>
        </w:tc>
        <w:tc>
          <w:tcPr>
            <w:tcW w:w="1095"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8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依法决定给予行政处罚，制作行政处罚决定书，并在处罚决定书中告知对处罚决定不服的可以依法申请行政复议或者提起行政诉讼。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713" w:type="dxa"/>
            <w:tcBorders>
              <w:top w:val="nil"/>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14</w:t>
            </w:r>
          </w:p>
        </w:tc>
        <w:tc>
          <w:tcPr>
            <w:tcW w:w="1095" w:type="dxa"/>
            <w:vMerge w:val="restart"/>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8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对当事人的同一个违法行为，不得给予两次以上罚款的行政处罚。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713" w:type="dxa"/>
            <w:tcBorders>
              <w:top w:val="nil"/>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15</w:t>
            </w:r>
          </w:p>
        </w:tc>
        <w:tc>
          <w:tcPr>
            <w:tcW w:w="1095"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8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实施行政处罚时，应当责令当事人改正或者限期改正违法行为。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713" w:type="dxa"/>
            <w:tcBorders>
              <w:top w:val="nil"/>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16</w:t>
            </w:r>
          </w:p>
        </w:tc>
        <w:tc>
          <w:tcPr>
            <w:tcW w:w="109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b/>
                <w:bCs/>
                <w:i w:val="0"/>
                <w:iCs w:val="0"/>
                <w:caps w:val="0"/>
                <w:color w:val="404040"/>
                <w:spacing w:val="0"/>
                <w:sz w:val="21"/>
                <w:szCs w:val="21"/>
                <w:bdr w:val="none" w:color="auto" w:sz="0" w:space="0"/>
                <w:vertAlign w:val="baseline"/>
              </w:rPr>
              <w:t>（六）送达</w:t>
            </w:r>
          </w:p>
        </w:tc>
        <w:tc>
          <w:tcPr>
            <w:tcW w:w="718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行政处罚决定书应当在宣告后当场交付当事人；当事人不在场的，行政机关应当在7日内依照民事诉讼法的有关规定，将行政处罚决定书送达当事人。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713" w:type="dxa"/>
            <w:tcBorders>
              <w:top w:val="nil"/>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17</w:t>
            </w:r>
          </w:p>
        </w:tc>
        <w:tc>
          <w:tcPr>
            <w:tcW w:w="1095" w:type="dxa"/>
            <w:vMerge w:val="restart"/>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b/>
                <w:bCs/>
                <w:i w:val="0"/>
                <w:iCs w:val="0"/>
                <w:caps w:val="0"/>
                <w:color w:val="404040"/>
                <w:spacing w:val="0"/>
                <w:sz w:val="21"/>
                <w:szCs w:val="21"/>
                <w:bdr w:val="none" w:color="auto" w:sz="0" w:space="0"/>
                <w:vertAlign w:val="baseline"/>
              </w:rPr>
              <w:t>（七）执行</w:t>
            </w:r>
          </w:p>
        </w:tc>
        <w:tc>
          <w:tcPr>
            <w:tcW w:w="718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使用法定部门制发的罚款、没收财物单据进行罚款、没收财物等处罚。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713" w:type="dxa"/>
            <w:tcBorders>
              <w:top w:val="nil"/>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18</w:t>
            </w:r>
          </w:p>
        </w:tc>
        <w:tc>
          <w:tcPr>
            <w:tcW w:w="1095"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8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对当事人的同一个违法行为，不得给予两次以上罚款的行政处罚。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713" w:type="dxa"/>
            <w:tcBorders>
              <w:top w:val="nil"/>
              <w:left w:val="single" w:color="auto" w:sz="8" w:space="0"/>
              <w:bottom w:val="single"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19</w:t>
            </w:r>
          </w:p>
        </w:tc>
        <w:tc>
          <w:tcPr>
            <w:tcW w:w="1095"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718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实施行政处罚时，应当责令当事人改正或者限期改正违法行为。</w:t>
            </w:r>
          </w:p>
        </w:tc>
      </w:tr>
    </w:tbl>
    <w:p>
      <w:pPr>
        <w:rPr>
          <w:vanish/>
          <w:sz w:val="24"/>
          <w:szCs w:val="24"/>
        </w:rPr>
      </w:pPr>
    </w:p>
    <w:tbl>
      <w:tblPr>
        <w:tblW w:w="90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522"/>
        <w:gridCol w:w="1125"/>
        <w:gridCol w:w="63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9015" w:type="dxa"/>
            <w:gridSpan w:val="3"/>
            <w:tcBorders>
              <w:top w:val="single" w:color="auto" w:sz="8" w:space="0"/>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三、行政确认类行政职权运行通用责任清单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522" w:type="dxa"/>
            <w:tcBorders>
              <w:top w:val="nil"/>
              <w:left w:val="single" w:color="auto" w:sz="8" w:space="0"/>
              <w:bottom w:val="single"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序号</w:t>
            </w:r>
          </w:p>
        </w:tc>
        <w:tc>
          <w:tcPr>
            <w:tcW w:w="1125" w:type="dxa"/>
            <w:tcBorders>
              <w:top w:val="outset" w:color="auto" w:sz="8" w:space="0"/>
              <w:left w:val="nil"/>
              <w:bottom w:val="single"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运行环节</w:t>
            </w:r>
          </w:p>
        </w:tc>
        <w:tc>
          <w:tcPr>
            <w:tcW w:w="6368" w:type="dxa"/>
            <w:tcBorders>
              <w:top w:val="outset" w:color="auto" w:sz="8" w:space="0"/>
              <w:left w:val="nil"/>
              <w:bottom w:val="single"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522"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w:t>
            </w:r>
          </w:p>
        </w:tc>
        <w:tc>
          <w:tcPr>
            <w:tcW w:w="1125" w:type="dxa"/>
            <w:vMerge w:val="restart"/>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b/>
                <w:bCs/>
                <w:i w:val="0"/>
                <w:iCs w:val="0"/>
                <w:caps w:val="0"/>
                <w:color w:val="404040"/>
                <w:spacing w:val="0"/>
                <w:sz w:val="21"/>
                <w:szCs w:val="21"/>
                <w:bdr w:val="none" w:color="auto" w:sz="0" w:space="0"/>
                <w:vertAlign w:val="baseline"/>
              </w:rPr>
              <w:t>（一）受理</w:t>
            </w:r>
          </w:p>
        </w:tc>
        <w:tc>
          <w:tcPr>
            <w:tcW w:w="6368"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对符合确认条件的，当场受理。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522"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2</w:t>
            </w:r>
          </w:p>
        </w:tc>
        <w:tc>
          <w:tcPr>
            <w:tcW w:w="1125"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6368"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申请材料不齐全或者不符合法定形式的，应当一次性告知申请人需要补正的全部内容和合理的补正期限。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522"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3</w:t>
            </w:r>
          </w:p>
        </w:tc>
        <w:tc>
          <w:tcPr>
            <w:tcW w:w="1125"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6368"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对不符合受理条件的，应当书面告知办理人不予办理行政确认的理由和依据。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522"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4</w:t>
            </w:r>
          </w:p>
        </w:tc>
        <w:tc>
          <w:tcPr>
            <w:tcW w:w="1125" w:type="dxa"/>
            <w:vMerge w:val="restart"/>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b/>
                <w:bCs/>
                <w:i w:val="0"/>
                <w:iCs w:val="0"/>
                <w:caps w:val="0"/>
                <w:color w:val="404040"/>
                <w:spacing w:val="0"/>
                <w:sz w:val="21"/>
                <w:szCs w:val="21"/>
                <w:bdr w:val="none" w:color="auto" w:sz="0" w:space="0"/>
                <w:vertAlign w:val="baseline"/>
              </w:rPr>
              <w:t>（二）确认</w:t>
            </w:r>
          </w:p>
        </w:tc>
        <w:tc>
          <w:tcPr>
            <w:tcW w:w="6368"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在法定期限（承诺期限）内完成确认。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522"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5</w:t>
            </w:r>
          </w:p>
        </w:tc>
        <w:tc>
          <w:tcPr>
            <w:tcW w:w="1125"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6368"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严格按照流程图规定进行研究确认，不得提高确认标准、扩大确认范围等。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522"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6</w:t>
            </w:r>
          </w:p>
        </w:tc>
        <w:tc>
          <w:tcPr>
            <w:tcW w:w="1125"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6368"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按照一定的技术规范要求以书面形式作出决定，并发放确认文书。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522"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7</w:t>
            </w:r>
          </w:p>
        </w:tc>
        <w:tc>
          <w:tcPr>
            <w:tcW w:w="1125"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6368"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不符合确认要求的不予确认，并说明理由。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522"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8</w:t>
            </w:r>
          </w:p>
        </w:tc>
        <w:tc>
          <w:tcPr>
            <w:tcW w:w="112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b/>
                <w:bCs/>
                <w:i w:val="0"/>
                <w:iCs w:val="0"/>
                <w:caps w:val="0"/>
                <w:color w:val="404040"/>
                <w:spacing w:val="0"/>
                <w:sz w:val="21"/>
                <w:szCs w:val="21"/>
                <w:bdr w:val="none" w:color="auto" w:sz="0" w:space="0"/>
                <w:vertAlign w:val="baseline"/>
              </w:rPr>
              <w:t>（三）送达</w:t>
            </w:r>
          </w:p>
        </w:tc>
        <w:tc>
          <w:tcPr>
            <w:tcW w:w="6368"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送达程序参照民事诉讼法有关规定执行。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522"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9</w:t>
            </w:r>
          </w:p>
        </w:tc>
        <w:tc>
          <w:tcPr>
            <w:tcW w:w="1125"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b/>
                <w:bCs/>
                <w:i w:val="0"/>
                <w:iCs w:val="0"/>
                <w:caps w:val="0"/>
                <w:color w:val="404040"/>
                <w:spacing w:val="0"/>
                <w:sz w:val="21"/>
                <w:szCs w:val="21"/>
                <w:bdr w:val="none" w:color="auto" w:sz="0" w:space="0"/>
                <w:vertAlign w:val="baseline"/>
              </w:rPr>
              <w:t>（四）事后监管</w:t>
            </w:r>
          </w:p>
        </w:tc>
        <w:tc>
          <w:tcPr>
            <w:tcW w:w="6368"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建立健全事后监管制度，依法履行监督责任。</w:t>
            </w:r>
          </w:p>
        </w:tc>
      </w:tr>
    </w:tbl>
    <w:p>
      <w:pPr>
        <w:rPr>
          <w:vanish/>
          <w:sz w:val="24"/>
          <w:szCs w:val="24"/>
        </w:rPr>
      </w:pPr>
    </w:p>
    <w:tbl>
      <w:tblPr>
        <w:tblW w:w="863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317"/>
        <w:gridCol w:w="1110"/>
        <w:gridCol w:w="62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8633" w:type="dxa"/>
            <w:gridSpan w:val="3"/>
            <w:tcBorders>
              <w:top w:val="single" w:color="auto" w:sz="8" w:space="0"/>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四、行政奖励类行政职权运行通用责任清单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17" w:type="dxa"/>
            <w:tcBorders>
              <w:top w:val="nil"/>
              <w:left w:val="single" w:color="auto" w:sz="8" w:space="0"/>
              <w:bottom w:val="single"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序号</w:t>
            </w:r>
          </w:p>
        </w:tc>
        <w:tc>
          <w:tcPr>
            <w:tcW w:w="1110" w:type="dxa"/>
            <w:tcBorders>
              <w:top w:val="outset" w:color="auto" w:sz="8" w:space="0"/>
              <w:left w:val="nil"/>
              <w:bottom w:val="single"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运行环节</w:t>
            </w:r>
          </w:p>
        </w:tc>
        <w:tc>
          <w:tcPr>
            <w:tcW w:w="6206" w:type="dxa"/>
            <w:tcBorders>
              <w:top w:val="outset" w:color="auto" w:sz="8" w:space="0"/>
              <w:left w:val="nil"/>
              <w:bottom w:val="single"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17"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w:t>
            </w:r>
          </w:p>
        </w:tc>
        <w:tc>
          <w:tcPr>
            <w:tcW w:w="1110"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b/>
                <w:bCs/>
                <w:i w:val="0"/>
                <w:iCs w:val="0"/>
                <w:caps w:val="0"/>
                <w:color w:val="404040"/>
                <w:spacing w:val="0"/>
                <w:sz w:val="21"/>
                <w:szCs w:val="21"/>
                <w:bdr w:val="none" w:color="auto" w:sz="0" w:space="0"/>
                <w:vertAlign w:val="baseline"/>
              </w:rPr>
              <w:t>（一）制定方案</w:t>
            </w:r>
          </w:p>
        </w:tc>
        <w:tc>
          <w:tcPr>
            <w:tcW w:w="6206"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依法科学制定奖励方案，明确奖励条件、程序等内容。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17"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2</w:t>
            </w:r>
          </w:p>
        </w:tc>
        <w:tc>
          <w:tcPr>
            <w:tcW w:w="1110" w:type="dxa"/>
            <w:vMerge w:val="restart"/>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b/>
                <w:bCs/>
                <w:i w:val="0"/>
                <w:iCs w:val="0"/>
                <w:caps w:val="0"/>
                <w:color w:val="404040"/>
                <w:spacing w:val="0"/>
                <w:sz w:val="21"/>
                <w:szCs w:val="21"/>
                <w:bdr w:val="none" w:color="auto" w:sz="0" w:space="0"/>
                <w:vertAlign w:val="baseline"/>
              </w:rPr>
              <w:t>（二）审核公示</w:t>
            </w:r>
          </w:p>
        </w:tc>
        <w:tc>
          <w:tcPr>
            <w:tcW w:w="6206"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对符合条件的推荐对象进行审核审定，并进行公示。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17"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3</w:t>
            </w:r>
          </w:p>
        </w:tc>
        <w:tc>
          <w:tcPr>
            <w:tcW w:w="1110"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6206"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依法、及时调查核实举报投诉涉及问题。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17"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4</w:t>
            </w:r>
          </w:p>
        </w:tc>
        <w:tc>
          <w:tcPr>
            <w:tcW w:w="1110" w:type="dxa"/>
            <w:vMerge w:val="restart"/>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b/>
                <w:bCs/>
                <w:i w:val="0"/>
                <w:iCs w:val="0"/>
                <w:caps w:val="0"/>
                <w:color w:val="404040"/>
                <w:spacing w:val="0"/>
                <w:sz w:val="21"/>
                <w:szCs w:val="21"/>
                <w:bdr w:val="none" w:color="auto" w:sz="0" w:space="0"/>
                <w:vertAlign w:val="baseline"/>
              </w:rPr>
              <w:t>（三）实施奖励</w:t>
            </w:r>
          </w:p>
        </w:tc>
        <w:tc>
          <w:tcPr>
            <w:tcW w:w="6206"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依法、及时按程序报批决定奖励的等级和金额。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17"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5</w:t>
            </w:r>
          </w:p>
        </w:tc>
        <w:tc>
          <w:tcPr>
            <w:tcW w:w="1110"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6206"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及时通知当事人领取奖励。</w:t>
            </w:r>
          </w:p>
        </w:tc>
      </w:tr>
    </w:tbl>
    <w:p>
      <w:pPr>
        <w:rPr>
          <w:vanish/>
          <w:sz w:val="24"/>
          <w:szCs w:val="24"/>
        </w:rPr>
      </w:pPr>
    </w:p>
    <w:tbl>
      <w:tblPr>
        <w:tblW w:w="85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305"/>
        <w:gridCol w:w="1110"/>
        <w:gridCol w:w="61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rHeight w:val="554" w:hRule="atLeast"/>
        </w:trPr>
        <w:tc>
          <w:tcPr>
            <w:tcW w:w="8588" w:type="dxa"/>
            <w:gridSpan w:val="3"/>
            <w:tcBorders>
              <w:top w:val="single" w:color="auto" w:sz="8" w:space="0"/>
              <w:left w:val="single" w:color="auto" w:sz="8" w:space="0"/>
              <w:bottom w:val="outset"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五、行政检查类行政职权运行通用责任清单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888" w:hRule="atLeast"/>
        </w:trPr>
        <w:tc>
          <w:tcPr>
            <w:tcW w:w="1305" w:type="dxa"/>
            <w:tcBorders>
              <w:top w:val="nil"/>
              <w:left w:val="single" w:color="auto" w:sz="8" w:space="0"/>
              <w:bottom w:val="single"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序号</w:t>
            </w:r>
          </w:p>
        </w:tc>
        <w:tc>
          <w:tcPr>
            <w:tcW w:w="1110" w:type="dxa"/>
            <w:tcBorders>
              <w:top w:val="outset" w:color="auto" w:sz="8" w:space="0"/>
              <w:left w:val="nil"/>
              <w:bottom w:val="single"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运行环节</w:t>
            </w:r>
          </w:p>
        </w:tc>
        <w:tc>
          <w:tcPr>
            <w:tcW w:w="6173" w:type="dxa"/>
            <w:tcBorders>
              <w:top w:val="outset" w:color="auto" w:sz="8" w:space="0"/>
              <w:left w:val="nil"/>
              <w:bottom w:val="single" w:color="auto" w:sz="8" w:space="0"/>
              <w:right w:val="single"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rHeight w:val="574" w:hRule="atLeast"/>
        </w:trPr>
        <w:tc>
          <w:tcPr>
            <w:tcW w:w="130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w:t>
            </w:r>
          </w:p>
        </w:tc>
        <w:tc>
          <w:tcPr>
            <w:tcW w:w="1110" w:type="dxa"/>
            <w:vMerge w:val="restart"/>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b/>
                <w:bCs/>
                <w:i w:val="0"/>
                <w:iCs w:val="0"/>
                <w:caps w:val="0"/>
                <w:color w:val="404040"/>
                <w:spacing w:val="0"/>
                <w:sz w:val="21"/>
                <w:szCs w:val="21"/>
                <w:bdr w:val="none" w:color="auto" w:sz="0" w:space="0"/>
                <w:vertAlign w:val="baseline"/>
              </w:rPr>
              <w:t>（一）制定方案</w:t>
            </w:r>
          </w:p>
        </w:tc>
        <w:tc>
          <w:tcPr>
            <w:tcW w:w="617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实施检查前应当依法制定含有正当理由、事项和内容的检查方案。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rHeight w:val="888" w:hRule="atLeast"/>
        </w:trPr>
        <w:tc>
          <w:tcPr>
            <w:tcW w:w="130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2</w:t>
            </w:r>
          </w:p>
        </w:tc>
        <w:tc>
          <w:tcPr>
            <w:tcW w:w="1110"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617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同一行政机关的多个内设机构和下属机构对同一当事人不同事项的行政检查，能够合并检查的应当合并检查。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rHeight w:val="888" w:hRule="atLeast"/>
        </w:trPr>
        <w:tc>
          <w:tcPr>
            <w:tcW w:w="130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3</w:t>
            </w:r>
          </w:p>
        </w:tc>
        <w:tc>
          <w:tcPr>
            <w:tcW w:w="1110"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617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上下级行政机关应当按照级别管辖和地域管辖相结合的原则合理划分检查范围，避免重复检查。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rHeight w:val="574" w:hRule="atLeast"/>
        </w:trPr>
        <w:tc>
          <w:tcPr>
            <w:tcW w:w="130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4</w:t>
            </w:r>
          </w:p>
        </w:tc>
        <w:tc>
          <w:tcPr>
            <w:tcW w:w="1110" w:type="dxa"/>
            <w:vMerge w:val="restart"/>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b/>
                <w:bCs/>
                <w:i w:val="0"/>
                <w:iCs w:val="0"/>
                <w:caps w:val="0"/>
                <w:color w:val="404040"/>
                <w:spacing w:val="0"/>
                <w:sz w:val="21"/>
                <w:szCs w:val="21"/>
                <w:bdr w:val="none" w:color="auto" w:sz="0" w:space="0"/>
                <w:vertAlign w:val="baseline"/>
              </w:rPr>
              <w:t>（二）实施检查</w:t>
            </w:r>
          </w:p>
        </w:tc>
        <w:tc>
          <w:tcPr>
            <w:tcW w:w="617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依照检查方案规定的时限、范围开展检查。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rHeight w:val="574" w:hRule="atLeast"/>
        </w:trPr>
        <w:tc>
          <w:tcPr>
            <w:tcW w:w="130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5</w:t>
            </w:r>
          </w:p>
        </w:tc>
        <w:tc>
          <w:tcPr>
            <w:tcW w:w="1110"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617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实施检查时应当出示执法身份证件、检查方案。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rHeight w:val="574" w:hRule="atLeast"/>
        </w:trPr>
        <w:tc>
          <w:tcPr>
            <w:tcW w:w="130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6</w:t>
            </w:r>
          </w:p>
        </w:tc>
        <w:tc>
          <w:tcPr>
            <w:tcW w:w="1110"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617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依法查阅资料、查看现场、听取当事人陈述申辩并取证。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rHeight w:val="574" w:hRule="atLeast"/>
        </w:trPr>
        <w:tc>
          <w:tcPr>
            <w:tcW w:w="130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7</w:t>
            </w:r>
          </w:p>
        </w:tc>
        <w:tc>
          <w:tcPr>
            <w:tcW w:w="1110" w:type="dxa"/>
            <w:vMerge w:val="restart"/>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617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实施检查应当不影响当事人的正常生产经营活动与生活。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rHeight w:val="888" w:hRule="atLeast"/>
        </w:trPr>
        <w:tc>
          <w:tcPr>
            <w:tcW w:w="130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8</w:t>
            </w:r>
          </w:p>
        </w:tc>
        <w:tc>
          <w:tcPr>
            <w:tcW w:w="1110"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617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依法告知当事人检查中发现的违法行为及处理意见，对不服处理意见的，可以依法申请行政复议或提起行政诉讼。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rHeight w:val="574" w:hRule="atLeast"/>
        </w:trPr>
        <w:tc>
          <w:tcPr>
            <w:tcW w:w="130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9</w:t>
            </w:r>
          </w:p>
        </w:tc>
        <w:tc>
          <w:tcPr>
            <w:tcW w:w="1110"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617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对检查中发现的违法行为应当予以制止和纠正。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4" w:hRule="atLeast"/>
        </w:trPr>
        <w:tc>
          <w:tcPr>
            <w:tcW w:w="130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10</w:t>
            </w:r>
          </w:p>
        </w:tc>
        <w:tc>
          <w:tcPr>
            <w:tcW w:w="1110"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617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实施行政检查中不得乱收费、乱罚款、乱摊派，严禁吃、拿、卡、要。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4" w:hRule="atLeast"/>
        </w:trPr>
        <w:tc>
          <w:tcPr>
            <w:tcW w:w="130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11</w:t>
            </w:r>
          </w:p>
        </w:tc>
        <w:tc>
          <w:tcPr>
            <w:tcW w:w="1110" w:type="dxa"/>
            <w:vMerge w:val="continue"/>
            <w:tcBorders>
              <w:top w:val="nil"/>
              <w:left w:val="nil"/>
              <w:bottom w:val="outset" w:color="auto" w:sz="8" w:space="0"/>
              <w:right w:val="outset" w:color="auto" w:sz="8" w:space="0"/>
            </w:tcBorders>
            <w:shd w:val="clear" w:color="auto" w:fill="FFFFFF"/>
            <w:vAlign w:val="top"/>
          </w:tcPr>
          <w:p>
            <w:pPr>
              <w:rPr>
                <w:rFonts w:hint="eastAsia" w:ascii="宋体" w:hAnsi="宋体" w:eastAsia="宋体" w:cs="宋体"/>
                <w:i w:val="0"/>
                <w:iCs w:val="0"/>
                <w:caps w:val="0"/>
                <w:color w:val="404040"/>
                <w:spacing w:val="0"/>
                <w:sz w:val="21"/>
                <w:szCs w:val="21"/>
                <w:vertAlign w:val="baseline"/>
              </w:rPr>
            </w:pPr>
          </w:p>
        </w:tc>
        <w:tc>
          <w:tcPr>
            <w:tcW w:w="617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不得放弃、推诿、拖延、拒绝履行检查职责。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95" w:hRule="atLeast"/>
        </w:trPr>
        <w:tc>
          <w:tcPr>
            <w:tcW w:w="1305" w:type="dxa"/>
            <w:tcBorders>
              <w:top w:val="nil"/>
              <w:left w:val="outset" w:color="auto" w:sz="8" w:space="0"/>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12</w:t>
            </w:r>
          </w:p>
        </w:tc>
        <w:tc>
          <w:tcPr>
            <w:tcW w:w="1110"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center"/>
              <w:textAlignment w:val="baseline"/>
              <w:rPr>
                <w:rFonts w:hint="eastAsia" w:ascii="宋体" w:hAnsi="宋体" w:eastAsia="宋体" w:cs="宋体"/>
                <w:color w:val="404040"/>
                <w:sz w:val="21"/>
                <w:szCs w:val="21"/>
              </w:rPr>
            </w:pPr>
            <w:r>
              <w:rPr>
                <w:rFonts w:hint="eastAsia" w:ascii="宋体" w:hAnsi="宋体" w:eastAsia="宋体" w:cs="宋体"/>
                <w:b/>
                <w:bCs/>
                <w:i w:val="0"/>
                <w:iCs w:val="0"/>
                <w:caps w:val="0"/>
                <w:color w:val="404040"/>
                <w:spacing w:val="0"/>
                <w:sz w:val="21"/>
                <w:szCs w:val="21"/>
                <w:bdr w:val="none" w:color="auto" w:sz="0" w:space="0"/>
                <w:vertAlign w:val="baseline"/>
              </w:rPr>
              <w:t>（三）事后监管</w:t>
            </w:r>
          </w:p>
        </w:tc>
        <w:tc>
          <w:tcPr>
            <w:tcW w:w="6173" w:type="dxa"/>
            <w:tcBorders>
              <w:top w:val="nil"/>
              <w:left w:val="nil"/>
              <w:bottom w:val="outset" w:color="auto" w:sz="8" w:space="0"/>
              <w:right w:val="outset" w:color="auto" w:sz="8"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300" w:lineRule="atLeast"/>
              <w:ind w:left="0" w:right="0"/>
              <w:jc w:val="left"/>
              <w:textAlignment w:val="baseline"/>
              <w:rPr>
                <w:rFonts w:hint="eastAsia" w:ascii="宋体" w:hAnsi="宋体" w:eastAsia="宋体" w:cs="宋体"/>
                <w:color w:val="404040"/>
                <w:sz w:val="21"/>
                <w:szCs w:val="21"/>
              </w:rPr>
            </w:pPr>
            <w:r>
              <w:rPr>
                <w:rFonts w:hint="eastAsia" w:ascii="宋体" w:hAnsi="宋体" w:eastAsia="宋体" w:cs="宋体"/>
                <w:i w:val="0"/>
                <w:iCs w:val="0"/>
                <w:caps w:val="0"/>
                <w:color w:val="404040"/>
                <w:spacing w:val="0"/>
                <w:sz w:val="21"/>
                <w:szCs w:val="21"/>
                <w:bdr w:val="none" w:color="auto" w:sz="0" w:space="0"/>
                <w:vertAlign w:val="baseline"/>
              </w:rPr>
              <w:t>    对检查情况进行汇总、分类、归档备查，并跟踪监测。</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695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Office_11.8.2.12011_F1E327BC-269C-435d-A152-05C5408002CA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2026-06-25T07:01:53Z</dcterms:created>
  <dc:creator>Administrator</dc:creator>
  <cp:lastModifiedBy>Administrator</cp:lastModifiedBy>
  <dcterms:modified xsi:type="dcterms:W3CDTF">2026-06-25T07:03:10Z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2052-11.8.2.12011</vt:lpwstr>
  </property>
  <property fmtid="{D5CDD505-2E9C-101B-9397-08002B2CF9AE}" pid="3" name="ICV">
    <vt:lpwstr>A7D0648404A34EFFA2614AB1AF6EC5BE</vt:lpwstr>
  </property>
</Properties>
</file>