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50F09">
      <w:pPr>
        <w:widowControl/>
        <w:jc w:val="center"/>
        <w:rPr>
          <w:rFonts w:hint="eastAsia" w:ascii="方正小标宋简体" w:hAnsi="Arial" w:eastAsia="方正小标宋简体" w:cs="Arial"/>
          <w:kern w:val="0"/>
          <w:sz w:val="36"/>
          <w:szCs w:val="36"/>
        </w:rPr>
      </w:pPr>
      <w:r>
        <w:rPr>
          <w:rFonts w:hint="eastAsia" w:ascii="方正小标宋简体" w:hAnsi="Arial" w:eastAsia="方正小标宋简体" w:cs="Arial"/>
          <w:kern w:val="0"/>
          <w:sz w:val="36"/>
          <w:szCs w:val="36"/>
          <w:lang w:eastAsia="zh-CN"/>
        </w:rPr>
        <w:t>北京市</w:t>
      </w:r>
      <w:bookmarkStart w:id="0" w:name="_GoBack"/>
      <w:bookmarkEnd w:id="0"/>
      <w:r>
        <w:rPr>
          <w:rFonts w:hint="eastAsia" w:ascii="方正小标宋简体" w:hAnsi="Arial" w:eastAsia="方正小标宋简体" w:cs="Arial"/>
          <w:kern w:val="0"/>
          <w:sz w:val="36"/>
          <w:szCs w:val="36"/>
          <w:lang w:eastAsia="zh-CN"/>
        </w:rPr>
        <w:t>西</w:t>
      </w:r>
      <w:r>
        <w:rPr>
          <w:rFonts w:hint="eastAsia" w:ascii="方正小标宋简体" w:hAnsi="Arial" w:eastAsia="方正小标宋简体" w:cs="Arial"/>
          <w:kern w:val="0"/>
          <w:sz w:val="36"/>
          <w:szCs w:val="36"/>
        </w:rPr>
        <w:t>城区教育委员会责任清单</w:t>
      </w:r>
    </w:p>
    <w:p w14:paraId="22E3EF4D">
      <w:pPr>
        <w:widowControl/>
        <w:jc w:val="left"/>
        <w:rPr>
          <w:rFonts w:ascii="Arial" w:hAnsi="Arial" w:eastAsia="宋体" w:cs="Arial"/>
          <w:kern w:val="0"/>
          <w:szCs w:val="21"/>
        </w:rPr>
      </w:pPr>
    </w:p>
    <w:tbl>
      <w:tblPr>
        <w:tblStyle w:val="3"/>
        <w:tblpPr w:leftFromText="180" w:rightFromText="180" w:vertAnchor="text"/>
        <w:tblW w:w="8941" w:type="dxa"/>
        <w:tblInd w:w="0" w:type="dxa"/>
        <w:tblLayout w:type="fixed"/>
        <w:tblCellMar>
          <w:top w:w="0" w:type="dxa"/>
          <w:left w:w="0" w:type="dxa"/>
          <w:bottom w:w="0" w:type="dxa"/>
          <w:right w:w="0" w:type="dxa"/>
        </w:tblCellMar>
      </w:tblPr>
      <w:tblGrid>
        <w:gridCol w:w="1003"/>
        <w:gridCol w:w="499"/>
        <w:gridCol w:w="776"/>
        <w:gridCol w:w="142"/>
        <w:gridCol w:w="184"/>
        <w:gridCol w:w="6337"/>
      </w:tblGrid>
      <w:tr w14:paraId="4C3E3279">
        <w:tblPrEx>
          <w:tblCellMar>
            <w:top w:w="0" w:type="dxa"/>
            <w:left w:w="0" w:type="dxa"/>
            <w:bottom w:w="0" w:type="dxa"/>
            <w:right w:w="0" w:type="dxa"/>
          </w:tblCellMar>
        </w:tblPrEx>
        <w:trPr>
          <w:trHeight w:val="826" w:hRule="atLeast"/>
        </w:trPr>
        <w:tc>
          <w:tcPr>
            <w:tcW w:w="8941" w:type="dxa"/>
            <w:gridSpan w:val="6"/>
            <w:tcBorders>
              <w:top w:val="inset" w:color="auto" w:sz="8" w:space="0"/>
              <w:left w:val="inset" w:color="auto" w:sz="8" w:space="0"/>
              <w:bottom w:val="inset" w:color="auto" w:sz="8" w:space="0"/>
              <w:right w:val="inset" w:color="auto" w:sz="8" w:space="0"/>
            </w:tcBorders>
            <w:vAlign w:val="center"/>
          </w:tcPr>
          <w:p w14:paraId="616ABF2F">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一、行政许可类行政职权运行通用责任清单</w:t>
            </w:r>
          </w:p>
        </w:tc>
      </w:tr>
      <w:tr w14:paraId="619D48BD">
        <w:tblPrEx>
          <w:tblCellMar>
            <w:top w:w="0" w:type="dxa"/>
            <w:left w:w="0" w:type="dxa"/>
            <w:bottom w:w="0" w:type="dxa"/>
            <w:right w:w="0" w:type="dxa"/>
          </w:tblCellMar>
        </w:tblPrEx>
        <w:trPr>
          <w:trHeight w:val="407" w:hRule="atLeast"/>
        </w:trPr>
        <w:tc>
          <w:tcPr>
            <w:tcW w:w="1003" w:type="dxa"/>
            <w:tcBorders>
              <w:top w:val="nil"/>
              <w:left w:val="inset" w:color="auto" w:sz="8" w:space="0"/>
              <w:bottom w:val="inset" w:color="auto" w:sz="8" w:space="0"/>
              <w:right w:val="inset" w:color="auto" w:sz="8" w:space="0"/>
            </w:tcBorders>
            <w:vAlign w:val="center"/>
          </w:tcPr>
          <w:p w14:paraId="3693868C">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275" w:type="dxa"/>
            <w:gridSpan w:val="2"/>
            <w:tcBorders>
              <w:top w:val="nil"/>
              <w:left w:val="nil"/>
              <w:bottom w:val="inset" w:color="auto" w:sz="8" w:space="0"/>
              <w:right w:val="inset" w:color="auto" w:sz="8" w:space="0"/>
            </w:tcBorders>
            <w:vAlign w:val="center"/>
          </w:tcPr>
          <w:p w14:paraId="5EF1CF78">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663" w:type="dxa"/>
            <w:gridSpan w:val="3"/>
            <w:tcBorders>
              <w:top w:val="nil"/>
              <w:left w:val="nil"/>
              <w:bottom w:val="inset" w:color="auto" w:sz="8" w:space="0"/>
              <w:right w:val="inset" w:color="auto" w:sz="8" w:space="0"/>
            </w:tcBorders>
            <w:vAlign w:val="center"/>
          </w:tcPr>
          <w:p w14:paraId="24C365B2">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14:paraId="2833FC87">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6346A502">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275" w:type="dxa"/>
            <w:gridSpan w:val="2"/>
            <w:vMerge w:val="restart"/>
            <w:tcBorders>
              <w:top w:val="nil"/>
              <w:left w:val="nil"/>
              <w:bottom w:val="inset" w:color="auto" w:sz="8" w:space="0"/>
              <w:right w:val="inset" w:color="auto" w:sz="8" w:space="0"/>
            </w:tcBorders>
            <w:vAlign w:val="center"/>
          </w:tcPr>
          <w:p w14:paraId="23E05E3E">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（一）受理</w:t>
            </w:r>
          </w:p>
        </w:tc>
        <w:tc>
          <w:tcPr>
            <w:tcW w:w="6663" w:type="dxa"/>
            <w:gridSpan w:val="3"/>
            <w:tcBorders>
              <w:top w:val="nil"/>
              <w:left w:val="nil"/>
              <w:bottom w:val="inset" w:color="auto" w:sz="8" w:space="0"/>
              <w:right w:val="inset" w:color="auto" w:sz="8" w:space="0"/>
            </w:tcBorders>
            <w:vAlign w:val="center"/>
          </w:tcPr>
          <w:p w14:paraId="3E0EBAB2">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接收申请人提交的材料。若申请人提交的申请材料不齐全、不符合法定形式，应当一次性告知申请人必须补正的全部内容。</w:t>
            </w:r>
          </w:p>
        </w:tc>
      </w:tr>
      <w:tr w14:paraId="65F6030C">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6701786A">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275" w:type="dxa"/>
            <w:gridSpan w:val="2"/>
            <w:vMerge w:val="continue"/>
            <w:tcBorders>
              <w:top w:val="nil"/>
              <w:left w:val="inset" w:color="auto" w:sz="8" w:space="0"/>
              <w:bottom w:val="inset" w:color="auto" w:sz="8" w:space="0"/>
              <w:right w:val="inset" w:color="auto" w:sz="8" w:space="0"/>
            </w:tcBorders>
            <w:vAlign w:val="center"/>
          </w:tcPr>
          <w:p w14:paraId="5FE8A6F2">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0863137A">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受理或者不予受理行政许可申请，应当出具加盖行政机关专用印章和注明日期的书面凭证。</w:t>
            </w:r>
          </w:p>
        </w:tc>
      </w:tr>
      <w:tr w14:paraId="6F229A5B">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7499BF84">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275" w:type="dxa"/>
            <w:gridSpan w:val="2"/>
            <w:vMerge w:val="continue"/>
            <w:tcBorders>
              <w:top w:val="nil"/>
              <w:left w:val="inset" w:color="auto" w:sz="8" w:space="0"/>
              <w:bottom w:val="inset" w:color="auto" w:sz="8" w:space="0"/>
              <w:right w:val="inset" w:color="auto" w:sz="8" w:space="0"/>
            </w:tcBorders>
            <w:vAlign w:val="center"/>
          </w:tcPr>
          <w:p w14:paraId="3521A6B1">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1C1C6CB7">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依法说明不受理行政许可申请或者不予行政许可的理由。</w:t>
            </w:r>
          </w:p>
        </w:tc>
      </w:tr>
      <w:tr w14:paraId="5814300E">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6B7234E1">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275" w:type="dxa"/>
            <w:gridSpan w:val="2"/>
            <w:vMerge w:val="restart"/>
            <w:tcBorders>
              <w:top w:val="nil"/>
              <w:left w:val="nil"/>
              <w:bottom w:val="inset" w:color="auto" w:sz="8" w:space="0"/>
              <w:right w:val="inset" w:color="auto" w:sz="8" w:space="0"/>
            </w:tcBorders>
            <w:vAlign w:val="center"/>
          </w:tcPr>
          <w:p w14:paraId="21438126">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（二）审查</w:t>
            </w:r>
          </w:p>
        </w:tc>
        <w:tc>
          <w:tcPr>
            <w:tcW w:w="6663" w:type="dxa"/>
            <w:gridSpan w:val="3"/>
            <w:tcBorders>
              <w:top w:val="nil"/>
              <w:left w:val="nil"/>
              <w:bottom w:val="inset" w:color="auto" w:sz="8" w:space="0"/>
              <w:right w:val="inset" w:color="auto" w:sz="8" w:space="0"/>
            </w:tcBorders>
            <w:vAlign w:val="center"/>
          </w:tcPr>
          <w:p w14:paraId="483B9AA1">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申请人提交的申请材料齐全、符合法定形式，能够当场作出决定的，当场作出书面的行政许可决定。</w:t>
            </w:r>
          </w:p>
        </w:tc>
      </w:tr>
      <w:tr w14:paraId="17BA481F">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71581CC1">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275" w:type="dxa"/>
            <w:gridSpan w:val="2"/>
            <w:vMerge w:val="continue"/>
            <w:tcBorders>
              <w:top w:val="nil"/>
              <w:left w:val="inset" w:color="auto" w:sz="8" w:space="0"/>
              <w:bottom w:val="inset" w:color="auto" w:sz="8" w:space="0"/>
              <w:right w:val="inset" w:color="auto" w:sz="8" w:space="0"/>
            </w:tcBorders>
            <w:vAlign w:val="center"/>
          </w:tcPr>
          <w:p w14:paraId="284E3309">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554FC17C">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根据法定条件和程序，需要对申请材料的实质内容进行核实的，行政机关应当指派</w:t>
            </w:r>
            <w:r>
              <w:rPr>
                <w:rFonts w:ascii="宋体" w:hAnsi="宋体" w:eastAsia="宋体" w:cs="宋体"/>
                <w:color w:val="282828"/>
                <w:kern w:val="0"/>
                <w:sz w:val="24"/>
                <w:szCs w:val="24"/>
              </w:rPr>
              <w:t>2</w:t>
            </w:r>
            <w:r>
              <w:rPr>
                <w:rFonts w:hint="eastAsia" w:ascii="宋体" w:hAnsi="宋体" w:eastAsia="宋体" w:cs="宋体"/>
                <w:color w:val="282828"/>
                <w:kern w:val="0"/>
                <w:sz w:val="24"/>
                <w:szCs w:val="24"/>
              </w:rPr>
              <w:t>名以上工作人员进行核查。</w:t>
            </w:r>
          </w:p>
        </w:tc>
      </w:tr>
      <w:tr w14:paraId="6D3AAF30">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6000C03C">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6</w:t>
            </w:r>
          </w:p>
        </w:tc>
        <w:tc>
          <w:tcPr>
            <w:tcW w:w="1275" w:type="dxa"/>
            <w:gridSpan w:val="2"/>
            <w:vMerge w:val="continue"/>
            <w:tcBorders>
              <w:top w:val="nil"/>
              <w:left w:val="inset" w:color="auto" w:sz="8" w:space="0"/>
              <w:bottom w:val="inset" w:color="auto" w:sz="8" w:space="0"/>
              <w:right w:val="inset" w:color="auto" w:sz="8" w:space="0"/>
            </w:tcBorders>
            <w:vAlign w:val="center"/>
          </w:tcPr>
          <w:p w14:paraId="6B2CD5A1">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602B12A6">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需依法举行听证的应当依法举行听证。</w:t>
            </w:r>
          </w:p>
        </w:tc>
      </w:tr>
      <w:tr w14:paraId="32C50711">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754D49B6">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7</w:t>
            </w:r>
          </w:p>
        </w:tc>
        <w:tc>
          <w:tcPr>
            <w:tcW w:w="1275" w:type="dxa"/>
            <w:gridSpan w:val="2"/>
            <w:vMerge w:val="restart"/>
            <w:tcBorders>
              <w:top w:val="nil"/>
              <w:left w:val="nil"/>
              <w:bottom w:val="inset" w:color="auto" w:sz="8" w:space="0"/>
              <w:right w:val="inset" w:color="auto" w:sz="8" w:space="0"/>
            </w:tcBorders>
            <w:noWrap/>
            <w:vAlign w:val="center"/>
          </w:tcPr>
          <w:p w14:paraId="5BFF28D8">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（三）决定</w:t>
            </w:r>
          </w:p>
        </w:tc>
        <w:tc>
          <w:tcPr>
            <w:tcW w:w="6663" w:type="dxa"/>
            <w:gridSpan w:val="3"/>
            <w:tcBorders>
              <w:top w:val="nil"/>
              <w:left w:val="nil"/>
              <w:bottom w:val="inset" w:color="auto" w:sz="8" w:space="0"/>
              <w:right w:val="inset" w:color="auto" w:sz="8" w:space="0"/>
            </w:tcBorders>
            <w:vAlign w:val="center"/>
          </w:tcPr>
          <w:p w14:paraId="132D47BB">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对符合法定条件的申请人应当在法定职权范围和期限内尽快作出准予行政许可的决定。</w:t>
            </w:r>
          </w:p>
        </w:tc>
      </w:tr>
      <w:tr w14:paraId="1C8273B2">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6A5551F7">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8</w:t>
            </w:r>
          </w:p>
        </w:tc>
        <w:tc>
          <w:tcPr>
            <w:tcW w:w="1275" w:type="dxa"/>
            <w:gridSpan w:val="2"/>
            <w:vMerge w:val="continue"/>
            <w:tcBorders>
              <w:top w:val="nil"/>
              <w:left w:val="inset" w:color="auto" w:sz="8" w:space="0"/>
              <w:bottom w:val="inset" w:color="auto" w:sz="8" w:space="0"/>
              <w:right w:val="inset" w:color="auto" w:sz="8" w:space="0"/>
            </w:tcBorders>
            <w:vAlign w:val="center"/>
          </w:tcPr>
          <w:p w14:paraId="064702A2">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622964D5">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依法根据招标、拍卖结果或者考试成绩择优作出准予行政许可的决定。</w:t>
            </w:r>
          </w:p>
        </w:tc>
      </w:tr>
      <w:tr w14:paraId="2B29B59A">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05F931B8">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9</w:t>
            </w:r>
          </w:p>
        </w:tc>
        <w:tc>
          <w:tcPr>
            <w:tcW w:w="1275" w:type="dxa"/>
            <w:gridSpan w:val="2"/>
            <w:vMerge w:val="continue"/>
            <w:tcBorders>
              <w:top w:val="nil"/>
              <w:left w:val="inset" w:color="auto" w:sz="8" w:space="0"/>
              <w:bottom w:val="inset" w:color="auto" w:sz="8" w:space="0"/>
              <w:right w:val="inset" w:color="auto" w:sz="8" w:space="0"/>
            </w:tcBorders>
            <w:vAlign w:val="center"/>
          </w:tcPr>
          <w:p w14:paraId="6F9DE8B5">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47B72DEA">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依法作出不予行政许可的书面决定的，应当说明理由，并告知申请人享有依法申请行政复议或者提起行政诉讼的权利。</w:t>
            </w:r>
          </w:p>
        </w:tc>
      </w:tr>
      <w:tr w14:paraId="2029670A">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2E82F25E">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10</w:t>
            </w:r>
          </w:p>
        </w:tc>
        <w:tc>
          <w:tcPr>
            <w:tcW w:w="1275" w:type="dxa"/>
            <w:gridSpan w:val="2"/>
            <w:vMerge w:val="continue"/>
            <w:tcBorders>
              <w:top w:val="nil"/>
              <w:left w:val="inset" w:color="auto" w:sz="8" w:space="0"/>
              <w:bottom w:val="inset" w:color="auto" w:sz="8" w:space="0"/>
              <w:right w:val="inset" w:color="auto" w:sz="8" w:space="0"/>
            </w:tcBorders>
            <w:vAlign w:val="center"/>
          </w:tcPr>
          <w:p w14:paraId="747A0936">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534CEA89">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按法定项目和标准予以收费。</w:t>
            </w:r>
          </w:p>
        </w:tc>
      </w:tr>
      <w:tr w14:paraId="6CF72FF9">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00352912">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11</w:t>
            </w:r>
          </w:p>
        </w:tc>
        <w:tc>
          <w:tcPr>
            <w:tcW w:w="1275" w:type="dxa"/>
            <w:gridSpan w:val="2"/>
            <w:vMerge w:val="continue"/>
            <w:tcBorders>
              <w:top w:val="nil"/>
              <w:left w:val="inset" w:color="auto" w:sz="8" w:space="0"/>
              <w:bottom w:val="inset" w:color="auto" w:sz="8" w:space="0"/>
              <w:right w:val="inset" w:color="auto" w:sz="8" w:space="0"/>
            </w:tcBorders>
            <w:vAlign w:val="center"/>
          </w:tcPr>
          <w:p w14:paraId="2F4344F6">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7961A7B0">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作出的准予行政许可决定，应当予以公开，公众有权查阅。</w:t>
            </w:r>
          </w:p>
        </w:tc>
      </w:tr>
      <w:tr w14:paraId="67BCD2C9">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7BB0B690">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12</w:t>
            </w:r>
          </w:p>
        </w:tc>
        <w:tc>
          <w:tcPr>
            <w:tcW w:w="1275" w:type="dxa"/>
            <w:gridSpan w:val="2"/>
            <w:vMerge w:val="restart"/>
            <w:tcBorders>
              <w:top w:val="nil"/>
              <w:left w:val="nil"/>
              <w:bottom w:val="inset" w:color="auto" w:sz="8" w:space="0"/>
              <w:right w:val="inset" w:color="auto" w:sz="8" w:space="0"/>
            </w:tcBorders>
            <w:noWrap/>
            <w:vAlign w:val="center"/>
          </w:tcPr>
          <w:p w14:paraId="5A614A59">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（四）送达</w:t>
            </w:r>
          </w:p>
        </w:tc>
        <w:tc>
          <w:tcPr>
            <w:tcW w:w="6663" w:type="dxa"/>
            <w:gridSpan w:val="3"/>
            <w:tcBorders>
              <w:top w:val="nil"/>
              <w:left w:val="nil"/>
              <w:bottom w:val="inset" w:color="auto" w:sz="8" w:space="0"/>
              <w:right w:val="inset" w:color="auto" w:sz="8" w:space="0"/>
            </w:tcBorders>
            <w:vAlign w:val="center"/>
          </w:tcPr>
          <w:p w14:paraId="51194725">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送达行政执法文书应当有送达回证，受送达人在送达回证上的签收日期为送达日期。</w:t>
            </w:r>
          </w:p>
        </w:tc>
      </w:tr>
      <w:tr w14:paraId="024F11C8">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1D82E220">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13</w:t>
            </w:r>
          </w:p>
        </w:tc>
        <w:tc>
          <w:tcPr>
            <w:tcW w:w="1275" w:type="dxa"/>
            <w:gridSpan w:val="2"/>
            <w:vMerge w:val="continue"/>
            <w:tcBorders>
              <w:top w:val="nil"/>
              <w:left w:val="inset" w:color="auto" w:sz="8" w:space="0"/>
              <w:bottom w:val="inset" w:color="auto" w:sz="8" w:space="0"/>
              <w:right w:val="inset" w:color="auto" w:sz="8" w:space="0"/>
            </w:tcBorders>
            <w:vAlign w:val="center"/>
          </w:tcPr>
          <w:p w14:paraId="7EFB1A15">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76E7A9A4">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送达程序参照民事诉讼法有关规定执行。</w:t>
            </w:r>
          </w:p>
        </w:tc>
      </w:tr>
      <w:tr w14:paraId="3B4318D4">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18E619E6">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14</w:t>
            </w:r>
          </w:p>
        </w:tc>
        <w:tc>
          <w:tcPr>
            <w:tcW w:w="1275" w:type="dxa"/>
            <w:gridSpan w:val="2"/>
            <w:vMerge w:val="restart"/>
            <w:tcBorders>
              <w:top w:val="nil"/>
              <w:left w:val="nil"/>
              <w:bottom w:val="inset" w:color="auto" w:sz="8" w:space="0"/>
              <w:right w:val="inset" w:color="auto" w:sz="8" w:space="0"/>
            </w:tcBorders>
            <w:vAlign w:val="center"/>
          </w:tcPr>
          <w:p w14:paraId="247F0A81">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（五）事后监管</w:t>
            </w:r>
          </w:p>
        </w:tc>
        <w:tc>
          <w:tcPr>
            <w:tcW w:w="6663" w:type="dxa"/>
            <w:gridSpan w:val="3"/>
            <w:tcBorders>
              <w:top w:val="nil"/>
              <w:left w:val="nil"/>
              <w:bottom w:val="inset" w:color="auto" w:sz="8" w:space="0"/>
              <w:right w:val="inset" w:color="auto" w:sz="8" w:space="0"/>
            </w:tcBorders>
            <w:vAlign w:val="center"/>
          </w:tcPr>
          <w:p w14:paraId="7E3FA7EE">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建立健全监督制度，通过核查反映被许可人从事行政许可事项活动情况的有关材料，履行监督责任。</w:t>
            </w:r>
          </w:p>
        </w:tc>
      </w:tr>
      <w:tr w14:paraId="41AE0D8C">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7DEE0646">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15</w:t>
            </w:r>
          </w:p>
        </w:tc>
        <w:tc>
          <w:tcPr>
            <w:tcW w:w="1275" w:type="dxa"/>
            <w:gridSpan w:val="2"/>
            <w:vMerge w:val="continue"/>
            <w:tcBorders>
              <w:top w:val="nil"/>
              <w:left w:val="inset" w:color="auto" w:sz="8" w:space="0"/>
              <w:bottom w:val="inset" w:color="auto" w:sz="8" w:space="0"/>
              <w:right w:val="inset" w:color="auto" w:sz="8" w:space="0"/>
            </w:tcBorders>
            <w:vAlign w:val="center"/>
          </w:tcPr>
          <w:p w14:paraId="33A6CF67">
            <w:pPr>
              <w:widowControl/>
              <w:spacing w:line="300" w:lineRule="exact"/>
              <w:jc w:val="left"/>
              <w:rPr>
                <w:rFonts w:ascii="宋体" w:hAnsi="宋体" w:eastAsia="宋体" w:cs="宋体"/>
                <w:kern w:val="0"/>
                <w:sz w:val="24"/>
                <w:szCs w:val="24"/>
              </w:rPr>
            </w:pPr>
          </w:p>
        </w:tc>
        <w:tc>
          <w:tcPr>
            <w:tcW w:w="6663" w:type="dxa"/>
            <w:gridSpan w:val="3"/>
            <w:tcBorders>
              <w:top w:val="nil"/>
              <w:left w:val="nil"/>
              <w:bottom w:val="inset" w:color="auto" w:sz="8" w:space="0"/>
              <w:right w:val="inset" w:color="auto" w:sz="8" w:space="0"/>
            </w:tcBorders>
            <w:vAlign w:val="center"/>
          </w:tcPr>
          <w:p w14:paraId="413CB3C0">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建立随机抽查制度，对被许可人生产经营的产品依法进行抽样检查、检验、检测，对其生产经营场所依法进行实地检查。</w:t>
            </w:r>
          </w:p>
        </w:tc>
      </w:tr>
      <w:tr w14:paraId="0A94422F">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214BDA54">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16</w:t>
            </w:r>
          </w:p>
        </w:tc>
        <w:tc>
          <w:tcPr>
            <w:tcW w:w="1275" w:type="dxa"/>
            <w:gridSpan w:val="2"/>
            <w:vMerge w:val="restart"/>
            <w:tcBorders>
              <w:top w:val="nil"/>
              <w:left w:val="nil"/>
              <w:bottom w:val="inset" w:color="auto" w:sz="8" w:space="0"/>
              <w:right w:val="inset" w:color="auto" w:sz="8" w:space="0"/>
            </w:tcBorders>
            <w:vAlign w:val="center"/>
          </w:tcPr>
          <w:p w14:paraId="309510BC">
            <w:pPr>
              <w:widowControl/>
              <w:spacing w:line="300" w:lineRule="exact"/>
              <w:jc w:val="left"/>
              <w:rPr>
                <w:rFonts w:ascii="Arial" w:hAnsi="Arial" w:eastAsia="宋体" w:cs="Arial"/>
                <w:kern w:val="0"/>
                <w:szCs w:val="21"/>
              </w:rPr>
            </w:pPr>
          </w:p>
        </w:tc>
        <w:tc>
          <w:tcPr>
            <w:tcW w:w="6663" w:type="dxa"/>
            <w:gridSpan w:val="3"/>
            <w:tcBorders>
              <w:top w:val="nil"/>
              <w:left w:val="nil"/>
              <w:bottom w:val="inset" w:color="auto" w:sz="8" w:space="0"/>
              <w:right w:val="inset" w:color="auto" w:sz="8" w:space="0"/>
            </w:tcBorders>
            <w:vAlign w:val="center"/>
          </w:tcPr>
          <w:p w14:paraId="5DE5AEE5">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根据法律、行政法规的规定，对直接关系公共安全、人身健康、生命财产安全的重要设备、设施进行定期检验。</w:t>
            </w:r>
          </w:p>
        </w:tc>
      </w:tr>
      <w:tr w14:paraId="7197F36F">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2C0BFB33">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17</w:t>
            </w:r>
          </w:p>
        </w:tc>
        <w:tc>
          <w:tcPr>
            <w:tcW w:w="1275" w:type="dxa"/>
            <w:gridSpan w:val="2"/>
            <w:vMerge w:val="continue"/>
            <w:tcBorders>
              <w:top w:val="nil"/>
              <w:left w:val="inset" w:color="auto" w:sz="8" w:space="0"/>
              <w:bottom w:val="inset" w:color="auto" w:sz="8" w:space="0"/>
              <w:right w:val="inset" w:color="auto" w:sz="8" w:space="0"/>
            </w:tcBorders>
            <w:vAlign w:val="center"/>
          </w:tcPr>
          <w:p w14:paraId="19D37E5F">
            <w:pPr>
              <w:widowControl/>
              <w:spacing w:line="300" w:lineRule="exact"/>
              <w:jc w:val="left"/>
              <w:rPr>
                <w:rFonts w:ascii="Arial" w:hAnsi="Arial" w:eastAsia="宋体" w:cs="Arial"/>
                <w:kern w:val="0"/>
                <w:szCs w:val="21"/>
              </w:rPr>
            </w:pPr>
          </w:p>
        </w:tc>
        <w:tc>
          <w:tcPr>
            <w:tcW w:w="6663" w:type="dxa"/>
            <w:gridSpan w:val="3"/>
            <w:tcBorders>
              <w:top w:val="nil"/>
              <w:left w:val="nil"/>
              <w:bottom w:val="inset" w:color="auto" w:sz="8" w:space="0"/>
              <w:right w:val="inset" w:color="auto" w:sz="8" w:space="0"/>
            </w:tcBorders>
            <w:vAlign w:val="center"/>
          </w:tcPr>
          <w:p w14:paraId="50B66D16">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实施监督检查时，应当将监督检查的情况和处理结果予以记录，由监督检查人员签字后归档。公众有权查阅监督检查记录。</w:t>
            </w:r>
          </w:p>
        </w:tc>
      </w:tr>
      <w:tr w14:paraId="220E2F73">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17A22281">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18</w:t>
            </w:r>
          </w:p>
        </w:tc>
        <w:tc>
          <w:tcPr>
            <w:tcW w:w="1275" w:type="dxa"/>
            <w:gridSpan w:val="2"/>
            <w:vMerge w:val="continue"/>
            <w:tcBorders>
              <w:top w:val="nil"/>
              <w:left w:val="inset" w:color="auto" w:sz="8" w:space="0"/>
              <w:bottom w:val="inset" w:color="auto" w:sz="8" w:space="0"/>
              <w:right w:val="inset" w:color="auto" w:sz="8" w:space="0"/>
            </w:tcBorders>
            <w:vAlign w:val="center"/>
          </w:tcPr>
          <w:p w14:paraId="6E8FEFF8">
            <w:pPr>
              <w:widowControl/>
              <w:spacing w:line="300" w:lineRule="exact"/>
              <w:jc w:val="left"/>
              <w:rPr>
                <w:rFonts w:ascii="Arial" w:hAnsi="Arial" w:eastAsia="宋体" w:cs="Arial"/>
                <w:kern w:val="0"/>
                <w:szCs w:val="21"/>
              </w:rPr>
            </w:pPr>
          </w:p>
        </w:tc>
        <w:tc>
          <w:tcPr>
            <w:tcW w:w="6663" w:type="dxa"/>
            <w:gridSpan w:val="3"/>
            <w:tcBorders>
              <w:top w:val="nil"/>
              <w:left w:val="nil"/>
              <w:bottom w:val="inset" w:color="auto" w:sz="8" w:space="0"/>
              <w:right w:val="inset" w:color="auto" w:sz="8" w:space="0"/>
            </w:tcBorders>
            <w:vAlign w:val="center"/>
          </w:tcPr>
          <w:p w14:paraId="72D77256">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实施监督检查，不得妨碍被许可人正常的生产经营活动，不得索取或收受被许可人的财物，不得谋取其他利益。</w:t>
            </w:r>
          </w:p>
        </w:tc>
      </w:tr>
      <w:tr w14:paraId="3A750D6F">
        <w:tblPrEx>
          <w:tblCellMar>
            <w:top w:w="0" w:type="dxa"/>
            <w:left w:w="0" w:type="dxa"/>
            <w:bottom w:w="0" w:type="dxa"/>
            <w:right w:w="0" w:type="dxa"/>
          </w:tblCellMar>
        </w:tblPrEx>
        <w:trPr>
          <w:trHeight w:val="578" w:hRule="atLeast"/>
        </w:trPr>
        <w:tc>
          <w:tcPr>
            <w:tcW w:w="8941" w:type="dxa"/>
            <w:gridSpan w:val="6"/>
            <w:tcBorders>
              <w:top w:val="nil"/>
              <w:left w:val="inset" w:color="auto" w:sz="8" w:space="0"/>
              <w:bottom w:val="inset" w:color="auto" w:sz="8" w:space="0"/>
              <w:right w:val="inset" w:color="auto" w:sz="8" w:space="0"/>
            </w:tcBorders>
            <w:vAlign w:val="center"/>
          </w:tcPr>
          <w:p w14:paraId="523B382B">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二、行政给付行政职权运行通用责任清单</w:t>
            </w:r>
          </w:p>
        </w:tc>
      </w:tr>
      <w:tr w14:paraId="315572A3">
        <w:tblPrEx>
          <w:tblCellMar>
            <w:top w:w="0" w:type="dxa"/>
            <w:left w:w="0" w:type="dxa"/>
            <w:bottom w:w="0" w:type="dxa"/>
            <w:right w:w="0" w:type="dxa"/>
          </w:tblCellMar>
        </w:tblPrEx>
        <w:trPr>
          <w:trHeight w:val="558" w:hRule="atLeast"/>
        </w:trPr>
        <w:tc>
          <w:tcPr>
            <w:tcW w:w="1003" w:type="dxa"/>
            <w:tcBorders>
              <w:top w:val="nil"/>
              <w:left w:val="inset" w:color="auto" w:sz="8" w:space="0"/>
              <w:bottom w:val="inset" w:color="auto" w:sz="8" w:space="0"/>
              <w:right w:val="inset" w:color="auto" w:sz="8" w:space="0"/>
            </w:tcBorders>
            <w:vAlign w:val="center"/>
          </w:tcPr>
          <w:p w14:paraId="7A0CF2FD">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417" w:type="dxa"/>
            <w:gridSpan w:val="3"/>
            <w:tcBorders>
              <w:top w:val="nil"/>
              <w:left w:val="nil"/>
              <w:bottom w:val="inset" w:color="auto" w:sz="8" w:space="0"/>
              <w:right w:val="inset" w:color="auto" w:sz="8" w:space="0"/>
            </w:tcBorders>
            <w:vAlign w:val="center"/>
          </w:tcPr>
          <w:p w14:paraId="27A70BE3">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521" w:type="dxa"/>
            <w:gridSpan w:val="2"/>
            <w:tcBorders>
              <w:top w:val="nil"/>
              <w:left w:val="nil"/>
              <w:bottom w:val="inset" w:color="auto" w:sz="8" w:space="0"/>
              <w:right w:val="inset" w:color="auto" w:sz="8" w:space="0"/>
            </w:tcBorders>
            <w:vAlign w:val="center"/>
          </w:tcPr>
          <w:p w14:paraId="77474FC0">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14:paraId="286F2B1F">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39354C22">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417" w:type="dxa"/>
            <w:gridSpan w:val="3"/>
            <w:vMerge w:val="restart"/>
            <w:tcBorders>
              <w:top w:val="nil"/>
              <w:left w:val="nil"/>
              <w:bottom w:val="inset" w:color="auto" w:sz="8" w:space="0"/>
              <w:right w:val="inset" w:color="auto" w:sz="8" w:space="0"/>
            </w:tcBorders>
            <w:vAlign w:val="center"/>
          </w:tcPr>
          <w:p w14:paraId="58F71ACE">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（一）受理</w:t>
            </w:r>
          </w:p>
        </w:tc>
        <w:tc>
          <w:tcPr>
            <w:tcW w:w="6521" w:type="dxa"/>
            <w:gridSpan w:val="2"/>
            <w:tcBorders>
              <w:top w:val="nil"/>
              <w:left w:val="nil"/>
              <w:bottom w:val="inset" w:color="auto" w:sz="8" w:space="0"/>
              <w:right w:val="inset" w:color="auto" w:sz="8" w:space="0"/>
            </w:tcBorders>
            <w:vAlign w:val="center"/>
          </w:tcPr>
          <w:p w14:paraId="0535CEE0">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对符合受理条件的，应当受理，并制作受理通知书；对不符合受理条件的不予受理，并书面告知申请人不予受理的理由和依据。</w:t>
            </w:r>
          </w:p>
        </w:tc>
      </w:tr>
      <w:tr w14:paraId="273C0EF1">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7446735E">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417" w:type="dxa"/>
            <w:gridSpan w:val="3"/>
            <w:vMerge w:val="continue"/>
            <w:tcBorders>
              <w:top w:val="nil"/>
              <w:left w:val="inset" w:color="auto" w:sz="8" w:space="0"/>
              <w:bottom w:val="inset" w:color="auto" w:sz="8" w:space="0"/>
              <w:right w:val="inset" w:color="auto" w:sz="8" w:space="0"/>
            </w:tcBorders>
            <w:vAlign w:val="center"/>
          </w:tcPr>
          <w:p w14:paraId="40532D49">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14:paraId="1E6B87B9">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申请材料不齐全或者不符合法定形式的，应当一次性告知申请人需要补正的全部内容和合理的补正期限。</w:t>
            </w:r>
          </w:p>
        </w:tc>
      </w:tr>
      <w:tr w14:paraId="737388FA">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7C28F1F9">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417" w:type="dxa"/>
            <w:gridSpan w:val="3"/>
            <w:tcBorders>
              <w:top w:val="nil"/>
              <w:left w:val="nil"/>
              <w:bottom w:val="inset" w:color="auto" w:sz="8" w:space="0"/>
              <w:right w:val="inset" w:color="auto" w:sz="8" w:space="0"/>
            </w:tcBorders>
            <w:vAlign w:val="center"/>
          </w:tcPr>
          <w:p w14:paraId="2BE93C51">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（二）审查</w:t>
            </w:r>
          </w:p>
        </w:tc>
        <w:tc>
          <w:tcPr>
            <w:tcW w:w="6521" w:type="dxa"/>
            <w:gridSpan w:val="2"/>
            <w:tcBorders>
              <w:top w:val="nil"/>
              <w:left w:val="nil"/>
              <w:bottom w:val="inset" w:color="auto" w:sz="8" w:space="0"/>
              <w:right w:val="inset" w:color="auto" w:sz="8" w:space="0"/>
            </w:tcBorders>
            <w:vAlign w:val="center"/>
          </w:tcPr>
          <w:p w14:paraId="185D0350">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在法定期限（承诺期限）内完成审查。</w:t>
            </w:r>
          </w:p>
        </w:tc>
      </w:tr>
      <w:tr w14:paraId="4737F80E">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4BE11A26">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417" w:type="dxa"/>
            <w:gridSpan w:val="3"/>
            <w:vMerge w:val="restart"/>
            <w:tcBorders>
              <w:top w:val="nil"/>
              <w:left w:val="nil"/>
              <w:bottom w:val="inset" w:color="auto" w:sz="8" w:space="0"/>
              <w:right w:val="inset" w:color="auto" w:sz="8" w:space="0"/>
            </w:tcBorders>
            <w:vAlign w:val="center"/>
          </w:tcPr>
          <w:p w14:paraId="104C8303">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（三）决定</w:t>
            </w:r>
          </w:p>
        </w:tc>
        <w:tc>
          <w:tcPr>
            <w:tcW w:w="6521" w:type="dxa"/>
            <w:gridSpan w:val="2"/>
            <w:tcBorders>
              <w:top w:val="nil"/>
              <w:left w:val="nil"/>
              <w:bottom w:val="inset" w:color="auto" w:sz="8" w:space="0"/>
              <w:right w:val="inset" w:color="auto" w:sz="8" w:space="0"/>
            </w:tcBorders>
            <w:vAlign w:val="center"/>
          </w:tcPr>
          <w:p w14:paraId="0A27A802">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对于符合条件的，作出给于给付的决定，明确给付标准以及后续办事事宜，并通知申请人前来领取。</w:t>
            </w:r>
          </w:p>
        </w:tc>
      </w:tr>
      <w:tr w14:paraId="77C294C4">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1888D6DF">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417" w:type="dxa"/>
            <w:gridSpan w:val="3"/>
            <w:vMerge w:val="continue"/>
            <w:tcBorders>
              <w:top w:val="nil"/>
              <w:left w:val="inset" w:color="auto" w:sz="8" w:space="0"/>
              <w:bottom w:val="inset" w:color="auto" w:sz="8" w:space="0"/>
              <w:right w:val="inset" w:color="auto" w:sz="8" w:space="0"/>
            </w:tcBorders>
            <w:vAlign w:val="center"/>
          </w:tcPr>
          <w:p w14:paraId="068D8B16">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14:paraId="37EBA7C8">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对不符合给付条件的，书面告知申请人不予给付的理由和依据。</w:t>
            </w:r>
          </w:p>
        </w:tc>
      </w:tr>
      <w:tr w14:paraId="693B355A">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44584FC8">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6</w:t>
            </w:r>
          </w:p>
        </w:tc>
        <w:tc>
          <w:tcPr>
            <w:tcW w:w="1417" w:type="dxa"/>
            <w:gridSpan w:val="3"/>
            <w:tcBorders>
              <w:top w:val="nil"/>
              <w:left w:val="nil"/>
              <w:bottom w:val="inset" w:color="auto" w:sz="8" w:space="0"/>
              <w:right w:val="inset" w:color="auto" w:sz="8" w:space="0"/>
            </w:tcBorders>
            <w:vAlign w:val="center"/>
          </w:tcPr>
          <w:p w14:paraId="164D254D">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（四）给付</w:t>
            </w:r>
          </w:p>
        </w:tc>
        <w:tc>
          <w:tcPr>
            <w:tcW w:w="6521" w:type="dxa"/>
            <w:gridSpan w:val="2"/>
            <w:tcBorders>
              <w:top w:val="nil"/>
              <w:left w:val="nil"/>
              <w:bottom w:val="inset" w:color="auto" w:sz="8" w:space="0"/>
              <w:right w:val="inset" w:color="auto" w:sz="8" w:space="0"/>
            </w:tcBorders>
            <w:vAlign w:val="center"/>
          </w:tcPr>
          <w:p w14:paraId="53FAEA4D">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按照规定标准予以给付。</w:t>
            </w:r>
          </w:p>
        </w:tc>
      </w:tr>
      <w:tr w14:paraId="581422B6">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62D25EB0">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7</w:t>
            </w:r>
          </w:p>
        </w:tc>
        <w:tc>
          <w:tcPr>
            <w:tcW w:w="1417" w:type="dxa"/>
            <w:gridSpan w:val="3"/>
            <w:tcBorders>
              <w:top w:val="nil"/>
              <w:left w:val="nil"/>
              <w:bottom w:val="inset" w:color="auto" w:sz="8" w:space="0"/>
              <w:right w:val="inset" w:color="auto" w:sz="8" w:space="0"/>
            </w:tcBorders>
            <w:vAlign w:val="center"/>
          </w:tcPr>
          <w:p w14:paraId="5ECA3BC6">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（五）事后监管</w:t>
            </w:r>
          </w:p>
        </w:tc>
        <w:tc>
          <w:tcPr>
            <w:tcW w:w="6521" w:type="dxa"/>
            <w:gridSpan w:val="2"/>
            <w:tcBorders>
              <w:top w:val="nil"/>
              <w:left w:val="nil"/>
              <w:bottom w:val="inset" w:color="auto" w:sz="8" w:space="0"/>
              <w:right w:val="inset" w:color="auto" w:sz="8" w:space="0"/>
            </w:tcBorders>
            <w:vAlign w:val="center"/>
          </w:tcPr>
          <w:p w14:paraId="229B807B">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开展检查，加强日常监管。</w:t>
            </w:r>
          </w:p>
        </w:tc>
      </w:tr>
      <w:tr w14:paraId="4CAD48AE">
        <w:tblPrEx>
          <w:tblCellMar>
            <w:top w:w="0" w:type="dxa"/>
            <w:left w:w="0" w:type="dxa"/>
            <w:bottom w:w="0" w:type="dxa"/>
            <w:right w:w="0" w:type="dxa"/>
          </w:tblCellMar>
        </w:tblPrEx>
        <w:trPr>
          <w:trHeight w:val="625" w:hRule="atLeast"/>
        </w:trPr>
        <w:tc>
          <w:tcPr>
            <w:tcW w:w="8941" w:type="dxa"/>
            <w:gridSpan w:val="6"/>
            <w:tcBorders>
              <w:top w:val="nil"/>
              <w:left w:val="inset" w:color="auto" w:sz="8" w:space="0"/>
              <w:bottom w:val="inset" w:color="auto" w:sz="8" w:space="0"/>
              <w:right w:val="inset" w:color="auto" w:sz="8" w:space="0"/>
            </w:tcBorders>
            <w:vAlign w:val="center"/>
          </w:tcPr>
          <w:p w14:paraId="5BEF0A21">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三、行政奖励类行政职权运行通用责任清单</w:t>
            </w:r>
          </w:p>
        </w:tc>
      </w:tr>
      <w:tr w14:paraId="19FB78CA">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vAlign w:val="center"/>
          </w:tcPr>
          <w:p w14:paraId="4A4BB845">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417" w:type="dxa"/>
            <w:gridSpan w:val="3"/>
            <w:tcBorders>
              <w:top w:val="nil"/>
              <w:left w:val="nil"/>
              <w:bottom w:val="inset" w:color="auto" w:sz="8" w:space="0"/>
              <w:right w:val="inset" w:color="auto" w:sz="8" w:space="0"/>
            </w:tcBorders>
            <w:vAlign w:val="center"/>
          </w:tcPr>
          <w:p w14:paraId="5F810F16">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521" w:type="dxa"/>
            <w:gridSpan w:val="2"/>
            <w:tcBorders>
              <w:top w:val="nil"/>
              <w:left w:val="nil"/>
              <w:bottom w:val="inset" w:color="auto" w:sz="8" w:space="0"/>
              <w:right w:val="inset" w:color="auto" w:sz="8" w:space="0"/>
            </w:tcBorders>
            <w:vAlign w:val="center"/>
          </w:tcPr>
          <w:p w14:paraId="7BB1623E">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14:paraId="4EC5668A">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656C6B9E">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417" w:type="dxa"/>
            <w:gridSpan w:val="3"/>
            <w:tcBorders>
              <w:top w:val="nil"/>
              <w:left w:val="nil"/>
              <w:bottom w:val="inset" w:color="auto" w:sz="8" w:space="0"/>
              <w:right w:val="inset" w:color="auto" w:sz="8" w:space="0"/>
            </w:tcBorders>
            <w:vAlign w:val="center"/>
          </w:tcPr>
          <w:p w14:paraId="570403F4">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（一）制定方案</w:t>
            </w:r>
          </w:p>
        </w:tc>
        <w:tc>
          <w:tcPr>
            <w:tcW w:w="6521" w:type="dxa"/>
            <w:gridSpan w:val="2"/>
            <w:tcBorders>
              <w:top w:val="nil"/>
              <w:left w:val="nil"/>
              <w:bottom w:val="inset" w:color="auto" w:sz="8" w:space="0"/>
              <w:right w:val="inset" w:color="auto" w:sz="8" w:space="0"/>
            </w:tcBorders>
            <w:vAlign w:val="center"/>
          </w:tcPr>
          <w:p w14:paraId="07702A53">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依法科学制定奖励方案，明确奖励条件、程序等内容。</w:t>
            </w:r>
          </w:p>
        </w:tc>
      </w:tr>
      <w:tr w14:paraId="45C63277">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25FA5DE1">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417" w:type="dxa"/>
            <w:gridSpan w:val="3"/>
            <w:vMerge w:val="restart"/>
            <w:tcBorders>
              <w:top w:val="nil"/>
              <w:left w:val="nil"/>
              <w:bottom w:val="inset" w:color="auto" w:sz="8" w:space="0"/>
              <w:right w:val="inset" w:color="auto" w:sz="8" w:space="0"/>
            </w:tcBorders>
            <w:vAlign w:val="center"/>
          </w:tcPr>
          <w:p w14:paraId="1A9CB28B">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（二）审核公示</w:t>
            </w:r>
          </w:p>
        </w:tc>
        <w:tc>
          <w:tcPr>
            <w:tcW w:w="6521" w:type="dxa"/>
            <w:gridSpan w:val="2"/>
            <w:tcBorders>
              <w:top w:val="nil"/>
              <w:left w:val="nil"/>
              <w:bottom w:val="inset" w:color="auto" w:sz="8" w:space="0"/>
              <w:right w:val="inset" w:color="auto" w:sz="8" w:space="0"/>
            </w:tcBorders>
            <w:vAlign w:val="center"/>
          </w:tcPr>
          <w:p w14:paraId="6B9617A0">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对符合条件的推荐对象进行审核审定，并进行公示。</w:t>
            </w:r>
          </w:p>
        </w:tc>
      </w:tr>
      <w:tr w14:paraId="3370FE63">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52D46E05">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417" w:type="dxa"/>
            <w:gridSpan w:val="3"/>
            <w:vMerge w:val="continue"/>
            <w:tcBorders>
              <w:top w:val="nil"/>
              <w:left w:val="inset" w:color="auto" w:sz="8" w:space="0"/>
              <w:bottom w:val="inset" w:color="auto" w:sz="8" w:space="0"/>
              <w:right w:val="inset" w:color="auto" w:sz="8" w:space="0"/>
            </w:tcBorders>
            <w:vAlign w:val="center"/>
          </w:tcPr>
          <w:p w14:paraId="20AB7A36">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14:paraId="2546BAE1">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依法、及时调查核实举报投诉涉及问题。</w:t>
            </w:r>
          </w:p>
        </w:tc>
      </w:tr>
      <w:tr w14:paraId="012313A8">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6EE728E6">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417" w:type="dxa"/>
            <w:gridSpan w:val="3"/>
            <w:vMerge w:val="restart"/>
            <w:tcBorders>
              <w:top w:val="nil"/>
              <w:left w:val="nil"/>
              <w:bottom w:val="inset" w:color="auto" w:sz="8" w:space="0"/>
              <w:right w:val="inset" w:color="auto" w:sz="8" w:space="0"/>
            </w:tcBorders>
            <w:vAlign w:val="center"/>
          </w:tcPr>
          <w:p w14:paraId="36719F20">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（三）实施奖励</w:t>
            </w:r>
          </w:p>
        </w:tc>
        <w:tc>
          <w:tcPr>
            <w:tcW w:w="6521" w:type="dxa"/>
            <w:gridSpan w:val="2"/>
            <w:tcBorders>
              <w:top w:val="nil"/>
              <w:left w:val="nil"/>
              <w:bottom w:val="inset" w:color="auto" w:sz="8" w:space="0"/>
              <w:right w:val="inset" w:color="auto" w:sz="8" w:space="0"/>
            </w:tcBorders>
            <w:vAlign w:val="center"/>
          </w:tcPr>
          <w:p w14:paraId="46B3B462">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依法、及时按程序报批决定奖励的等级和金额。</w:t>
            </w:r>
          </w:p>
        </w:tc>
      </w:tr>
      <w:tr w14:paraId="2434F465">
        <w:tblPrEx>
          <w:tblCellMar>
            <w:top w:w="0" w:type="dxa"/>
            <w:left w:w="0" w:type="dxa"/>
            <w:bottom w:w="0" w:type="dxa"/>
            <w:right w:w="0" w:type="dxa"/>
          </w:tblCellMar>
        </w:tblPrEx>
        <w:tc>
          <w:tcPr>
            <w:tcW w:w="1003" w:type="dxa"/>
            <w:tcBorders>
              <w:top w:val="nil"/>
              <w:left w:val="inset" w:color="auto" w:sz="8" w:space="0"/>
              <w:bottom w:val="inset" w:color="auto" w:sz="8" w:space="0"/>
              <w:right w:val="inset" w:color="auto" w:sz="8" w:space="0"/>
            </w:tcBorders>
            <w:noWrap/>
            <w:vAlign w:val="center"/>
          </w:tcPr>
          <w:p w14:paraId="3C9ABBA9">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417" w:type="dxa"/>
            <w:gridSpan w:val="3"/>
            <w:vMerge w:val="continue"/>
            <w:tcBorders>
              <w:top w:val="nil"/>
              <w:left w:val="inset" w:color="auto" w:sz="8" w:space="0"/>
              <w:bottom w:val="inset" w:color="auto" w:sz="8" w:space="0"/>
              <w:right w:val="inset" w:color="auto" w:sz="8" w:space="0"/>
            </w:tcBorders>
            <w:vAlign w:val="center"/>
          </w:tcPr>
          <w:p w14:paraId="60000D90">
            <w:pPr>
              <w:widowControl/>
              <w:spacing w:line="300" w:lineRule="exact"/>
              <w:jc w:val="left"/>
              <w:rPr>
                <w:rFonts w:ascii="宋体" w:hAnsi="宋体" w:eastAsia="宋体" w:cs="宋体"/>
                <w:kern w:val="0"/>
                <w:sz w:val="24"/>
                <w:szCs w:val="24"/>
              </w:rPr>
            </w:pPr>
          </w:p>
        </w:tc>
        <w:tc>
          <w:tcPr>
            <w:tcW w:w="6521" w:type="dxa"/>
            <w:gridSpan w:val="2"/>
            <w:tcBorders>
              <w:top w:val="nil"/>
              <w:left w:val="nil"/>
              <w:bottom w:val="inset" w:color="auto" w:sz="8" w:space="0"/>
              <w:right w:val="inset" w:color="auto" w:sz="8" w:space="0"/>
            </w:tcBorders>
            <w:vAlign w:val="center"/>
          </w:tcPr>
          <w:p w14:paraId="7F613E1C">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及时通知当事人领取奖励。</w:t>
            </w:r>
          </w:p>
        </w:tc>
      </w:tr>
      <w:tr w14:paraId="1705C645">
        <w:tblPrEx>
          <w:tblCellMar>
            <w:top w:w="0" w:type="dxa"/>
            <w:left w:w="0" w:type="dxa"/>
            <w:bottom w:w="0" w:type="dxa"/>
            <w:right w:w="0" w:type="dxa"/>
          </w:tblCellMar>
        </w:tblPrEx>
        <w:tc>
          <w:tcPr>
            <w:tcW w:w="8941" w:type="dxa"/>
            <w:gridSpan w:val="6"/>
            <w:tcBorders>
              <w:top w:val="nil"/>
              <w:left w:val="inset" w:color="auto" w:sz="8" w:space="0"/>
              <w:bottom w:val="inset" w:color="auto" w:sz="8" w:space="0"/>
              <w:right w:val="inset" w:color="auto" w:sz="8" w:space="0"/>
            </w:tcBorders>
            <w:vAlign w:val="center"/>
          </w:tcPr>
          <w:p w14:paraId="16179845">
            <w:pPr>
              <w:widowControl/>
              <w:spacing w:after="300" w:line="300" w:lineRule="exact"/>
              <w:jc w:val="center"/>
              <w:rPr>
                <w:rFonts w:ascii="宋体" w:hAnsi="宋体" w:eastAsia="宋体" w:cs="宋体"/>
                <w:kern w:val="0"/>
                <w:sz w:val="24"/>
                <w:szCs w:val="24"/>
              </w:rPr>
            </w:pPr>
            <w:r>
              <w:rPr>
                <w:rFonts w:hint="eastAsia" w:ascii="方正小标宋简体" w:hAnsi="宋体" w:eastAsia="方正小标宋简体" w:cs="宋体"/>
                <w:color w:val="282828"/>
                <w:kern w:val="0"/>
                <w:sz w:val="24"/>
                <w:szCs w:val="24"/>
              </w:rPr>
              <w:t>四、行政检查类行政职权运行通用责任清单</w:t>
            </w:r>
          </w:p>
        </w:tc>
      </w:tr>
      <w:tr w14:paraId="7C62B1D2">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vAlign w:val="center"/>
          </w:tcPr>
          <w:p w14:paraId="2A26CEC1">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序号</w:t>
            </w:r>
          </w:p>
        </w:tc>
        <w:tc>
          <w:tcPr>
            <w:tcW w:w="1102" w:type="dxa"/>
            <w:gridSpan w:val="3"/>
            <w:tcBorders>
              <w:top w:val="nil"/>
              <w:left w:val="nil"/>
              <w:bottom w:val="inset" w:color="auto" w:sz="8" w:space="0"/>
              <w:right w:val="inset" w:color="auto" w:sz="8" w:space="0"/>
            </w:tcBorders>
            <w:vAlign w:val="center"/>
          </w:tcPr>
          <w:p w14:paraId="4C1339EA">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运行环节</w:t>
            </w:r>
          </w:p>
        </w:tc>
        <w:tc>
          <w:tcPr>
            <w:tcW w:w="6337" w:type="dxa"/>
            <w:tcBorders>
              <w:top w:val="nil"/>
              <w:left w:val="nil"/>
              <w:bottom w:val="inset" w:color="auto" w:sz="8" w:space="0"/>
              <w:right w:val="inset" w:color="auto" w:sz="8" w:space="0"/>
            </w:tcBorders>
            <w:vAlign w:val="center"/>
          </w:tcPr>
          <w:p w14:paraId="6FCAA613">
            <w:pPr>
              <w:widowControl/>
              <w:spacing w:after="300" w:line="300" w:lineRule="exact"/>
              <w:jc w:val="center"/>
              <w:rPr>
                <w:rFonts w:ascii="宋体" w:hAnsi="宋体" w:eastAsia="宋体" w:cs="宋体"/>
                <w:kern w:val="0"/>
                <w:sz w:val="24"/>
                <w:szCs w:val="24"/>
              </w:rPr>
            </w:pPr>
            <w:r>
              <w:rPr>
                <w:rFonts w:hint="eastAsia" w:ascii="黑体" w:hAnsi="黑体" w:eastAsia="黑体" w:cs="宋体"/>
                <w:color w:val="282828"/>
                <w:kern w:val="0"/>
                <w:sz w:val="24"/>
                <w:szCs w:val="24"/>
              </w:rPr>
              <w:t>责任事项</w:t>
            </w:r>
          </w:p>
        </w:tc>
      </w:tr>
      <w:tr w14:paraId="232D82E0">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0263DD7B">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w:t>
            </w:r>
          </w:p>
        </w:tc>
        <w:tc>
          <w:tcPr>
            <w:tcW w:w="1102" w:type="dxa"/>
            <w:gridSpan w:val="3"/>
            <w:vMerge w:val="restart"/>
            <w:tcBorders>
              <w:top w:val="nil"/>
              <w:left w:val="nil"/>
              <w:bottom w:val="inset" w:color="auto" w:sz="8" w:space="0"/>
              <w:right w:val="inset" w:color="auto" w:sz="8" w:space="0"/>
            </w:tcBorders>
            <w:vAlign w:val="center"/>
          </w:tcPr>
          <w:p w14:paraId="3B589BCD">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（一）制定方案</w:t>
            </w:r>
          </w:p>
        </w:tc>
        <w:tc>
          <w:tcPr>
            <w:tcW w:w="6337" w:type="dxa"/>
            <w:tcBorders>
              <w:top w:val="nil"/>
              <w:left w:val="nil"/>
              <w:bottom w:val="inset" w:color="auto" w:sz="8" w:space="0"/>
              <w:right w:val="inset" w:color="auto" w:sz="8" w:space="0"/>
            </w:tcBorders>
            <w:vAlign w:val="center"/>
          </w:tcPr>
          <w:p w14:paraId="017A2366">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实施检查前应当依法制定含有正当理由、事项和内容的检查方案。</w:t>
            </w:r>
          </w:p>
        </w:tc>
      </w:tr>
      <w:tr w14:paraId="467DC7B8">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4EFF31B5">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2</w:t>
            </w:r>
          </w:p>
        </w:tc>
        <w:tc>
          <w:tcPr>
            <w:tcW w:w="1102" w:type="dxa"/>
            <w:gridSpan w:val="3"/>
            <w:vMerge w:val="continue"/>
            <w:tcBorders>
              <w:top w:val="nil"/>
              <w:left w:val="nil"/>
              <w:bottom w:val="inset" w:color="auto" w:sz="8" w:space="0"/>
              <w:right w:val="inset" w:color="auto" w:sz="8" w:space="0"/>
            </w:tcBorders>
            <w:vAlign w:val="center"/>
          </w:tcPr>
          <w:p w14:paraId="1A51CD24">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5E2B11C7">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同一行政机关的多个内设机构和下属机构对同一当事人不同事项的行政检查，能够合并检查的应当合并检查。</w:t>
            </w:r>
          </w:p>
        </w:tc>
      </w:tr>
      <w:tr w14:paraId="02ED8EA0">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5D758F0A">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3</w:t>
            </w:r>
          </w:p>
        </w:tc>
        <w:tc>
          <w:tcPr>
            <w:tcW w:w="1102" w:type="dxa"/>
            <w:gridSpan w:val="3"/>
            <w:vMerge w:val="continue"/>
            <w:tcBorders>
              <w:top w:val="nil"/>
              <w:left w:val="nil"/>
              <w:bottom w:val="inset" w:color="auto" w:sz="8" w:space="0"/>
              <w:right w:val="inset" w:color="auto" w:sz="8" w:space="0"/>
            </w:tcBorders>
            <w:vAlign w:val="center"/>
          </w:tcPr>
          <w:p w14:paraId="7D3D4E2A">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17F325A5">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上下级行政机关应当按照级别管辖和地域管辖相结合的原则合理划分检查范围，避免重复检查。</w:t>
            </w:r>
          </w:p>
        </w:tc>
      </w:tr>
      <w:tr w14:paraId="6382AE18">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4016EA1C">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4</w:t>
            </w:r>
          </w:p>
        </w:tc>
        <w:tc>
          <w:tcPr>
            <w:tcW w:w="1102" w:type="dxa"/>
            <w:gridSpan w:val="3"/>
            <w:vMerge w:val="restart"/>
            <w:tcBorders>
              <w:top w:val="nil"/>
              <w:left w:val="nil"/>
              <w:bottom w:val="inset" w:color="auto" w:sz="8" w:space="0"/>
              <w:right w:val="inset" w:color="auto" w:sz="8" w:space="0"/>
            </w:tcBorders>
            <w:vAlign w:val="center"/>
          </w:tcPr>
          <w:p w14:paraId="238D5723">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（二）实施检查</w:t>
            </w:r>
          </w:p>
        </w:tc>
        <w:tc>
          <w:tcPr>
            <w:tcW w:w="6337" w:type="dxa"/>
            <w:tcBorders>
              <w:top w:val="nil"/>
              <w:left w:val="nil"/>
              <w:bottom w:val="inset" w:color="auto" w:sz="8" w:space="0"/>
              <w:right w:val="inset" w:color="auto" w:sz="8" w:space="0"/>
            </w:tcBorders>
            <w:vAlign w:val="center"/>
          </w:tcPr>
          <w:p w14:paraId="2EA87AAA">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依照检查方案规定的时限、范围开展检查。</w:t>
            </w:r>
          </w:p>
        </w:tc>
      </w:tr>
      <w:tr w14:paraId="7C1E2561">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3B9E1CCB">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5</w:t>
            </w:r>
          </w:p>
        </w:tc>
        <w:tc>
          <w:tcPr>
            <w:tcW w:w="1102" w:type="dxa"/>
            <w:gridSpan w:val="3"/>
            <w:vMerge w:val="continue"/>
            <w:tcBorders>
              <w:top w:val="nil"/>
              <w:left w:val="nil"/>
              <w:bottom w:val="inset" w:color="auto" w:sz="8" w:space="0"/>
              <w:right w:val="inset" w:color="auto" w:sz="8" w:space="0"/>
            </w:tcBorders>
            <w:vAlign w:val="center"/>
          </w:tcPr>
          <w:p w14:paraId="62C8E8CB">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6A9B292A">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实施检查时应当出示执法身份证件、检查方案。</w:t>
            </w:r>
          </w:p>
        </w:tc>
      </w:tr>
      <w:tr w14:paraId="18FAE40C">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3FBF7845">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6</w:t>
            </w:r>
          </w:p>
        </w:tc>
        <w:tc>
          <w:tcPr>
            <w:tcW w:w="1102" w:type="dxa"/>
            <w:gridSpan w:val="3"/>
            <w:vMerge w:val="continue"/>
            <w:tcBorders>
              <w:top w:val="nil"/>
              <w:left w:val="nil"/>
              <w:bottom w:val="inset" w:color="auto" w:sz="8" w:space="0"/>
              <w:right w:val="inset" w:color="auto" w:sz="8" w:space="0"/>
            </w:tcBorders>
            <w:vAlign w:val="center"/>
          </w:tcPr>
          <w:p w14:paraId="31022E42">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18C37125">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依法查阅资料、查看现场、听取当事人陈述申辩并取证。</w:t>
            </w:r>
          </w:p>
        </w:tc>
      </w:tr>
      <w:tr w14:paraId="6FD2F0F7">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046EE797">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7</w:t>
            </w:r>
          </w:p>
        </w:tc>
        <w:tc>
          <w:tcPr>
            <w:tcW w:w="1102" w:type="dxa"/>
            <w:gridSpan w:val="3"/>
            <w:vMerge w:val="continue"/>
            <w:tcBorders>
              <w:top w:val="nil"/>
              <w:left w:val="nil"/>
              <w:bottom w:val="inset" w:color="auto" w:sz="8" w:space="0"/>
              <w:right w:val="inset" w:color="auto" w:sz="8" w:space="0"/>
            </w:tcBorders>
            <w:vAlign w:val="center"/>
          </w:tcPr>
          <w:p w14:paraId="0896C719">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736694B0">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实施检查应当不影响当事人的正常生产经营活动与生活。</w:t>
            </w:r>
          </w:p>
        </w:tc>
      </w:tr>
      <w:tr w14:paraId="7EA19492">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470D4D47">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8</w:t>
            </w:r>
          </w:p>
        </w:tc>
        <w:tc>
          <w:tcPr>
            <w:tcW w:w="1102" w:type="dxa"/>
            <w:gridSpan w:val="3"/>
            <w:vMerge w:val="continue"/>
            <w:tcBorders>
              <w:top w:val="nil"/>
              <w:left w:val="nil"/>
              <w:bottom w:val="inset" w:color="auto" w:sz="8" w:space="0"/>
              <w:right w:val="inset" w:color="auto" w:sz="8" w:space="0"/>
            </w:tcBorders>
            <w:vAlign w:val="center"/>
          </w:tcPr>
          <w:p w14:paraId="598A1920">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29BD19B6">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依法告知当事人检查中发现的违法行为及处理意见，对不服处理意见的，可以依法申请行政复议或提起行政诉讼。</w:t>
            </w:r>
          </w:p>
        </w:tc>
      </w:tr>
      <w:tr w14:paraId="04389B93">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3A5A0856">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9</w:t>
            </w:r>
          </w:p>
        </w:tc>
        <w:tc>
          <w:tcPr>
            <w:tcW w:w="1102" w:type="dxa"/>
            <w:gridSpan w:val="3"/>
            <w:vMerge w:val="continue"/>
            <w:tcBorders>
              <w:top w:val="nil"/>
              <w:left w:val="nil"/>
              <w:bottom w:val="inset" w:color="auto" w:sz="8" w:space="0"/>
              <w:right w:val="inset" w:color="auto" w:sz="8" w:space="0"/>
            </w:tcBorders>
            <w:vAlign w:val="center"/>
          </w:tcPr>
          <w:p w14:paraId="05603313">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35F25BA5">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对检查中发现的违法行为应当予以制止和纠正。</w:t>
            </w:r>
          </w:p>
        </w:tc>
      </w:tr>
      <w:tr w14:paraId="5CC8A683">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3698FD62">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10</w:t>
            </w:r>
          </w:p>
        </w:tc>
        <w:tc>
          <w:tcPr>
            <w:tcW w:w="1102" w:type="dxa"/>
            <w:gridSpan w:val="3"/>
            <w:vMerge w:val="continue"/>
            <w:tcBorders>
              <w:top w:val="nil"/>
              <w:left w:val="nil"/>
              <w:bottom w:val="inset" w:color="auto" w:sz="8" w:space="0"/>
              <w:right w:val="inset" w:color="auto" w:sz="8" w:space="0"/>
            </w:tcBorders>
            <w:vAlign w:val="center"/>
          </w:tcPr>
          <w:p w14:paraId="4E7AD126">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04DE587F">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实施行政检查中不得乱收费、乱罚款、乱摊派，严禁吃、拿、卡、要。</w:t>
            </w:r>
          </w:p>
        </w:tc>
      </w:tr>
      <w:tr w14:paraId="47B6AD73">
        <w:tblPrEx>
          <w:tblCellMar>
            <w:top w:w="0" w:type="dxa"/>
            <w:left w:w="0" w:type="dxa"/>
            <w:bottom w:w="0" w:type="dxa"/>
            <w:right w:w="0" w:type="dxa"/>
          </w:tblCellMar>
        </w:tblPrEx>
        <w:tc>
          <w:tcPr>
            <w:tcW w:w="1502" w:type="dxa"/>
            <w:gridSpan w:val="2"/>
            <w:tcBorders>
              <w:top w:val="nil"/>
              <w:left w:val="inset" w:color="auto" w:sz="8" w:space="0"/>
              <w:bottom w:val="inset" w:color="auto" w:sz="8" w:space="0"/>
              <w:right w:val="inset" w:color="auto" w:sz="8" w:space="0"/>
            </w:tcBorders>
            <w:noWrap/>
            <w:vAlign w:val="center"/>
          </w:tcPr>
          <w:p w14:paraId="43C2E27F">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11</w:t>
            </w:r>
          </w:p>
        </w:tc>
        <w:tc>
          <w:tcPr>
            <w:tcW w:w="1102" w:type="dxa"/>
            <w:gridSpan w:val="3"/>
            <w:vMerge w:val="continue"/>
            <w:tcBorders>
              <w:top w:val="nil"/>
              <w:left w:val="nil"/>
              <w:bottom w:val="inset" w:color="auto" w:sz="8" w:space="0"/>
              <w:right w:val="inset" w:color="auto" w:sz="8" w:space="0"/>
            </w:tcBorders>
            <w:vAlign w:val="center"/>
          </w:tcPr>
          <w:p w14:paraId="276C34D0">
            <w:pPr>
              <w:widowControl/>
              <w:spacing w:line="300" w:lineRule="exact"/>
              <w:jc w:val="left"/>
              <w:rPr>
                <w:rFonts w:ascii="宋体" w:hAnsi="宋体" w:eastAsia="宋体" w:cs="宋体"/>
                <w:kern w:val="0"/>
                <w:sz w:val="24"/>
                <w:szCs w:val="24"/>
              </w:rPr>
            </w:pPr>
          </w:p>
        </w:tc>
        <w:tc>
          <w:tcPr>
            <w:tcW w:w="6337" w:type="dxa"/>
            <w:tcBorders>
              <w:top w:val="nil"/>
              <w:left w:val="nil"/>
              <w:bottom w:val="inset" w:color="auto" w:sz="8" w:space="0"/>
              <w:right w:val="inset" w:color="auto" w:sz="8" w:space="0"/>
            </w:tcBorders>
            <w:vAlign w:val="center"/>
          </w:tcPr>
          <w:p w14:paraId="08CC0189">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不得放弃、推诿、拖延、拒绝履行检查职责。</w:t>
            </w:r>
          </w:p>
        </w:tc>
      </w:tr>
      <w:tr w14:paraId="1EDDAFAA">
        <w:tblPrEx>
          <w:tblCellMar>
            <w:top w:w="0" w:type="dxa"/>
            <w:left w:w="0" w:type="dxa"/>
            <w:bottom w:w="0" w:type="dxa"/>
            <w:right w:w="0" w:type="dxa"/>
          </w:tblCellMar>
        </w:tblPrEx>
        <w:tc>
          <w:tcPr>
            <w:tcW w:w="1502" w:type="dxa"/>
            <w:gridSpan w:val="2"/>
            <w:tcBorders>
              <w:top w:val="inset" w:color="auto" w:sz="8" w:space="0"/>
              <w:left w:val="inset" w:color="auto" w:sz="8" w:space="0"/>
              <w:bottom w:val="single" w:color="auto" w:sz="4" w:space="0"/>
              <w:right w:val="inset" w:color="auto" w:sz="8" w:space="0"/>
            </w:tcBorders>
            <w:vAlign w:val="center"/>
          </w:tcPr>
          <w:p w14:paraId="7564E1F4">
            <w:pPr>
              <w:widowControl/>
              <w:spacing w:after="300" w:line="300" w:lineRule="exact"/>
              <w:jc w:val="center"/>
              <w:rPr>
                <w:rFonts w:ascii="宋体" w:hAnsi="宋体" w:eastAsia="宋体" w:cs="宋体"/>
                <w:kern w:val="0"/>
                <w:sz w:val="24"/>
                <w:szCs w:val="24"/>
              </w:rPr>
            </w:pPr>
            <w:r>
              <w:rPr>
                <w:rFonts w:ascii="宋体" w:hAnsi="宋体" w:eastAsia="宋体" w:cs="宋体"/>
                <w:color w:val="282828"/>
                <w:kern w:val="0"/>
                <w:sz w:val="24"/>
                <w:szCs w:val="24"/>
              </w:rPr>
              <w:t>12</w:t>
            </w:r>
          </w:p>
        </w:tc>
        <w:tc>
          <w:tcPr>
            <w:tcW w:w="1102" w:type="dxa"/>
            <w:gridSpan w:val="3"/>
            <w:tcBorders>
              <w:top w:val="inset" w:color="auto" w:sz="8" w:space="0"/>
              <w:left w:val="nil"/>
              <w:bottom w:val="single" w:color="auto" w:sz="4" w:space="0"/>
              <w:right w:val="inset" w:color="auto" w:sz="8" w:space="0"/>
            </w:tcBorders>
            <w:vAlign w:val="center"/>
          </w:tcPr>
          <w:p w14:paraId="3C1491D1">
            <w:pPr>
              <w:widowControl/>
              <w:spacing w:after="300" w:line="300" w:lineRule="exact"/>
              <w:jc w:val="center"/>
              <w:rPr>
                <w:rFonts w:ascii="宋体" w:hAnsi="宋体" w:eastAsia="宋体" w:cs="宋体"/>
                <w:kern w:val="0"/>
                <w:sz w:val="24"/>
                <w:szCs w:val="24"/>
              </w:rPr>
            </w:pPr>
            <w:r>
              <w:rPr>
                <w:rFonts w:hint="eastAsia" w:ascii="宋体" w:hAnsi="宋体" w:eastAsia="宋体" w:cs="宋体"/>
                <w:b/>
                <w:bCs/>
                <w:color w:val="282828"/>
                <w:kern w:val="0"/>
                <w:sz w:val="24"/>
                <w:szCs w:val="24"/>
              </w:rPr>
              <w:t>（三）事后监管</w:t>
            </w:r>
          </w:p>
        </w:tc>
        <w:tc>
          <w:tcPr>
            <w:tcW w:w="6337" w:type="dxa"/>
            <w:tcBorders>
              <w:top w:val="inset" w:color="auto" w:sz="8" w:space="0"/>
              <w:left w:val="nil"/>
              <w:bottom w:val="single" w:color="auto" w:sz="4" w:space="0"/>
              <w:right w:val="inset" w:color="auto" w:sz="8" w:space="0"/>
            </w:tcBorders>
            <w:vAlign w:val="center"/>
          </w:tcPr>
          <w:p w14:paraId="4D1B09FA">
            <w:pPr>
              <w:widowControl/>
              <w:spacing w:after="300" w:line="300" w:lineRule="exact"/>
              <w:jc w:val="center"/>
              <w:rPr>
                <w:rFonts w:ascii="宋体" w:hAnsi="宋体" w:eastAsia="宋体" w:cs="宋体"/>
                <w:kern w:val="0"/>
                <w:sz w:val="24"/>
                <w:szCs w:val="24"/>
              </w:rPr>
            </w:pPr>
            <w:r>
              <w:rPr>
                <w:rFonts w:hint="eastAsia" w:ascii="宋体" w:hAnsi="宋体" w:eastAsia="宋体" w:cs="宋体"/>
                <w:color w:val="282828"/>
                <w:kern w:val="0"/>
                <w:sz w:val="24"/>
                <w:szCs w:val="24"/>
              </w:rPr>
              <w:t>对检查情况进行汇总、分类、归档备查，并跟踪监测。</w:t>
            </w:r>
          </w:p>
        </w:tc>
      </w:tr>
      <w:tr w14:paraId="3331F488">
        <w:tblPrEx>
          <w:tblCellMar>
            <w:top w:w="0" w:type="dxa"/>
            <w:left w:w="0" w:type="dxa"/>
            <w:bottom w:w="0" w:type="dxa"/>
            <w:right w:w="0" w:type="dxa"/>
          </w:tblCellMar>
        </w:tblPrEx>
        <w:trPr>
          <w:trHeight w:val="80" w:hRule="atLeast"/>
        </w:trPr>
        <w:tc>
          <w:tcPr>
            <w:tcW w:w="1502" w:type="dxa"/>
            <w:gridSpan w:val="2"/>
            <w:tcBorders>
              <w:top w:val="single" w:color="auto" w:sz="4" w:space="0"/>
              <w:left w:val="inset" w:color="auto" w:sz="8" w:space="0"/>
              <w:bottom w:val="inset" w:color="auto" w:sz="8" w:space="0"/>
              <w:right w:val="inset" w:color="auto" w:sz="8" w:space="0"/>
            </w:tcBorders>
            <w:vAlign w:val="center"/>
          </w:tcPr>
          <w:p w14:paraId="7B98CB87">
            <w:pPr>
              <w:widowControl/>
              <w:jc w:val="left"/>
              <w:rPr>
                <w:rFonts w:ascii="Arial" w:hAnsi="Arial" w:eastAsia="宋体" w:cs="Arial"/>
                <w:kern w:val="0"/>
                <w:sz w:val="8"/>
                <w:szCs w:val="21"/>
              </w:rPr>
            </w:pPr>
          </w:p>
        </w:tc>
        <w:tc>
          <w:tcPr>
            <w:tcW w:w="1102" w:type="dxa"/>
            <w:gridSpan w:val="3"/>
            <w:tcBorders>
              <w:top w:val="single" w:color="auto" w:sz="4" w:space="0"/>
              <w:left w:val="nil"/>
              <w:bottom w:val="inset" w:color="auto" w:sz="8" w:space="0"/>
              <w:right w:val="inset" w:color="auto" w:sz="8" w:space="0"/>
            </w:tcBorders>
            <w:vAlign w:val="center"/>
          </w:tcPr>
          <w:p w14:paraId="2F146212">
            <w:pPr>
              <w:widowControl/>
              <w:jc w:val="left"/>
              <w:rPr>
                <w:rFonts w:ascii="Arial" w:hAnsi="Arial" w:eastAsia="宋体" w:cs="Arial"/>
                <w:kern w:val="0"/>
                <w:sz w:val="8"/>
                <w:szCs w:val="21"/>
              </w:rPr>
            </w:pPr>
          </w:p>
        </w:tc>
        <w:tc>
          <w:tcPr>
            <w:tcW w:w="6337" w:type="dxa"/>
            <w:tcBorders>
              <w:top w:val="single" w:color="auto" w:sz="4" w:space="0"/>
              <w:left w:val="nil"/>
              <w:bottom w:val="inset" w:color="auto" w:sz="8" w:space="0"/>
              <w:right w:val="inset" w:color="auto" w:sz="8" w:space="0"/>
            </w:tcBorders>
            <w:vAlign w:val="center"/>
          </w:tcPr>
          <w:p w14:paraId="39A53131">
            <w:pPr>
              <w:widowControl/>
              <w:jc w:val="left"/>
              <w:rPr>
                <w:rFonts w:ascii="Arial" w:hAnsi="Arial" w:eastAsia="宋体" w:cs="Arial"/>
                <w:kern w:val="0"/>
                <w:sz w:val="8"/>
                <w:szCs w:val="21"/>
              </w:rPr>
            </w:pPr>
          </w:p>
        </w:tc>
      </w:tr>
    </w:tbl>
    <w:p w14:paraId="6E59D0F6">
      <w:pPr>
        <w:rPr>
          <w:rFonts w:hint="eastAsi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C2E"/>
    <w:rsid w:val="00001203"/>
    <w:rsid w:val="00012375"/>
    <w:rsid w:val="00017948"/>
    <w:rsid w:val="00026161"/>
    <w:rsid w:val="0004651D"/>
    <w:rsid w:val="00056A05"/>
    <w:rsid w:val="00063687"/>
    <w:rsid w:val="00064352"/>
    <w:rsid w:val="0007318C"/>
    <w:rsid w:val="00082D42"/>
    <w:rsid w:val="00090496"/>
    <w:rsid w:val="00096D05"/>
    <w:rsid w:val="000B1421"/>
    <w:rsid w:val="000F3175"/>
    <w:rsid w:val="000F4A97"/>
    <w:rsid w:val="00125D06"/>
    <w:rsid w:val="001270FC"/>
    <w:rsid w:val="00130BF2"/>
    <w:rsid w:val="001A2983"/>
    <w:rsid w:val="001F0F37"/>
    <w:rsid w:val="001F17A8"/>
    <w:rsid w:val="00202C25"/>
    <w:rsid w:val="00207EE4"/>
    <w:rsid w:val="00223D32"/>
    <w:rsid w:val="0024213B"/>
    <w:rsid w:val="00264F1F"/>
    <w:rsid w:val="00296C1F"/>
    <w:rsid w:val="002B0410"/>
    <w:rsid w:val="002F35F6"/>
    <w:rsid w:val="002F5353"/>
    <w:rsid w:val="00303905"/>
    <w:rsid w:val="00326A0B"/>
    <w:rsid w:val="0034575B"/>
    <w:rsid w:val="003667C8"/>
    <w:rsid w:val="00382B75"/>
    <w:rsid w:val="00385D10"/>
    <w:rsid w:val="003A15E1"/>
    <w:rsid w:val="003A70F2"/>
    <w:rsid w:val="003C48C1"/>
    <w:rsid w:val="003C5A8B"/>
    <w:rsid w:val="003F4523"/>
    <w:rsid w:val="004105B2"/>
    <w:rsid w:val="004A76F5"/>
    <w:rsid w:val="004B351F"/>
    <w:rsid w:val="004E61BE"/>
    <w:rsid w:val="004F0E64"/>
    <w:rsid w:val="004F3063"/>
    <w:rsid w:val="004F391D"/>
    <w:rsid w:val="00506673"/>
    <w:rsid w:val="00533CDF"/>
    <w:rsid w:val="00550C08"/>
    <w:rsid w:val="0057611C"/>
    <w:rsid w:val="005A10A4"/>
    <w:rsid w:val="005B70F4"/>
    <w:rsid w:val="005C572A"/>
    <w:rsid w:val="005D6728"/>
    <w:rsid w:val="005E005D"/>
    <w:rsid w:val="005E1F8B"/>
    <w:rsid w:val="00652AA9"/>
    <w:rsid w:val="00652EAF"/>
    <w:rsid w:val="0066110A"/>
    <w:rsid w:val="00682D51"/>
    <w:rsid w:val="006A6FA0"/>
    <w:rsid w:val="006B01F7"/>
    <w:rsid w:val="006B4752"/>
    <w:rsid w:val="006C066B"/>
    <w:rsid w:val="006D1620"/>
    <w:rsid w:val="006D2604"/>
    <w:rsid w:val="006F4B1E"/>
    <w:rsid w:val="006F580F"/>
    <w:rsid w:val="0070123F"/>
    <w:rsid w:val="00714829"/>
    <w:rsid w:val="00715F36"/>
    <w:rsid w:val="007205AA"/>
    <w:rsid w:val="00752A62"/>
    <w:rsid w:val="00762E30"/>
    <w:rsid w:val="007702B6"/>
    <w:rsid w:val="007B7D86"/>
    <w:rsid w:val="007D3CF3"/>
    <w:rsid w:val="007F7249"/>
    <w:rsid w:val="007F7B4B"/>
    <w:rsid w:val="00800E3E"/>
    <w:rsid w:val="00802C2D"/>
    <w:rsid w:val="00841F4E"/>
    <w:rsid w:val="00844C13"/>
    <w:rsid w:val="00861C84"/>
    <w:rsid w:val="0086682B"/>
    <w:rsid w:val="008816B4"/>
    <w:rsid w:val="00895C76"/>
    <w:rsid w:val="008C07B6"/>
    <w:rsid w:val="008D6695"/>
    <w:rsid w:val="00942DBB"/>
    <w:rsid w:val="00970767"/>
    <w:rsid w:val="00972A5A"/>
    <w:rsid w:val="00981288"/>
    <w:rsid w:val="00981A78"/>
    <w:rsid w:val="009962A5"/>
    <w:rsid w:val="009D77D1"/>
    <w:rsid w:val="009E38EA"/>
    <w:rsid w:val="00A4379F"/>
    <w:rsid w:val="00A47BED"/>
    <w:rsid w:val="00A63FCB"/>
    <w:rsid w:val="00A70AEA"/>
    <w:rsid w:val="00AC07E4"/>
    <w:rsid w:val="00AC1A94"/>
    <w:rsid w:val="00AD1B89"/>
    <w:rsid w:val="00AD309C"/>
    <w:rsid w:val="00AE0608"/>
    <w:rsid w:val="00B031CF"/>
    <w:rsid w:val="00B7274F"/>
    <w:rsid w:val="00B76FAC"/>
    <w:rsid w:val="00B8280C"/>
    <w:rsid w:val="00BA2F28"/>
    <w:rsid w:val="00BA4BED"/>
    <w:rsid w:val="00BA6C66"/>
    <w:rsid w:val="00BC1197"/>
    <w:rsid w:val="00BC514D"/>
    <w:rsid w:val="00C40A1E"/>
    <w:rsid w:val="00C70DD9"/>
    <w:rsid w:val="00C76642"/>
    <w:rsid w:val="00CB65FC"/>
    <w:rsid w:val="00CC1089"/>
    <w:rsid w:val="00CF01A2"/>
    <w:rsid w:val="00CF045B"/>
    <w:rsid w:val="00CF1523"/>
    <w:rsid w:val="00D11682"/>
    <w:rsid w:val="00D1535F"/>
    <w:rsid w:val="00D27504"/>
    <w:rsid w:val="00D55C2E"/>
    <w:rsid w:val="00D66BE9"/>
    <w:rsid w:val="00D7093A"/>
    <w:rsid w:val="00D9290B"/>
    <w:rsid w:val="00DA1CCF"/>
    <w:rsid w:val="00DD1B2B"/>
    <w:rsid w:val="00DE0C76"/>
    <w:rsid w:val="00DE2A6E"/>
    <w:rsid w:val="00E05ADB"/>
    <w:rsid w:val="00E65255"/>
    <w:rsid w:val="00E7713A"/>
    <w:rsid w:val="00E91343"/>
    <w:rsid w:val="00EB7BDB"/>
    <w:rsid w:val="00EE73D7"/>
    <w:rsid w:val="00F506D1"/>
    <w:rsid w:val="00F518F6"/>
    <w:rsid w:val="00F609B5"/>
    <w:rsid w:val="00F84AF2"/>
    <w:rsid w:val="00F9651C"/>
    <w:rsid w:val="00FD00B3"/>
    <w:rsid w:val="00FE3D00"/>
    <w:rsid w:val="00FE4A3F"/>
    <w:rsid w:val="00FF33BB"/>
    <w:rsid w:val="028F0FA4"/>
    <w:rsid w:val="2D3446B2"/>
    <w:rsid w:val="FEE5F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274</Words>
  <Characters>1562</Characters>
  <Lines>13</Lines>
  <Paragraphs>3</Paragraphs>
  <TotalTime>13</TotalTime>
  <ScaleCrop>false</ScaleCrop>
  <LinksUpToDate>false</LinksUpToDate>
  <CharactersWithSpaces>1833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2021-10-20T17:08:00Z</dcterms:created>
  <dc:creator>CHEN</dc:creator>
  <cp:lastModifiedBy>法制科</cp:lastModifiedBy>
  <dcterms:modified xsi:type="dcterms:W3CDTF">2026-06-26T10:05:14Z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E21DD65BCDB47AA05ADE3D6ACDE082DE_43</vt:lpwstr>
  </property>
</Properties>
</file>