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行政许可听证标准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  <w:shd w:val="clear" w:fill="FFFFFF"/>
        </w:rPr>
        <w:t>行政许可直接涉及申请人与他人之间重大利益关系的，行政机关在作出行政许可决定前，应当告知申请人、利害关系人享有要求听证的权利；申请人、利害关系人在被告知听证权利之日起五日内提出听证申请的，行政机关应当在二十日内组织听证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E059A"/>
    <w:rsid w:val="465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005C81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uiPriority w:val="0"/>
    <w:rPr>
      <w:color w:val="005C8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2026-06-18T06:41:52Z</dcterms:created>
  <dc:creator>Administrator</dc:creator>
  <cp:lastModifiedBy>Administrator</cp:lastModifiedBy>
  <dcterms:modified xsi:type="dcterms:W3CDTF">2026-06-18T06:46:02Z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737373B424684168B4627FC02859B669</vt:lpwstr>
  </property>
</Properties>
</file>