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关于《西城区“十五五”时期园林绿化发展规划（征求意见稿）》的起草说明</w:t>
      </w:r>
    </w:p>
    <w:p>
      <w:pPr>
        <w:rPr>
          <w:rFonts w:hint="eastAsia" w:ascii="仿宋_GB2312" w:eastAsia="仿宋_GB2312"/>
          <w:sz w:val="32"/>
          <w:szCs w:val="36"/>
        </w:rPr>
      </w:pPr>
    </w:p>
    <w:p>
      <w:pPr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一、编制过程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6"/>
          <w:szCs w:val="40"/>
        </w:rPr>
      </w:pPr>
      <w:r>
        <w:rPr>
          <w:rFonts w:hint="eastAsia" w:ascii="仿宋_GB2312" w:eastAsia="仿宋_GB2312"/>
          <w:sz w:val="32"/>
          <w:szCs w:val="36"/>
        </w:rPr>
        <w:t>“十五五”时期，西城区作为首都功能核心区，承担</w:t>
      </w:r>
      <w:bookmarkStart w:id="0" w:name="_GoBack"/>
      <w:bookmarkEnd w:id="0"/>
      <w:r>
        <w:rPr>
          <w:rFonts w:hint="eastAsia" w:ascii="仿宋_GB2312" w:eastAsia="仿宋_GB2312"/>
          <w:sz w:val="32"/>
          <w:szCs w:val="36"/>
        </w:rPr>
        <w:t>着在北京率先基本实现社会主义现代化进程中当先锋、作标杆的重要使命。当前，北京市正全面推进花园城市建设，对园林绿化工作提出了更高要求。为科学谋划西城区“十五五”时期园林绿化发展目标、路径和重点任务，本规划在系统总结“十四五”成效问题、深入开展专题调研的基础上，对标北京市“十五五”规划纲要关于花园城市建设的战略部署，并紧密衔接西城区“十五五”规划纲要各项要求，经与相关部门、各街道及专家深入研讨和多轮修改完善，形成本征求意见稿。</w:t>
      </w:r>
    </w:p>
    <w:p>
      <w:pPr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 xml:space="preserve"> 二、规划编制的总体思路</w:t>
      </w:r>
    </w:p>
    <w:p>
      <w:pPr>
        <w:spacing w:after="0" w:line="360" w:lineRule="auto"/>
        <w:ind w:firstLine="640" w:firstLineChars="200"/>
        <w:jc w:val="both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规划全面落实党的二十大和二十届历次全会精神，以习近平总书记对北京重要讲话精神为根本遵循，紧扣“四个中心”城市战略定位，以“十五五”时期全面推进花园城市建设为主线，坚持问题导向和目标导向相结合，紧扣“十五五”期末花园城市建设取得重要进展这一总目标，明确具体指标和任务，将“京味国韵·花满西城”的美好愿景转化为具体行动和生动实践。 </w:t>
      </w:r>
    </w:p>
    <w:p>
      <w:pPr>
        <w:spacing w:after="0" w:line="360" w:lineRule="auto"/>
        <w:ind w:firstLine="643" w:firstLineChars="200"/>
        <w:jc w:val="both"/>
        <w:rPr>
          <w:rFonts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三、规划主要内容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规划内容共分为四大部分，</w:t>
      </w:r>
      <w:r>
        <w:rPr>
          <w:rFonts w:ascii="仿宋_GB2312" w:eastAsia="仿宋_GB2312"/>
          <w:sz w:val="32"/>
          <w:szCs w:val="36"/>
        </w:rPr>
        <w:t>第一部分</w:t>
      </w:r>
      <w:r>
        <w:rPr>
          <w:rFonts w:hint="eastAsia" w:ascii="仿宋_GB2312" w:eastAsia="仿宋_GB2312"/>
          <w:sz w:val="32"/>
          <w:szCs w:val="36"/>
        </w:rPr>
        <w:t>为“</w:t>
      </w:r>
      <w:r>
        <w:rPr>
          <w:rFonts w:ascii="仿宋_GB2312" w:eastAsia="仿宋_GB2312"/>
          <w:sz w:val="32"/>
          <w:szCs w:val="36"/>
        </w:rPr>
        <w:t>十四五</w:t>
      </w:r>
      <w:r>
        <w:rPr>
          <w:rFonts w:hint="eastAsia" w:ascii="仿宋_GB2312" w:eastAsia="仿宋_GB2312"/>
          <w:sz w:val="32"/>
          <w:szCs w:val="36"/>
        </w:rPr>
        <w:t>”</w:t>
      </w:r>
      <w:r>
        <w:rPr>
          <w:rFonts w:ascii="仿宋_GB2312" w:eastAsia="仿宋_GB2312"/>
          <w:sz w:val="32"/>
          <w:szCs w:val="36"/>
        </w:rPr>
        <w:t>基础与成效、主要问题、形势分析</w:t>
      </w:r>
      <w:r>
        <w:rPr>
          <w:rFonts w:hint="eastAsia" w:ascii="仿宋_GB2312" w:eastAsia="仿宋_GB2312"/>
          <w:sz w:val="32"/>
          <w:szCs w:val="36"/>
        </w:rPr>
        <w:t>；</w:t>
      </w:r>
      <w:r>
        <w:rPr>
          <w:rFonts w:ascii="仿宋_GB2312" w:eastAsia="仿宋_GB2312"/>
          <w:sz w:val="32"/>
          <w:szCs w:val="36"/>
        </w:rPr>
        <w:t>第二部分</w:t>
      </w:r>
      <w:r>
        <w:rPr>
          <w:rFonts w:hint="eastAsia" w:ascii="仿宋_GB2312" w:eastAsia="仿宋_GB2312"/>
          <w:sz w:val="32"/>
          <w:szCs w:val="36"/>
        </w:rPr>
        <w:t>为</w:t>
      </w:r>
      <w:r>
        <w:rPr>
          <w:rFonts w:ascii="仿宋_GB2312" w:eastAsia="仿宋_GB2312"/>
          <w:sz w:val="32"/>
          <w:szCs w:val="36"/>
        </w:rPr>
        <w:t>指导思想、基本原则、发展目标</w:t>
      </w:r>
      <w:r>
        <w:rPr>
          <w:rFonts w:hint="eastAsia" w:ascii="仿宋_GB2312" w:eastAsia="仿宋_GB2312"/>
          <w:sz w:val="32"/>
          <w:szCs w:val="36"/>
        </w:rPr>
        <w:t>；</w:t>
      </w:r>
      <w:r>
        <w:rPr>
          <w:rFonts w:ascii="仿宋_GB2312" w:eastAsia="仿宋_GB2312"/>
          <w:sz w:val="32"/>
          <w:szCs w:val="36"/>
        </w:rPr>
        <w:t>第三部分</w:t>
      </w:r>
      <w:r>
        <w:rPr>
          <w:rFonts w:hint="eastAsia" w:ascii="仿宋_GB2312" w:eastAsia="仿宋_GB2312"/>
          <w:sz w:val="32"/>
          <w:szCs w:val="36"/>
        </w:rPr>
        <w:t>为“十五五”时期</w:t>
      </w:r>
      <w:r>
        <w:rPr>
          <w:rFonts w:ascii="仿宋_GB2312" w:eastAsia="仿宋_GB2312"/>
          <w:sz w:val="32"/>
          <w:szCs w:val="36"/>
        </w:rPr>
        <w:t>六大主要任务</w:t>
      </w:r>
      <w:r>
        <w:rPr>
          <w:rFonts w:hint="eastAsia" w:ascii="仿宋_GB2312" w:eastAsia="仿宋_GB2312"/>
          <w:sz w:val="32"/>
          <w:szCs w:val="36"/>
        </w:rPr>
        <w:t>；</w:t>
      </w:r>
      <w:r>
        <w:rPr>
          <w:rFonts w:ascii="仿宋_GB2312" w:eastAsia="仿宋_GB2312"/>
          <w:sz w:val="32"/>
          <w:szCs w:val="36"/>
        </w:rPr>
        <w:t>第四部分</w:t>
      </w:r>
      <w:r>
        <w:rPr>
          <w:rFonts w:hint="eastAsia" w:ascii="仿宋_GB2312" w:eastAsia="仿宋_GB2312"/>
          <w:sz w:val="32"/>
          <w:szCs w:val="36"/>
        </w:rPr>
        <w:t>为</w:t>
      </w:r>
      <w:r>
        <w:rPr>
          <w:rFonts w:ascii="仿宋_GB2312" w:eastAsia="仿宋_GB2312"/>
          <w:sz w:val="32"/>
          <w:szCs w:val="36"/>
        </w:rPr>
        <w:t>保障措施</w:t>
      </w:r>
      <w:r>
        <w:rPr>
          <w:rFonts w:hint="eastAsia" w:ascii="仿宋_GB2312" w:eastAsia="仿宋_GB2312"/>
          <w:sz w:val="32"/>
          <w:szCs w:val="36"/>
        </w:rPr>
        <w:t>。规划紧扣在新时代首都发展中立标杆、当先锋的</w:t>
      </w:r>
      <w:r>
        <w:rPr>
          <w:rFonts w:ascii="仿宋_GB2312" w:eastAsia="仿宋_GB2312"/>
          <w:sz w:val="32"/>
          <w:szCs w:val="36"/>
        </w:rPr>
        <w:t>目标，</w:t>
      </w:r>
      <w:r>
        <w:rPr>
          <w:rFonts w:hint="eastAsia" w:ascii="仿宋_GB2312" w:eastAsia="仿宋_GB2312"/>
          <w:sz w:val="32"/>
          <w:szCs w:val="36"/>
        </w:rPr>
        <w:t>围绕西城区花园城市建设“六个一百”目标，提出“十五五”时期的具体目标和指标要求。</w:t>
      </w:r>
    </w:p>
    <w:p>
      <w:pPr>
        <w:spacing w:after="0" w:line="360" w:lineRule="auto"/>
        <w:ind w:firstLine="640" w:firstLineChars="200"/>
        <w:jc w:val="both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“十五五”时期，紧密围绕花园城市建设目标，夯实绿色空间基底，构建城园交融的花园西城。</w:t>
      </w:r>
      <w:r>
        <w:rPr>
          <w:rFonts w:ascii="仿宋_GB2312" w:eastAsia="仿宋_GB2312"/>
          <w:sz w:val="32"/>
          <w:szCs w:val="36"/>
        </w:rPr>
        <w:t> 围绕六个方面部署重点任务。一是聚焦重点区域，构建花园城市空间格局，包括中轴绿廊保护、长安街及纵深地区景观提升、二环路景观廊道建设、皇城城廓整治提升等。二是推进普惠共享，优化公园游憩体系，以</w:t>
      </w:r>
      <w:r>
        <w:rPr>
          <w:rFonts w:hint="eastAsia" w:ascii="仿宋_GB2312" w:eastAsia="仿宋_GB2312"/>
          <w:sz w:val="32"/>
          <w:szCs w:val="36"/>
        </w:rPr>
        <w:t>“百园”</w:t>
      </w:r>
      <w:r>
        <w:rPr>
          <w:rFonts w:ascii="仿宋_GB2312" w:eastAsia="仿宋_GB2312"/>
          <w:sz w:val="32"/>
          <w:szCs w:val="36"/>
        </w:rPr>
        <w:t>为目标优化公园布局，持续推进</w:t>
      </w:r>
      <w:r>
        <w:rPr>
          <w:rFonts w:hint="eastAsia" w:ascii="仿宋_GB2312" w:eastAsia="仿宋_GB2312"/>
          <w:sz w:val="32"/>
          <w:szCs w:val="36"/>
        </w:rPr>
        <w:t>公园品质提升、活力激发</w:t>
      </w:r>
      <w:r>
        <w:rPr>
          <w:rFonts w:ascii="仿宋_GB2312" w:eastAsia="仿宋_GB2312"/>
          <w:sz w:val="32"/>
          <w:szCs w:val="36"/>
        </w:rPr>
        <w:t>和城市微花园建设</w:t>
      </w:r>
      <w:r>
        <w:rPr>
          <w:rFonts w:hint="eastAsia" w:ascii="仿宋_GB2312" w:eastAsia="仿宋_GB2312"/>
          <w:sz w:val="32"/>
          <w:szCs w:val="36"/>
        </w:rPr>
        <w:t>。</w:t>
      </w:r>
      <w:r>
        <w:rPr>
          <w:rFonts w:ascii="仿宋_GB2312" w:eastAsia="仿宋_GB2312"/>
          <w:sz w:val="32"/>
          <w:szCs w:val="36"/>
        </w:rPr>
        <w:t>三是促进资源链接，构建融合贯通的绿道体系与城市画廊，以百条绿道及城市画廊串联生态、文化、休闲资源</w:t>
      </w:r>
      <w:r>
        <w:rPr>
          <w:rFonts w:hint="eastAsia" w:ascii="仿宋_GB2312" w:eastAsia="仿宋_GB2312"/>
          <w:sz w:val="32"/>
          <w:szCs w:val="36"/>
        </w:rPr>
        <w:t>。</w:t>
      </w:r>
      <w:r>
        <w:rPr>
          <w:rFonts w:ascii="仿宋_GB2312" w:eastAsia="仿宋_GB2312"/>
          <w:sz w:val="32"/>
          <w:szCs w:val="36"/>
        </w:rPr>
        <w:t>四是营造花园场景，</w:t>
      </w:r>
      <w:r>
        <w:rPr>
          <w:rFonts w:hint="eastAsia" w:ascii="仿宋_GB2312" w:eastAsia="仿宋_GB2312"/>
          <w:sz w:val="32"/>
          <w:szCs w:val="36"/>
        </w:rPr>
        <w:t>打造城园融合的</w:t>
      </w:r>
      <w:r>
        <w:rPr>
          <w:rFonts w:ascii="仿宋_GB2312" w:eastAsia="仿宋_GB2312"/>
          <w:sz w:val="32"/>
          <w:szCs w:val="36"/>
        </w:rPr>
        <w:t>花园街区</w:t>
      </w:r>
      <w:r>
        <w:rPr>
          <w:rFonts w:hint="eastAsia" w:ascii="仿宋_GB2312" w:eastAsia="仿宋_GB2312"/>
          <w:sz w:val="32"/>
          <w:szCs w:val="36"/>
        </w:rPr>
        <w:t>，包括花园街区</w:t>
      </w:r>
      <w:r>
        <w:rPr>
          <w:rFonts w:ascii="仿宋_GB2312" w:eastAsia="仿宋_GB2312"/>
          <w:sz w:val="32"/>
          <w:szCs w:val="36"/>
        </w:rPr>
        <w:t>建设、花园场景营造、百处观花赏景场所完善</w:t>
      </w:r>
      <w:r>
        <w:rPr>
          <w:rFonts w:hint="eastAsia" w:ascii="仿宋_GB2312" w:eastAsia="仿宋_GB2312"/>
          <w:sz w:val="32"/>
          <w:szCs w:val="36"/>
        </w:rPr>
        <w:t>等</w:t>
      </w:r>
      <w:r>
        <w:rPr>
          <w:rFonts w:ascii="仿宋_GB2312" w:eastAsia="仿宋_GB2312"/>
          <w:sz w:val="32"/>
          <w:szCs w:val="36"/>
        </w:rPr>
        <w:t>。五是深化</w:t>
      </w:r>
      <w:r>
        <w:rPr>
          <w:rFonts w:hint="eastAsia" w:ascii="仿宋_GB2312" w:eastAsia="仿宋_GB2312"/>
          <w:sz w:val="32"/>
          <w:szCs w:val="36"/>
        </w:rPr>
        <w:t>党建引领下的</w:t>
      </w:r>
      <w:r>
        <w:rPr>
          <w:rFonts w:ascii="仿宋_GB2312" w:eastAsia="仿宋_GB2312"/>
          <w:sz w:val="32"/>
          <w:szCs w:val="36"/>
        </w:rPr>
        <w:t>共建共享</w:t>
      </w:r>
      <w:r>
        <w:rPr>
          <w:rFonts w:hint="eastAsia" w:ascii="仿宋_GB2312" w:eastAsia="仿宋_GB2312"/>
          <w:sz w:val="32"/>
          <w:szCs w:val="36"/>
        </w:rPr>
        <w:t>机制</w:t>
      </w:r>
      <w:r>
        <w:rPr>
          <w:rFonts w:ascii="仿宋_GB2312" w:eastAsia="仿宋_GB2312"/>
          <w:sz w:val="32"/>
          <w:szCs w:val="36"/>
        </w:rPr>
        <w:t>，激发“百万市民”参与的治理活力，包括园艺师制度落实、社区微花园共建共享、义务植树创新、园艺文化品牌培育</w:t>
      </w:r>
      <w:r>
        <w:rPr>
          <w:rFonts w:hint="eastAsia" w:ascii="仿宋_GB2312" w:eastAsia="仿宋_GB2312"/>
          <w:sz w:val="32"/>
          <w:szCs w:val="36"/>
        </w:rPr>
        <w:t>等</w:t>
      </w:r>
      <w:r>
        <w:rPr>
          <w:rFonts w:ascii="仿宋_GB2312" w:eastAsia="仿宋_GB2312"/>
          <w:sz w:val="32"/>
          <w:szCs w:val="36"/>
        </w:rPr>
        <w:t>。六是筑牢生态基底，推进安全韧性城市建设，涵盖古树名木保护、花粉飞絮协同治理、生物多样性保护、园林绿地应急功能完善、智慧治理等。</w:t>
      </w:r>
    </w:p>
    <w:p>
      <w:pPr>
        <w:spacing w:after="0" w:line="360" w:lineRule="auto"/>
        <w:ind w:firstLine="640" w:firstLineChars="200"/>
        <w:jc w:val="both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同时，规划从</w:t>
      </w:r>
      <w:r>
        <w:rPr>
          <w:rFonts w:ascii="仿宋_GB2312" w:eastAsia="仿宋_GB2312"/>
          <w:sz w:val="32"/>
          <w:szCs w:val="36"/>
        </w:rPr>
        <w:t>高位统筹与协同机制、监督评估与实施成效、资金渠道与投入机制、社会氛围与共建共享四个方面，提出保障规划落地见效的具体举措</w:t>
      </w:r>
      <w:r>
        <w:rPr>
          <w:rFonts w:hint="eastAsia" w:ascii="仿宋_GB2312" w:eastAsia="仿宋_GB2312"/>
          <w:sz w:val="32"/>
          <w:szCs w:val="36"/>
        </w:rPr>
        <w:t>。</w:t>
      </w:r>
    </w:p>
    <w:p>
      <w:pPr>
        <w:spacing w:after="0" w:line="360" w:lineRule="auto"/>
        <w:ind w:firstLine="640" w:firstLineChars="200"/>
        <w:jc w:val="both"/>
        <w:rPr>
          <w:rFonts w:ascii="仿宋_GB2312" w:eastAsia="仿宋_GB2312"/>
          <w:sz w:val="32"/>
          <w:szCs w:val="36"/>
        </w:rPr>
      </w:pPr>
    </w:p>
    <w:p>
      <w:pPr>
        <w:spacing w:after="0" w:line="360" w:lineRule="auto"/>
        <w:ind w:firstLine="640" w:firstLineChars="200"/>
        <w:jc w:val="both"/>
        <w:rPr>
          <w:rFonts w:ascii="仿宋_GB2312" w:eastAsia="仿宋_GB2312"/>
          <w:sz w:val="32"/>
          <w:szCs w:val="36"/>
        </w:rPr>
      </w:pPr>
    </w:p>
    <w:p>
      <w:pPr>
        <w:spacing w:after="0" w:line="360" w:lineRule="auto"/>
        <w:ind w:firstLine="640" w:firstLineChars="200"/>
        <w:jc w:val="righ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北京市西城区园林绿化局</w:t>
      </w:r>
    </w:p>
    <w:p>
      <w:pPr>
        <w:spacing w:after="0" w:line="360" w:lineRule="auto"/>
        <w:ind w:firstLine="640" w:firstLineChars="200"/>
        <w:jc w:val="center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                        </w:t>
      </w:r>
      <w:r>
        <w:rPr>
          <w:rFonts w:ascii="仿宋_GB2312" w:eastAsia="仿宋_GB2312"/>
          <w:sz w:val="32"/>
          <w:szCs w:val="36"/>
        </w:rPr>
        <w:t>2026年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7</w:t>
      </w:r>
      <w:r>
        <w:rPr>
          <w:rFonts w:ascii="仿宋_GB2312" w:eastAsia="仿宋_GB2312"/>
          <w:sz w:val="32"/>
          <w:szCs w:val="36"/>
        </w:rPr>
        <w:t>月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9</w:t>
      </w:r>
      <w:r>
        <w:rPr>
          <w:rFonts w:ascii="仿宋_GB2312" w:eastAsia="仿宋_GB2312"/>
          <w:sz w:val="32"/>
          <w:szCs w:val="36"/>
        </w:rPr>
        <w:t>日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E2"/>
    <w:rsid w:val="000F141F"/>
    <w:rsid w:val="00101DCC"/>
    <w:rsid w:val="004516CC"/>
    <w:rsid w:val="00480CE2"/>
    <w:rsid w:val="009863B7"/>
    <w:rsid w:val="00AB222D"/>
    <w:rsid w:val="00E30691"/>
    <w:rsid w:val="00F7312F"/>
    <w:rsid w:val="43DA258B"/>
    <w:rsid w:val="6BD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556</Words>
  <Characters>563</Characters>
  <Lines>24</Lines>
  <Paragraphs>12</Paragraphs>
  <TotalTime>43</TotalTime>
  <ScaleCrop>false</ScaleCrop>
  <LinksUpToDate>false</LinksUpToDate>
  <CharactersWithSpaces>1107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2026-06-30T01:02:00Z</dcterms:created>
  <dc:creator>李 悦</dc:creator>
  <cp:lastModifiedBy>鱼丸</cp:lastModifiedBy>
  <dcterms:modified xsi:type="dcterms:W3CDTF">2026-07-09T02:10:31Z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