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color w:val="auto"/>
          <w:sz w:val="32"/>
          <w:szCs w:val="32"/>
          <w:highlight w:val="none"/>
        </w:rPr>
      </w:pPr>
    </w:p>
    <w:p>
      <w:pPr>
        <w:jc w:val="left"/>
        <w:rPr>
          <w:rFonts w:hint="eastAsia" w:ascii="仿宋_GB2312" w:hAnsi="仿宋_GB2312" w:eastAsia="仿宋_GB2312" w:cs="仿宋_GB2312"/>
          <w:color w:val="auto"/>
          <w:sz w:val="32"/>
          <w:szCs w:val="32"/>
          <w:highlight w:val="none"/>
        </w:rPr>
      </w:pPr>
    </w:p>
    <w:p>
      <w:pPr>
        <w:jc w:val="left"/>
        <w:rPr>
          <w:rFonts w:hint="eastAsia" w:ascii="仿宋_GB2312" w:hAnsi="仿宋_GB2312" w:eastAsia="仿宋_GB2312" w:cs="仿宋_GB2312"/>
          <w:color w:val="auto"/>
          <w:sz w:val="32"/>
          <w:szCs w:val="32"/>
          <w:highlight w:val="none"/>
        </w:rPr>
      </w:pPr>
    </w:p>
    <w:p>
      <w:pPr>
        <w:jc w:val="left"/>
        <w:rPr>
          <w:rFonts w:hint="eastAsia" w:ascii="仿宋_GB2312" w:hAnsi="仿宋_GB2312" w:eastAsia="仿宋_GB2312" w:cs="仿宋_GB2312"/>
          <w:color w:val="auto"/>
          <w:sz w:val="32"/>
          <w:szCs w:val="32"/>
          <w:highlight w:val="none"/>
        </w:rPr>
      </w:pPr>
    </w:p>
    <w:p>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西城区“十五五”时期园林绿化发展规划</w:t>
      </w:r>
    </w:p>
    <w:p>
      <w:pPr>
        <w:jc w:val="center"/>
        <w:rPr>
          <w:rFonts w:hint="eastAsia" w:ascii="楷体_GB2312" w:hAnsi="楷体_GB2312" w:eastAsia="楷体_GB2312" w:cs="楷体_GB2312"/>
          <w:color w:val="auto"/>
          <w:sz w:val="36"/>
          <w:szCs w:val="36"/>
          <w:highlight w:val="none"/>
        </w:rPr>
      </w:pPr>
      <w:r>
        <w:rPr>
          <w:rFonts w:hint="eastAsia" w:ascii="楷体_GB2312" w:hAnsi="楷体_GB2312" w:eastAsia="楷体_GB2312" w:cs="楷体_GB2312"/>
          <w:color w:val="auto"/>
          <w:sz w:val="36"/>
          <w:szCs w:val="36"/>
          <w:highlight w:val="none"/>
        </w:rPr>
        <w:t>（征求意见稿）</w:t>
      </w:r>
    </w:p>
    <w:p>
      <w:pPr>
        <w:rPr>
          <w:rFonts w:hint="eastAsia" w:ascii="方正小标宋简体" w:hAnsi="方正小标宋简体" w:eastAsia="方正小标宋简体" w:cs="方正小标宋简体"/>
          <w:color w:val="auto"/>
          <w:sz w:val="36"/>
          <w:szCs w:val="36"/>
          <w:highlight w:val="none"/>
        </w:rPr>
      </w:pPr>
    </w:p>
    <w:p>
      <w:pPr>
        <w:jc w:val="left"/>
        <w:rPr>
          <w:rFonts w:hint="eastAsia" w:ascii="仿宋_GB2312" w:hAnsi="仿宋_GB2312" w:eastAsia="仿宋_GB2312" w:cs="仿宋_GB2312"/>
          <w:color w:val="auto"/>
          <w:sz w:val="32"/>
          <w:szCs w:val="32"/>
          <w:highlight w:val="none"/>
        </w:rPr>
      </w:pPr>
    </w:p>
    <w:p>
      <w:pPr>
        <w:jc w:val="left"/>
        <w:rPr>
          <w:rFonts w:hint="eastAsia" w:ascii="仿宋_GB2312" w:hAnsi="仿宋_GB2312" w:eastAsia="仿宋_GB2312" w:cs="仿宋_GB2312"/>
          <w:color w:val="auto"/>
          <w:sz w:val="32"/>
          <w:szCs w:val="32"/>
          <w:highlight w:val="none"/>
        </w:rPr>
      </w:pPr>
    </w:p>
    <w:p>
      <w:pPr>
        <w:jc w:val="left"/>
        <w:rPr>
          <w:rFonts w:hint="eastAsia" w:ascii="仿宋_GB2312" w:hAnsi="仿宋_GB2312" w:eastAsia="仿宋_GB2312" w:cs="仿宋_GB2312"/>
          <w:color w:val="auto"/>
          <w:sz w:val="32"/>
          <w:szCs w:val="32"/>
          <w:highlight w:val="none"/>
        </w:rPr>
      </w:pPr>
    </w:p>
    <w:p>
      <w:pPr>
        <w:jc w:val="left"/>
        <w:rPr>
          <w:rFonts w:hint="eastAsia" w:ascii="仿宋_GB2312" w:hAnsi="仿宋_GB2312" w:eastAsia="仿宋_GB2312" w:cs="仿宋_GB2312"/>
          <w:color w:val="auto"/>
          <w:sz w:val="32"/>
          <w:szCs w:val="32"/>
          <w:highlight w:val="none"/>
        </w:rPr>
      </w:pPr>
    </w:p>
    <w:p>
      <w:pPr>
        <w:jc w:val="left"/>
        <w:rPr>
          <w:rFonts w:hint="eastAsia" w:ascii="仿宋_GB2312" w:hAnsi="仿宋_GB2312" w:eastAsia="仿宋_GB2312" w:cs="仿宋_GB2312"/>
          <w:color w:val="auto"/>
          <w:sz w:val="32"/>
          <w:szCs w:val="32"/>
          <w:highlight w:val="none"/>
        </w:rPr>
      </w:pPr>
    </w:p>
    <w:p>
      <w:pPr>
        <w:jc w:val="left"/>
        <w:rPr>
          <w:rFonts w:hint="eastAsia" w:ascii="仿宋_GB2312" w:hAnsi="仿宋_GB2312" w:eastAsia="仿宋_GB2312" w:cs="仿宋_GB2312"/>
          <w:color w:val="auto"/>
          <w:sz w:val="32"/>
          <w:szCs w:val="32"/>
          <w:highlight w:val="none"/>
        </w:rPr>
      </w:pPr>
    </w:p>
    <w:p>
      <w:pPr>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西城区园林绿化局</w:t>
      </w:r>
    </w:p>
    <w:p>
      <w:pPr>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2026年7月</w:t>
      </w: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1417" w:footer="1417" w:gutter="0"/>
          <w:cols w:space="720" w:num="1"/>
          <w:docGrid w:type="lines" w:linePitch="312" w:charSpace="0"/>
        </w:sectPr>
      </w:pPr>
    </w:p>
    <w:p>
      <w:pPr>
        <w:spacing w:line="600" w:lineRule="exact"/>
        <w:jc w:val="center"/>
        <w:rPr>
          <w:rFonts w:hint="eastAsia" w:ascii="方正小标宋简体" w:hAnsi="方正小标宋简体" w:eastAsia="方正小标宋简体" w:cs="方正小标宋简体"/>
          <w:color w:val="auto"/>
          <w:sz w:val="36"/>
          <w:szCs w:val="36"/>
          <w:highlight w:val="none"/>
        </w:rPr>
      </w:pPr>
      <w:bookmarkStart w:id="0" w:name="_Toc215215946"/>
      <w:bookmarkStart w:id="1" w:name="_Toc215042117"/>
      <w:r>
        <w:rPr>
          <w:rFonts w:hint="eastAsia" w:ascii="方正小标宋简体" w:hAnsi="方正小标宋简体" w:eastAsia="方正小标宋简体" w:cs="方正小标宋简体"/>
          <w:color w:val="auto"/>
          <w:sz w:val="36"/>
          <w:szCs w:val="36"/>
          <w:highlight w:val="none"/>
        </w:rPr>
        <w:t>目  录</w:t>
      </w:r>
      <w:bookmarkEnd w:id="0"/>
      <w:bookmarkEnd w:id="1"/>
    </w:p>
    <w:p>
      <w:pPr>
        <w:pStyle w:val="2"/>
        <w:rPr>
          <w:color w:val="auto"/>
          <w:highlight w:val="none"/>
        </w:rPr>
      </w:pPr>
    </w:p>
    <w:p>
      <w:pPr>
        <w:pStyle w:val="14"/>
        <w:rPr>
          <w:rFonts w:hint="eastAsia" w:asciiTheme="minorHAnsi" w:hAnsiTheme="minorHAnsi" w:eastAsiaTheme="minorEastAsia" w:cstheme="minorBidi"/>
          <w:color w:val="auto"/>
          <w:sz w:val="22"/>
          <w:szCs w:val="24"/>
          <w:highlight w:val="none"/>
          <w14:ligatures w14:val="standardContextual"/>
        </w:rPr>
      </w:pPr>
      <w:r>
        <w:rPr>
          <w:rFonts w:hint="eastAsia" w:ascii="Calibri" w:hAnsi="Calibri" w:eastAsia="宋体" w:cs="仿宋_GB2312"/>
          <w:color w:val="auto"/>
          <w:highlight w:val="none"/>
        </w:rPr>
        <w:fldChar w:fldCharType="begin"/>
      </w:r>
      <w:r>
        <w:rPr>
          <w:rFonts w:hint="eastAsia"/>
          <w:color w:val="auto"/>
          <w:highlight w:val="none"/>
        </w:rPr>
        <w:instrText xml:space="preserve"> TOC \h \z \t "Y样式一,1,Y样式（一）,2" </w:instrText>
      </w:r>
      <w:r>
        <w:rPr>
          <w:rFonts w:hint="eastAsia" w:ascii="Calibri" w:hAnsi="Calibri" w:eastAsia="宋体" w:cs="仿宋_GB2312"/>
          <w:color w:val="auto"/>
          <w:highlight w:val="none"/>
        </w:rPr>
        <w:fldChar w:fldCharType="separate"/>
      </w:r>
      <w:r>
        <w:rPr>
          <w:color w:val="auto"/>
          <w:highlight w:val="none"/>
        </w:rPr>
        <w:fldChar w:fldCharType="begin"/>
      </w:r>
      <w:r>
        <w:rPr>
          <w:color w:val="auto"/>
          <w:highlight w:val="none"/>
        </w:rPr>
        <w:instrText xml:space="preserve"> HYPERLINK \l "_Toc234227610" </w:instrText>
      </w:r>
      <w:r>
        <w:rPr>
          <w:color w:val="auto"/>
          <w:highlight w:val="none"/>
        </w:rPr>
        <w:fldChar w:fldCharType="separate"/>
      </w:r>
      <w:r>
        <w:rPr>
          <w:rStyle w:val="21"/>
          <w:color w:val="auto"/>
          <w:highlight w:val="none"/>
        </w:rPr>
        <w:t>前言</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_Toc234227610 \h</w:instrText>
      </w:r>
      <w:r>
        <w:rPr>
          <w:rFonts w:hint="eastAsia"/>
          <w:color w:val="auto"/>
          <w:highlight w:val="none"/>
        </w:rPr>
        <w:instrText xml:space="preserve"> </w:instrText>
      </w:r>
      <w:r>
        <w:rPr>
          <w:rFonts w:hint="eastAsia"/>
          <w:color w:val="auto"/>
          <w:highlight w:val="none"/>
        </w:rPr>
        <w:fldChar w:fldCharType="separate"/>
      </w:r>
      <w:r>
        <w:rPr>
          <w:rFonts w:hint="eastAsia"/>
          <w:color w:val="auto"/>
          <w:highlight w:val="none"/>
        </w:rPr>
        <w:t>2</w:t>
      </w:r>
      <w:r>
        <w:rPr>
          <w:rFonts w:hint="eastAsia"/>
          <w:color w:val="auto"/>
          <w:highlight w:val="none"/>
        </w:rPr>
        <w:fldChar w:fldCharType="end"/>
      </w:r>
      <w:r>
        <w:rPr>
          <w:rFonts w:hint="eastAsia"/>
          <w:color w:val="auto"/>
          <w:highlight w:val="none"/>
        </w:rPr>
        <w:fldChar w:fldCharType="end"/>
      </w:r>
    </w:p>
    <w:p>
      <w:pPr>
        <w:pStyle w:val="14"/>
        <w:tabs>
          <w:tab w:val="left" w:pos="880"/>
        </w:tabs>
        <w:rPr>
          <w:rFonts w:hint="eastAsia"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"_Toc234227611" </w:instrText>
      </w:r>
      <w:r>
        <w:rPr>
          <w:color w:val="auto"/>
          <w:highlight w:val="none"/>
        </w:rPr>
        <w:fldChar w:fldCharType="separate"/>
      </w:r>
      <w:r>
        <w:rPr>
          <w:rStyle w:val="21"/>
          <w:color w:val="auto"/>
          <w:highlight w:val="none"/>
        </w:rPr>
        <w:t>一、</w:t>
      </w:r>
      <w:r>
        <w:rPr>
          <w:rFonts w:hint="eastAsia" w:asciiTheme="minorHAnsi" w:hAnsiTheme="minorHAnsi" w:eastAsiaTheme="minorEastAsia" w:cstheme="minorBidi"/>
          <w:color w:val="auto"/>
          <w:sz w:val="22"/>
          <w:szCs w:val="24"/>
          <w:highlight w:val="none"/>
          <w14:ligatures w14:val="standardContextual"/>
        </w:rPr>
        <w:tab/>
      </w:r>
      <w:r>
        <w:rPr>
          <w:rStyle w:val="21"/>
          <w:color w:val="auto"/>
          <w:highlight w:val="none"/>
        </w:rPr>
        <w:t>“十四五”时期基础与成效</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_Toc234227611 \h</w:instrText>
      </w:r>
      <w:r>
        <w:rPr>
          <w:rFonts w:hint="eastAsia"/>
          <w:color w:val="auto"/>
          <w:highlight w:val="none"/>
        </w:rPr>
        <w:instrText xml:space="preserve"> </w:instrText>
      </w:r>
      <w:r>
        <w:rPr>
          <w:rFonts w:hint="eastAsia"/>
          <w:color w:val="auto"/>
          <w:highlight w:val="none"/>
        </w:rPr>
        <w:fldChar w:fldCharType="separate"/>
      </w:r>
      <w:r>
        <w:rPr>
          <w:rFonts w:hint="eastAsia"/>
          <w:color w:val="auto"/>
          <w:highlight w:val="none"/>
        </w:rPr>
        <w:t>3</w:t>
      </w:r>
      <w:r>
        <w:rPr>
          <w:rFonts w:hint="eastAsia"/>
          <w:color w:val="auto"/>
          <w:highlight w:val="none"/>
        </w:rPr>
        <w:fldChar w:fldCharType="end"/>
      </w:r>
      <w:r>
        <w:rPr>
          <w:rFonts w:hint="eastAsia"/>
          <w:color w:val="auto"/>
          <w:highlight w:val="none"/>
        </w:rPr>
        <w:fldChar w:fldCharType="end"/>
      </w:r>
    </w:p>
    <w:p>
      <w:pPr>
        <w:pStyle w:val="15"/>
        <w:tabs>
          <w:tab w:val="left" w:pos="1320"/>
        </w:tabs>
        <w:rPr>
          <w:rFonts w:hint="eastAsia" w:ascii="楷体" w:hAnsi="楷体" w:eastAsia="楷体" w:cstheme="minorBidi"/>
          <w:color w:val="auto"/>
          <w:sz w:val="32"/>
          <w:szCs w:val="32"/>
          <w:highlight w:val="none"/>
          <w14:ligatures w14:val="standardContextual"/>
        </w:rPr>
      </w:pPr>
      <w:r>
        <w:rPr>
          <w:color w:val="auto"/>
          <w:highlight w:val="none"/>
        </w:rPr>
        <w:fldChar w:fldCharType="begin"/>
      </w:r>
      <w:r>
        <w:rPr>
          <w:color w:val="auto"/>
          <w:highlight w:val="none"/>
        </w:rPr>
        <w:instrText xml:space="preserve"> HYPERLINK \l "_Toc234227612" </w:instrText>
      </w:r>
      <w:r>
        <w:rPr>
          <w:color w:val="auto"/>
          <w:highlight w:val="none"/>
        </w:rPr>
        <w:fldChar w:fldCharType="separate"/>
      </w:r>
      <w:r>
        <w:rPr>
          <w:rStyle w:val="21"/>
          <w:rFonts w:ascii="楷体" w:hAnsi="楷体" w:eastAsia="楷体"/>
          <w:color w:val="auto"/>
          <w:sz w:val="32"/>
          <w:szCs w:val="32"/>
          <w:highlight w:val="none"/>
        </w:rPr>
        <w:t>（一）“十四五”时期建设成效</w:t>
      </w:r>
      <w:r>
        <w:rPr>
          <w:rFonts w:hint="eastAsia" w:ascii="楷体" w:hAnsi="楷体" w:eastAsia="楷体"/>
          <w:color w:val="auto"/>
          <w:sz w:val="32"/>
          <w:szCs w:val="32"/>
          <w:highlight w:val="none"/>
        </w:rPr>
        <w:tab/>
      </w:r>
      <w:r>
        <w:rPr>
          <w:rFonts w:hint="eastAsia" w:ascii="楷体" w:hAnsi="楷体" w:eastAsia="楷体"/>
          <w:color w:val="auto"/>
          <w:sz w:val="32"/>
          <w:szCs w:val="32"/>
          <w:highlight w:val="none"/>
        </w:rPr>
        <w:fldChar w:fldCharType="begin"/>
      </w:r>
      <w:r>
        <w:rPr>
          <w:rFonts w:hint="eastAsia" w:ascii="楷体" w:hAnsi="楷体" w:eastAsia="楷体"/>
          <w:color w:val="auto"/>
          <w:sz w:val="32"/>
          <w:szCs w:val="32"/>
          <w:highlight w:val="none"/>
        </w:rPr>
        <w:instrText xml:space="preserve"> </w:instrText>
      </w:r>
      <w:r>
        <w:rPr>
          <w:rFonts w:ascii="楷体" w:hAnsi="楷体" w:eastAsia="楷体"/>
          <w:color w:val="auto"/>
          <w:sz w:val="32"/>
          <w:szCs w:val="32"/>
          <w:highlight w:val="none"/>
        </w:rPr>
        <w:instrText xml:space="preserve">PAGEREF _Toc234227612 \h</w:instrText>
      </w:r>
      <w:r>
        <w:rPr>
          <w:rFonts w:hint="eastAsia" w:ascii="楷体" w:hAnsi="楷体" w:eastAsia="楷体"/>
          <w:color w:val="auto"/>
          <w:sz w:val="32"/>
          <w:szCs w:val="32"/>
          <w:highlight w:val="none"/>
        </w:rPr>
        <w:instrText xml:space="preserve"> </w:instrText>
      </w:r>
      <w:r>
        <w:rPr>
          <w:rFonts w:hint="eastAsia" w:ascii="楷体" w:hAnsi="楷体" w:eastAsia="楷体"/>
          <w:color w:val="auto"/>
          <w:sz w:val="32"/>
          <w:szCs w:val="32"/>
          <w:highlight w:val="none"/>
        </w:rPr>
        <w:fldChar w:fldCharType="separate"/>
      </w:r>
      <w:r>
        <w:rPr>
          <w:rFonts w:ascii="楷体" w:hAnsi="楷体" w:eastAsia="楷体"/>
          <w:color w:val="auto"/>
          <w:sz w:val="32"/>
          <w:szCs w:val="32"/>
          <w:highlight w:val="none"/>
        </w:rPr>
        <w:t>3</w:t>
      </w:r>
      <w:r>
        <w:rPr>
          <w:rFonts w:hint="eastAsia" w:ascii="楷体" w:hAnsi="楷体" w:eastAsia="楷体"/>
          <w:color w:val="auto"/>
          <w:sz w:val="32"/>
          <w:szCs w:val="32"/>
          <w:highlight w:val="none"/>
        </w:rPr>
        <w:fldChar w:fldCharType="end"/>
      </w:r>
      <w:r>
        <w:rPr>
          <w:rFonts w:hint="eastAsia" w:ascii="楷体" w:hAnsi="楷体" w:eastAsia="楷体"/>
          <w:color w:val="auto"/>
          <w:sz w:val="32"/>
          <w:szCs w:val="32"/>
          <w:highlight w:val="none"/>
        </w:rPr>
        <w:fldChar w:fldCharType="end"/>
      </w:r>
    </w:p>
    <w:p>
      <w:pPr>
        <w:pStyle w:val="15"/>
        <w:tabs>
          <w:tab w:val="left" w:pos="1320"/>
        </w:tabs>
        <w:rPr>
          <w:rFonts w:hint="eastAsia" w:ascii="楷体" w:hAnsi="楷体" w:eastAsia="楷体" w:cstheme="minorBidi"/>
          <w:color w:val="auto"/>
          <w:sz w:val="32"/>
          <w:szCs w:val="32"/>
          <w:highlight w:val="none"/>
          <w14:ligatures w14:val="standardContextual"/>
        </w:rPr>
      </w:pPr>
      <w:r>
        <w:rPr>
          <w:color w:val="auto"/>
          <w:highlight w:val="none"/>
        </w:rPr>
        <w:fldChar w:fldCharType="begin"/>
      </w:r>
      <w:r>
        <w:rPr>
          <w:color w:val="auto"/>
          <w:highlight w:val="none"/>
        </w:rPr>
        <w:instrText xml:space="preserve"> HYPERLINK \l "_Toc234227613" </w:instrText>
      </w:r>
      <w:r>
        <w:rPr>
          <w:color w:val="auto"/>
          <w:highlight w:val="none"/>
        </w:rPr>
        <w:fldChar w:fldCharType="separate"/>
      </w:r>
      <w:r>
        <w:rPr>
          <w:rStyle w:val="21"/>
          <w:rFonts w:ascii="楷体" w:hAnsi="楷体" w:eastAsia="楷体"/>
          <w:color w:val="auto"/>
          <w:sz w:val="32"/>
          <w:szCs w:val="32"/>
          <w:highlight w:val="none"/>
        </w:rPr>
        <w:t>（二）“十五五”时期主要形势分析</w:t>
      </w:r>
      <w:r>
        <w:rPr>
          <w:rFonts w:hint="eastAsia" w:ascii="楷体" w:hAnsi="楷体" w:eastAsia="楷体"/>
          <w:color w:val="auto"/>
          <w:sz w:val="32"/>
          <w:szCs w:val="32"/>
          <w:highlight w:val="none"/>
        </w:rPr>
        <w:tab/>
      </w:r>
      <w:r>
        <w:rPr>
          <w:rFonts w:hint="eastAsia" w:ascii="楷体" w:hAnsi="楷体" w:eastAsia="楷体"/>
          <w:color w:val="auto"/>
          <w:sz w:val="32"/>
          <w:szCs w:val="32"/>
          <w:highlight w:val="none"/>
        </w:rPr>
        <w:fldChar w:fldCharType="begin"/>
      </w:r>
      <w:r>
        <w:rPr>
          <w:rFonts w:hint="eastAsia" w:ascii="楷体" w:hAnsi="楷体" w:eastAsia="楷体"/>
          <w:color w:val="auto"/>
          <w:sz w:val="32"/>
          <w:szCs w:val="32"/>
          <w:highlight w:val="none"/>
        </w:rPr>
        <w:instrText xml:space="preserve"> </w:instrText>
      </w:r>
      <w:r>
        <w:rPr>
          <w:rFonts w:ascii="楷体" w:hAnsi="楷体" w:eastAsia="楷体"/>
          <w:color w:val="auto"/>
          <w:sz w:val="32"/>
          <w:szCs w:val="32"/>
          <w:highlight w:val="none"/>
        </w:rPr>
        <w:instrText xml:space="preserve">PAGEREF _Toc234227613 \h</w:instrText>
      </w:r>
      <w:r>
        <w:rPr>
          <w:rFonts w:hint="eastAsia" w:ascii="楷体" w:hAnsi="楷体" w:eastAsia="楷体"/>
          <w:color w:val="auto"/>
          <w:sz w:val="32"/>
          <w:szCs w:val="32"/>
          <w:highlight w:val="none"/>
        </w:rPr>
        <w:instrText xml:space="preserve"> </w:instrText>
      </w:r>
      <w:r>
        <w:rPr>
          <w:rFonts w:hint="eastAsia" w:ascii="楷体" w:hAnsi="楷体" w:eastAsia="楷体"/>
          <w:color w:val="auto"/>
          <w:sz w:val="32"/>
          <w:szCs w:val="32"/>
          <w:highlight w:val="none"/>
        </w:rPr>
        <w:fldChar w:fldCharType="separate"/>
      </w:r>
      <w:r>
        <w:rPr>
          <w:rFonts w:ascii="楷体" w:hAnsi="楷体" w:eastAsia="楷体"/>
          <w:color w:val="auto"/>
          <w:sz w:val="32"/>
          <w:szCs w:val="32"/>
          <w:highlight w:val="none"/>
        </w:rPr>
        <w:t>6</w:t>
      </w:r>
      <w:r>
        <w:rPr>
          <w:rFonts w:hint="eastAsia" w:ascii="楷体" w:hAnsi="楷体" w:eastAsia="楷体"/>
          <w:color w:val="auto"/>
          <w:sz w:val="32"/>
          <w:szCs w:val="32"/>
          <w:highlight w:val="none"/>
        </w:rPr>
        <w:fldChar w:fldCharType="end"/>
      </w:r>
      <w:r>
        <w:rPr>
          <w:rFonts w:hint="eastAsia" w:ascii="楷体" w:hAnsi="楷体" w:eastAsia="楷体"/>
          <w:color w:val="auto"/>
          <w:sz w:val="32"/>
          <w:szCs w:val="32"/>
          <w:highlight w:val="none"/>
        </w:rPr>
        <w:fldChar w:fldCharType="end"/>
      </w:r>
    </w:p>
    <w:p>
      <w:pPr>
        <w:pStyle w:val="14"/>
        <w:tabs>
          <w:tab w:val="left" w:pos="880"/>
        </w:tabs>
        <w:rPr>
          <w:rFonts w:hint="eastAsia"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"_Toc234227614" </w:instrText>
      </w:r>
      <w:r>
        <w:rPr>
          <w:color w:val="auto"/>
          <w:highlight w:val="none"/>
        </w:rPr>
        <w:fldChar w:fldCharType="separate"/>
      </w:r>
      <w:r>
        <w:rPr>
          <w:rStyle w:val="21"/>
          <w:color w:val="auto"/>
          <w:highlight w:val="none"/>
        </w:rPr>
        <w:t>二、</w:t>
      </w:r>
      <w:r>
        <w:rPr>
          <w:rFonts w:hint="eastAsia" w:asciiTheme="minorHAnsi" w:hAnsiTheme="minorHAnsi" w:eastAsiaTheme="minorEastAsia" w:cstheme="minorBidi"/>
          <w:color w:val="auto"/>
          <w:sz w:val="22"/>
          <w:szCs w:val="24"/>
          <w:highlight w:val="none"/>
          <w14:ligatures w14:val="standardContextual"/>
        </w:rPr>
        <w:tab/>
      </w:r>
      <w:r>
        <w:rPr>
          <w:rStyle w:val="21"/>
          <w:color w:val="auto"/>
          <w:highlight w:val="none"/>
        </w:rPr>
        <w:t>“十五五”时期园林绿化发展思路</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_Toc234227614 \h</w:instrText>
      </w:r>
      <w:r>
        <w:rPr>
          <w:rFonts w:hint="eastAsia"/>
          <w:color w:val="auto"/>
          <w:highlight w:val="none"/>
        </w:rPr>
        <w:instrText xml:space="preserve"> </w:instrText>
      </w:r>
      <w:r>
        <w:rPr>
          <w:rFonts w:hint="eastAsia"/>
          <w:color w:val="auto"/>
          <w:highlight w:val="none"/>
        </w:rPr>
        <w:fldChar w:fldCharType="separate"/>
      </w:r>
      <w:r>
        <w:rPr>
          <w:rFonts w:hint="eastAsia"/>
          <w:color w:val="auto"/>
          <w:highlight w:val="none"/>
        </w:rPr>
        <w:t>7</w:t>
      </w:r>
      <w:r>
        <w:rPr>
          <w:rFonts w:hint="eastAsia"/>
          <w:color w:val="auto"/>
          <w:highlight w:val="none"/>
        </w:rPr>
        <w:fldChar w:fldCharType="end"/>
      </w:r>
      <w:r>
        <w:rPr>
          <w:rFonts w:hint="eastAsia"/>
          <w:color w:val="auto"/>
          <w:highlight w:val="none"/>
        </w:rPr>
        <w:fldChar w:fldCharType="end"/>
      </w:r>
    </w:p>
    <w:p>
      <w:pPr>
        <w:pStyle w:val="15"/>
        <w:tabs>
          <w:tab w:val="left" w:pos="1320"/>
        </w:tabs>
        <w:rPr>
          <w:rStyle w:val="21"/>
          <w:rFonts w:hint="eastAsia" w:ascii="楷体" w:hAnsi="楷体" w:eastAsia="楷体"/>
          <w:color w:val="auto"/>
          <w:sz w:val="32"/>
          <w:szCs w:val="32"/>
          <w:highlight w:val="none"/>
        </w:rPr>
      </w:pPr>
      <w:r>
        <w:rPr>
          <w:color w:val="auto"/>
          <w:highlight w:val="none"/>
        </w:rPr>
        <w:fldChar w:fldCharType="begin"/>
      </w:r>
      <w:r>
        <w:rPr>
          <w:color w:val="auto"/>
          <w:highlight w:val="none"/>
        </w:rPr>
        <w:instrText xml:space="preserve"> HYPERLINK \l "_Toc234227615" </w:instrText>
      </w:r>
      <w:r>
        <w:rPr>
          <w:color w:val="auto"/>
          <w:highlight w:val="none"/>
        </w:rPr>
        <w:fldChar w:fldCharType="separate"/>
      </w:r>
      <w:r>
        <w:rPr>
          <w:rStyle w:val="21"/>
          <w:rFonts w:ascii="楷体" w:hAnsi="楷体" w:eastAsia="楷体"/>
          <w:color w:val="auto"/>
          <w:sz w:val="32"/>
          <w:szCs w:val="32"/>
          <w:highlight w:val="none"/>
        </w:rPr>
        <w:t>（一）指导思想</w:t>
      </w:r>
      <w:r>
        <w:rPr>
          <w:rStyle w:val="21"/>
          <w:rFonts w:ascii="楷体" w:hAnsi="楷体" w:eastAsia="楷体"/>
          <w:color w:val="auto"/>
          <w:sz w:val="32"/>
          <w:szCs w:val="32"/>
          <w:highlight w:val="none"/>
        </w:rPr>
        <w:tab/>
      </w:r>
      <w:r>
        <w:rPr>
          <w:rStyle w:val="21"/>
          <w:rFonts w:ascii="楷体" w:hAnsi="楷体" w:eastAsia="楷体"/>
          <w:color w:val="auto"/>
          <w:sz w:val="32"/>
          <w:szCs w:val="32"/>
          <w:highlight w:val="none"/>
        </w:rPr>
        <w:fldChar w:fldCharType="begin"/>
      </w:r>
      <w:r>
        <w:rPr>
          <w:rStyle w:val="21"/>
          <w:rFonts w:ascii="楷体" w:hAnsi="楷体" w:eastAsia="楷体"/>
          <w:color w:val="auto"/>
          <w:sz w:val="32"/>
          <w:szCs w:val="32"/>
          <w:highlight w:val="none"/>
        </w:rPr>
        <w:instrText xml:space="preserve"> PAGEREF _Toc234227615 \h </w:instrText>
      </w:r>
      <w:r>
        <w:rPr>
          <w:rStyle w:val="21"/>
          <w:rFonts w:ascii="楷体" w:hAnsi="楷体" w:eastAsia="楷体"/>
          <w:color w:val="auto"/>
          <w:sz w:val="32"/>
          <w:szCs w:val="32"/>
          <w:highlight w:val="none"/>
        </w:rPr>
        <w:fldChar w:fldCharType="separate"/>
      </w:r>
      <w:r>
        <w:rPr>
          <w:rStyle w:val="21"/>
          <w:rFonts w:ascii="楷体" w:hAnsi="楷体" w:eastAsia="楷体"/>
          <w:color w:val="auto"/>
          <w:sz w:val="32"/>
          <w:szCs w:val="32"/>
          <w:highlight w:val="none"/>
        </w:rPr>
        <w:t>7</w:t>
      </w:r>
      <w:r>
        <w:rPr>
          <w:rStyle w:val="21"/>
          <w:rFonts w:ascii="楷体" w:hAnsi="楷体" w:eastAsia="楷体"/>
          <w:color w:val="auto"/>
          <w:sz w:val="32"/>
          <w:szCs w:val="32"/>
          <w:highlight w:val="none"/>
        </w:rPr>
        <w:fldChar w:fldCharType="end"/>
      </w:r>
      <w:r>
        <w:rPr>
          <w:rStyle w:val="21"/>
          <w:rFonts w:ascii="楷体" w:hAnsi="楷体" w:eastAsia="楷体"/>
          <w:color w:val="auto"/>
          <w:sz w:val="32"/>
          <w:szCs w:val="32"/>
          <w:highlight w:val="none"/>
        </w:rPr>
        <w:fldChar w:fldCharType="end"/>
      </w:r>
    </w:p>
    <w:p>
      <w:pPr>
        <w:pStyle w:val="15"/>
        <w:tabs>
          <w:tab w:val="left" w:pos="1320"/>
        </w:tabs>
        <w:rPr>
          <w:rStyle w:val="21"/>
          <w:rFonts w:hint="eastAsia" w:ascii="楷体" w:hAnsi="楷体" w:eastAsia="楷体"/>
          <w:color w:val="auto"/>
          <w:sz w:val="32"/>
          <w:szCs w:val="32"/>
          <w:highlight w:val="none"/>
        </w:rPr>
      </w:pPr>
      <w:r>
        <w:rPr>
          <w:color w:val="auto"/>
          <w:highlight w:val="none"/>
        </w:rPr>
        <w:fldChar w:fldCharType="begin"/>
      </w:r>
      <w:r>
        <w:rPr>
          <w:color w:val="auto"/>
          <w:highlight w:val="none"/>
        </w:rPr>
        <w:instrText xml:space="preserve"> HYPERLINK \l "_Toc234227616" </w:instrText>
      </w:r>
      <w:r>
        <w:rPr>
          <w:color w:val="auto"/>
          <w:highlight w:val="none"/>
        </w:rPr>
        <w:fldChar w:fldCharType="separate"/>
      </w:r>
      <w:r>
        <w:rPr>
          <w:rStyle w:val="21"/>
          <w:rFonts w:ascii="楷体" w:hAnsi="楷体" w:eastAsia="楷体"/>
          <w:color w:val="auto"/>
          <w:sz w:val="32"/>
          <w:szCs w:val="32"/>
          <w:highlight w:val="none"/>
        </w:rPr>
        <w:t>（二）基本原则</w:t>
      </w:r>
      <w:r>
        <w:rPr>
          <w:rStyle w:val="21"/>
          <w:rFonts w:ascii="楷体" w:hAnsi="楷体" w:eastAsia="楷体"/>
          <w:color w:val="auto"/>
          <w:sz w:val="32"/>
          <w:szCs w:val="32"/>
          <w:highlight w:val="none"/>
        </w:rPr>
        <w:tab/>
      </w:r>
      <w:r>
        <w:rPr>
          <w:rStyle w:val="21"/>
          <w:rFonts w:ascii="楷体" w:hAnsi="楷体" w:eastAsia="楷体"/>
          <w:color w:val="auto"/>
          <w:sz w:val="32"/>
          <w:szCs w:val="32"/>
          <w:highlight w:val="none"/>
        </w:rPr>
        <w:fldChar w:fldCharType="begin"/>
      </w:r>
      <w:r>
        <w:rPr>
          <w:rStyle w:val="21"/>
          <w:rFonts w:ascii="楷体" w:hAnsi="楷体" w:eastAsia="楷体"/>
          <w:color w:val="auto"/>
          <w:sz w:val="32"/>
          <w:szCs w:val="32"/>
          <w:highlight w:val="none"/>
        </w:rPr>
        <w:instrText xml:space="preserve"> PAGEREF _Toc234227616 \h </w:instrText>
      </w:r>
      <w:r>
        <w:rPr>
          <w:rStyle w:val="21"/>
          <w:rFonts w:ascii="楷体" w:hAnsi="楷体" w:eastAsia="楷体"/>
          <w:color w:val="auto"/>
          <w:sz w:val="32"/>
          <w:szCs w:val="32"/>
          <w:highlight w:val="none"/>
        </w:rPr>
        <w:fldChar w:fldCharType="separate"/>
      </w:r>
      <w:r>
        <w:rPr>
          <w:rStyle w:val="21"/>
          <w:rFonts w:ascii="楷体" w:hAnsi="楷体" w:eastAsia="楷体"/>
          <w:color w:val="auto"/>
          <w:sz w:val="32"/>
          <w:szCs w:val="32"/>
          <w:highlight w:val="none"/>
        </w:rPr>
        <w:t>7</w:t>
      </w:r>
      <w:r>
        <w:rPr>
          <w:rStyle w:val="21"/>
          <w:rFonts w:ascii="楷体" w:hAnsi="楷体" w:eastAsia="楷体"/>
          <w:color w:val="auto"/>
          <w:sz w:val="32"/>
          <w:szCs w:val="32"/>
          <w:highlight w:val="none"/>
        </w:rPr>
        <w:fldChar w:fldCharType="end"/>
      </w:r>
      <w:r>
        <w:rPr>
          <w:rStyle w:val="21"/>
          <w:rFonts w:ascii="楷体" w:hAnsi="楷体" w:eastAsia="楷体"/>
          <w:color w:val="auto"/>
          <w:sz w:val="32"/>
          <w:szCs w:val="32"/>
          <w:highlight w:val="none"/>
        </w:rPr>
        <w:fldChar w:fldCharType="end"/>
      </w:r>
    </w:p>
    <w:p>
      <w:pPr>
        <w:pStyle w:val="15"/>
        <w:tabs>
          <w:tab w:val="left" w:pos="1320"/>
        </w:tabs>
        <w:rPr>
          <w:rStyle w:val="21"/>
          <w:rFonts w:hint="eastAsia" w:ascii="楷体" w:hAnsi="楷体" w:eastAsia="楷体"/>
          <w:color w:val="auto"/>
          <w:sz w:val="32"/>
          <w:szCs w:val="32"/>
          <w:highlight w:val="none"/>
        </w:rPr>
      </w:pPr>
      <w:r>
        <w:rPr>
          <w:color w:val="auto"/>
          <w:highlight w:val="none"/>
        </w:rPr>
        <w:fldChar w:fldCharType="begin"/>
      </w:r>
      <w:r>
        <w:rPr>
          <w:color w:val="auto"/>
          <w:highlight w:val="none"/>
        </w:rPr>
        <w:instrText xml:space="preserve"> HYPERLINK \l "_Toc234227617" </w:instrText>
      </w:r>
      <w:r>
        <w:rPr>
          <w:color w:val="auto"/>
          <w:highlight w:val="none"/>
        </w:rPr>
        <w:fldChar w:fldCharType="separate"/>
      </w:r>
      <w:r>
        <w:rPr>
          <w:rStyle w:val="21"/>
          <w:rFonts w:ascii="楷体" w:hAnsi="楷体" w:eastAsia="楷体"/>
          <w:color w:val="auto"/>
          <w:sz w:val="32"/>
          <w:szCs w:val="32"/>
          <w:highlight w:val="none"/>
        </w:rPr>
        <w:t>（三）发展目标</w:t>
      </w:r>
      <w:r>
        <w:rPr>
          <w:rStyle w:val="21"/>
          <w:rFonts w:ascii="楷体" w:hAnsi="楷体" w:eastAsia="楷体"/>
          <w:color w:val="auto"/>
          <w:sz w:val="32"/>
          <w:szCs w:val="32"/>
          <w:highlight w:val="none"/>
        </w:rPr>
        <w:tab/>
      </w:r>
      <w:r>
        <w:rPr>
          <w:rStyle w:val="21"/>
          <w:rFonts w:ascii="楷体" w:hAnsi="楷体" w:eastAsia="楷体"/>
          <w:color w:val="auto"/>
          <w:sz w:val="32"/>
          <w:szCs w:val="32"/>
          <w:highlight w:val="none"/>
        </w:rPr>
        <w:fldChar w:fldCharType="begin"/>
      </w:r>
      <w:r>
        <w:rPr>
          <w:rStyle w:val="21"/>
          <w:rFonts w:ascii="楷体" w:hAnsi="楷体" w:eastAsia="楷体"/>
          <w:color w:val="auto"/>
          <w:sz w:val="32"/>
          <w:szCs w:val="32"/>
          <w:highlight w:val="none"/>
        </w:rPr>
        <w:instrText xml:space="preserve"> PAGEREF _Toc234227617 \h </w:instrText>
      </w:r>
      <w:r>
        <w:rPr>
          <w:rStyle w:val="21"/>
          <w:rFonts w:ascii="楷体" w:hAnsi="楷体" w:eastAsia="楷体"/>
          <w:color w:val="auto"/>
          <w:sz w:val="32"/>
          <w:szCs w:val="32"/>
          <w:highlight w:val="none"/>
        </w:rPr>
        <w:fldChar w:fldCharType="separate"/>
      </w:r>
      <w:r>
        <w:rPr>
          <w:rStyle w:val="21"/>
          <w:rFonts w:ascii="楷体" w:hAnsi="楷体" w:eastAsia="楷体"/>
          <w:color w:val="auto"/>
          <w:sz w:val="32"/>
          <w:szCs w:val="32"/>
          <w:highlight w:val="none"/>
        </w:rPr>
        <w:t>8</w:t>
      </w:r>
      <w:r>
        <w:rPr>
          <w:rStyle w:val="21"/>
          <w:rFonts w:ascii="楷体" w:hAnsi="楷体" w:eastAsia="楷体"/>
          <w:color w:val="auto"/>
          <w:sz w:val="32"/>
          <w:szCs w:val="32"/>
          <w:highlight w:val="none"/>
        </w:rPr>
        <w:fldChar w:fldCharType="end"/>
      </w:r>
      <w:r>
        <w:rPr>
          <w:rStyle w:val="21"/>
          <w:rFonts w:ascii="楷体" w:hAnsi="楷体" w:eastAsia="楷体"/>
          <w:color w:val="auto"/>
          <w:sz w:val="32"/>
          <w:szCs w:val="32"/>
          <w:highlight w:val="none"/>
        </w:rPr>
        <w:fldChar w:fldCharType="end"/>
      </w:r>
    </w:p>
    <w:p>
      <w:pPr>
        <w:pStyle w:val="14"/>
        <w:tabs>
          <w:tab w:val="left" w:pos="880"/>
        </w:tabs>
        <w:rPr>
          <w:rFonts w:hint="eastAsia"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"_Toc234227618" </w:instrText>
      </w:r>
      <w:r>
        <w:rPr>
          <w:color w:val="auto"/>
          <w:highlight w:val="none"/>
        </w:rPr>
        <w:fldChar w:fldCharType="separate"/>
      </w:r>
      <w:r>
        <w:rPr>
          <w:rStyle w:val="21"/>
          <w:color w:val="auto"/>
          <w:highlight w:val="none"/>
        </w:rPr>
        <w:t>三、</w:t>
      </w:r>
      <w:r>
        <w:rPr>
          <w:rFonts w:hint="eastAsia" w:asciiTheme="minorHAnsi" w:hAnsiTheme="minorHAnsi" w:eastAsiaTheme="minorEastAsia" w:cstheme="minorBidi"/>
          <w:color w:val="auto"/>
          <w:sz w:val="22"/>
          <w:szCs w:val="24"/>
          <w:highlight w:val="none"/>
          <w14:ligatures w14:val="standardContextual"/>
        </w:rPr>
        <w:tab/>
      </w:r>
      <w:r>
        <w:rPr>
          <w:rStyle w:val="21"/>
          <w:color w:val="auto"/>
          <w:highlight w:val="none"/>
        </w:rPr>
        <w:t>“十五五”时期园林绿化主要任务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_Toc234227618 \h</w:instrText>
      </w:r>
      <w:r>
        <w:rPr>
          <w:rFonts w:hint="eastAsia"/>
          <w:color w:val="auto"/>
          <w:highlight w:val="none"/>
        </w:rPr>
        <w:instrText xml:space="preserve"> </w:instrText>
      </w:r>
      <w:r>
        <w:rPr>
          <w:rFonts w:hint="eastAsia"/>
          <w:color w:val="auto"/>
          <w:highlight w:val="none"/>
        </w:rPr>
        <w:fldChar w:fldCharType="separate"/>
      </w:r>
      <w:r>
        <w:rPr>
          <w:rFonts w:hint="eastAsia"/>
          <w:color w:val="auto"/>
          <w:highlight w:val="none"/>
        </w:rPr>
        <w:t>9</w:t>
      </w:r>
      <w:r>
        <w:rPr>
          <w:rFonts w:hint="eastAsia"/>
          <w:color w:val="auto"/>
          <w:highlight w:val="none"/>
        </w:rPr>
        <w:fldChar w:fldCharType="end"/>
      </w:r>
      <w:r>
        <w:rPr>
          <w:rFonts w:hint="eastAsia"/>
          <w:color w:val="auto"/>
          <w:highlight w:val="none"/>
        </w:rPr>
        <w:fldChar w:fldCharType="end"/>
      </w:r>
    </w:p>
    <w:p>
      <w:pPr>
        <w:pStyle w:val="15"/>
        <w:tabs>
          <w:tab w:val="left" w:pos="1320"/>
        </w:tabs>
        <w:rPr>
          <w:rStyle w:val="21"/>
          <w:rFonts w:hint="eastAsia" w:ascii="楷体" w:hAnsi="楷体" w:eastAsia="楷体"/>
          <w:color w:val="auto"/>
          <w:sz w:val="32"/>
          <w:szCs w:val="32"/>
          <w:highlight w:val="none"/>
        </w:rPr>
      </w:pPr>
      <w:r>
        <w:rPr>
          <w:color w:val="auto"/>
          <w:highlight w:val="none"/>
        </w:rPr>
        <w:fldChar w:fldCharType="begin"/>
      </w:r>
      <w:r>
        <w:rPr>
          <w:color w:val="auto"/>
          <w:highlight w:val="none"/>
        </w:rPr>
        <w:instrText xml:space="preserve"> HYPERLINK \l "_Toc234227619" </w:instrText>
      </w:r>
      <w:r>
        <w:rPr>
          <w:color w:val="auto"/>
          <w:highlight w:val="none"/>
        </w:rPr>
        <w:fldChar w:fldCharType="separate"/>
      </w:r>
      <w:r>
        <w:rPr>
          <w:rStyle w:val="21"/>
          <w:rFonts w:ascii="楷体" w:hAnsi="楷体" w:eastAsia="楷体"/>
          <w:color w:val="auto"/>
          <w:sz w:val="32"/>
          <w:szCs w:val="32"/>
          <w:highlight w:val="none"/>
        </w:rPr>
        <w:t>（一）聚焦重点区域，构建花园城市空间格局</w:t>
      </w:r>
      <w:r>
        <w:rPr>
          <w:rStyle w:val="21"/>
          <w:rFonts w:ascii="楷体" w:hAnsi="楷体" w:eastAsia="楷体"/>
          <w:color w:val="auto"/>
          <w:sz w:val="32"/>
          <w:szCs w:val="32"/>
          <w:highlight w:val="none"/>
        </w:rPr>
        <w:tab/>
      </w:r>
      <w:r>
        <w:rPr>
          <w:rStyle w:val="21"/>
          <w:rFonts w:ascii="楷体" w:hAnsi="楷体" w:eastAsia="楷体"/>
          <w:color w:val="auto"/>
          <w:sz w:val="32"/>
          <w:szCs w:val="32"/>
          <w:highlight w:val="none"/>
        </w:rPr>
        <w:fldChar w:fldCharType="begin"/>
      </w:r>
      <w:r>
        <w:rPr>
          <w:rStyle w:val="21"/>
          <w:rFonts w:ascii="楷体" w:hAnsi="楷体" w:eastAsia="楷体"/>
          <w:color w:val="auto"/>
          <w:sz w:val="32"/>
          <w:szCs w:val="32"/>
          <w:highlight w:val="none"/>
        </w:rPr>
        <w:instrText xml:space="preserve"> PAGEREF _Toc234227619 \h </w:instrText>
      </w:r>
      <w:r>
        <w:rPr>
          <w:rStyle w:val="21"/>
          <w:rFonts w:ascii="楷体" w:hAnsi="楷体" w:eastAsia="楷体"/>
          <w:color w:val="auto"/>
          <w:sz w:val="32"/>
          <w:szCs w:val="32"/>
          <w:highlight w:val="none"/>
        </w:rPr>
        <w:fldChar w:fldCharType="separate"/>
      </w:r>
      <w:r>
        <w:rPr>
          <w:rStyle w:val="21"/>
          <w:rFonts w:ascii="楷体" w:hAnsi="楷体" w:eastAsia="楷体"/>
          <w:color w:val="auto"/>
          <w:sz w:val="32"/>
          <w:szCs w:val="32"/>
          <w:highlight w:val="none"/>
        </w:rPr>
        <w:t>10</w:t>
      </w:r>
      <w:r>
        <w:rPr>
          <w:rStyle w:val="21"/>
          <w:rFonts w:ascii="楷体" w:hAnsi="楷体" w:eastAsia="楷体"/>
          <w:color w:val="auto"/>
          <w:sz w:val="32"/>
          <w:szCs w:val="32"/>
          <w:highlight w:val="none"/>
        </w:rPr>
        <w:fldChar w:fldCharType="end"/>
      </w:r>
      <w:r>
        <w:rPr>
          <w:rStyle w:val="21"/>
          <w:rFonts w:ascii="楷体" w:hAnsi="楷体" w:eastAsia="楷体"/>
          <w:color w:val="auto"/>
          <w:sz w:val="32"/>
          <w:szCs w:val="32"/>
          <w:highlight w:val="none"/>
        </w:rPr>
        <w:fldChar w:fldCharType="end"/>
      </w:r>
    </w:p>
    <w:p>
      <w:pPr>
        <w:pStyle w:val="15"/>
        <w:tabs>
          <w:tab w:val="left" w:pos="1320"/>
        </w:tabs>
        <w:rPr>
          <w:rStyle w:val="21"/>
          <w:rFonts w:hint="eastAsia" w:ascii="楷体" w:hAnsi="楷体" w:eastAsia="楷体"/>
          <w:color w:val="auto"/>
          <w:sz w:val="32"/>
          <w:szCs w:val="32"/>
          <w:highlight w:val="none"/>
        </w:rPr>
      </w:pPr>
      <w:r>
        <w:rPr>
          <w:color w:val="auto"/>
          <w:highlight w:val="none"/>
        </w:rPr>
        <w:fldChar w:fldCharType="begin"/>
      </w:r>
      <w:r>
        <w:rPr>
          <w:color w:val="auto"/>
          <w:highlight w:val="none"/>
        </w:rPr>
        <w:instrText xml:space="preserve"> HYPERLINK \l "_Toc234227620" </w:instrText>
      </w:r>
      <w:r>
        <w:rPr>
          <w:color w:val="auto"/>
          <w:highlight w:val="none"/>
        </w:rPr>
        <w:fldChar w:fldCharType="separate"/>
      </w:r>
      <w:r>
        <w:rPr>
          <w:rStyle w:val="21"/>
          <w:rFonts w:ascii="楷体" w:hAnsi="楷体" w:eastAsia="楷体"/>
          <w:color w:val="auto"/>
          <w:sz w:val="32"/>
          <w:szCs w:val="32"/>
          <w:highlight w:val="none"/>
        </w:rPr>
        <w:t>（二）推进普惠共享，优化全区公园游憩体系</w:t>
      </w:r>
      <w:r>
        <w:rPr>
          <w:rStyle w:val="21"/>
          <w:rFonts w:ascii="楷体" w:hAnsi="楷体" w:eastAsia="楷体"/>
          <w:color w:val="auto"/>
          <w:sz w:val="32"/>
          <w:szCs w:val="32"/>
          <w:highlight w:val="none"/>
        </w:rPr>
        <w:tab/>
      </w:r>
      <w:r>
        <w:rPr>
          <w:rStyle w:val="21"/>
          <w:rFonts w:ascii="楷体" w:hAnsi="楷体" w:eastAsia="楷体"/>
          <w:color w:val="auto"/>
          <w:sz w:val="32"/>
          <w:szCs w:val="32"/>
          <w:highlight w:val="none"/>
        </w:rPr>
        <w:fldChar w:fldCharType="begin"/>
      </w:r>
      <w:r>
        <w:rPr>
          <w:rStyle w:val="21"/>
          <w:rFonts w:ascii="楷体" w:hAnsi="楷体" w:eastAsia="楷体"/>
          <w:color w:val="auto"/>
          <w:sz w:val="32"/>
          <w:szCs w:val="32"/>
          <w:highlight w:val="none"/>
        </w:rPr>
        <w:instrText xml:space="preserve"> PAGEREF _Toc234227620 \h </w:instrText>
      </w:r>
      <w:r>
        <w:rPr>
          <w:rStyle w:val="21"/>
          <w:rFonts w:ascii="楷体" w:hAnsi="楷体" w:eastAsia="楷体"/>
          <w:color w:val="auto"/>
          <w:sz w:val="32"/>
          <w:szCs w:val="32"/>
          <w:highlight w:val="none"/>
        </w:rPr>
        <w:fldChar w:fldCharType="separate"/>
      </w:r>
      <w:r>
        <w:rPr>
          <w:rStyle w:val="21"/>
          <w:rFonts w:ascii="楷体" w:hAnsi="楷体" w:eastAsia="楷体"/>
          <w:color w:val="auto"/>
          <w:sz w:val="32"/>
          <w:szCs w:val="32"/>
          <w:highlight w:val="none"/>
        </w:rPr>
        <w:t>11</w:t>
      </w:r>
      <w:r>
        <w:rPr>
          <w:rStyle w:val="21"/>
          <w:rFonts w:ascii="楷体" w:hAnsi="楷体" w:eastAsia="楷体"/>
          <w:color w:val="auto"/>
          <w:sz w:val="32"/>
          <w:szCs w:val="32"/>
          <w:highlight w:val="none"/>
        </w:rPr>
        <w:fldChar w:fldCharType="end"/>
      </w:r>
      <w:r>
        <w:rPr>
          <w:rStyle w:val="21"/>
          <w:rFonts w:ascii="楷体" w:hAnsi="楷体" w:eastAsia="楷体"/>
          <w:color w:val="auto"/>
          <w:sz w:val="32"/>
          <w:szCs w:val="32"/>
          <w:highlight w:val="none"/>
        </w:rPr>
        <w:fldChar w:fldCharType="end"/>
      </w:r>
    </w:p>
    <w:p>
      <w:pPr>
        <w:pStyle w:val="15"/>
        <w:tabs>
          <w:tab w:val="left" w:pos="1320"/>
        </w:tabs>
        <w:rPr>
          <w:rStyle w:val="21"/>
          <w:rFonts w:hint="eastAsia" w:ascii="楷体" w:hAnsi="楷体" w:eastAsia="楷体"/>
          <w:color w:val="auto"/>
          <w:sz w:val="32"/>
          <w:szCs w:val="32"/>
          <w:highlight w:val="none"/>
        </w:rPr>
      </w:pPr>
      <w:r>
        <w:rPr>
          <w:color w:val="auto"/>
          <w:highlight w:val="none"/>
        </w:rPr>
        <w:fldChar w:fldCharType="begin"/>
      </w:r>
      <w:r>
        <w:rPr>
          <w:color w:val="auto"/>
          <w:highlight w:val="none"/>
        </w:rPr>
        <w:instrText xml:space="preserve"> HYPERLINK \l "_Toc234227621" </w:instrText>
      </w:r>
      <w:r>
        <w:rPr>
          <w:color w:val="auto"/>
          <w:highlight w:val="none"/>
        </w:rPr>
        <w:fldChar w:fldCharType="separate"/>
      </w:r>
      <w:r>
        <w:rPr>
          <w:rStyle w:val="21"/>
          <w:rFonts w:ascii="楷体" w:hAnsi="楷体" w:eastAsia="楷体"/>
          <w:color w:val="auto"/>
          <w:sz w:val="32"/>
          <w:szCs w:val="32"/>
          <w:highlight w:val="none"/>
        </w:rPr>
        <w:t>（三）促进资源链接，构建融合贯通的“百廊”网络</w:t>
      </w:r>
      <w:r>
        <w:rPr>
          <w:rStyle w:val="21"/>
          <w:rFonts w:ascii="楷体" w:hAnsi="楷体" w:eastAsia="楷体"/>
          <w:color w:val="auto"/>
          <w:sz w:val="32"/>
          <w:szCs w:val="32"/>
          <w:highlight w:val="none"/>
        </w:rPr>
        <w:tab/>
      </w:r>
      <w:r>
        <w:rPr>
          <w:rStyle w:val="21"/>
          <w:rFonts w:ascii="楷体" w:hAnsi="楷体" w:eastAsia="楷体"/>
          <w:color w:val="auto"/>
          <w:sz w:val="32"/>
          <w:szCs w:val="32"/>
          <w:highlight w:val="none"/>
        </w:rPr>
        <w:fldChar w:fldCharType="begin"/>
      </w:r>
      <w:r>
        <w:rPr>
          <w:rStyle w:val="21"/>
          <w:rFonts w:ascii="楷体" w:hAnsi="楷体" w:eastAsia="楷体"/>
          <w:color w:val="auto"/>
          <w:sz w:val="32"/>
          <w:szCs w:val="32"/>
          <w:highlight w:val="none"/>
        </w:rPr>
        <w:instrText xml:space="preserve"> PAGEREF _Toc234227621 \h </w:instrText>
      </w:r>
      <w:r>
        <w:rPr>
          <w:rStyle w:val="21"/>
          <w:rFonts w:ascii="楷体" w:hAnsi="楷体" w:eastAsia="楷体"/>
          <w:color w:val="auto"/>
          <w:sz w:val="32"/>
          <w:szCs w:val="32"/>
          <w:highlight w:val="none"/>
        </w:rPr>
        <w:fldChar w:fldCharType="separate"/>
      </w:r>
      <w:r>
        <w:rPr>
          <w:rStyle w:val="21"/>
          <w:rFonts w:ascii="楷体" w:hAnsi="楷体" w:eastAsia="楷体"/>
          <w:color w:val="auto"/>
          <w:sz w:val="32"/>
          <w:szCs w:val="32"/>
          <w:highlight w:val="none"/>
        </w:rPr>
        <w:t>12</w:t>
      </w:r>
      <w:r>
        <w:rPr>
          <w:rStyle w:val="21"/>
          <w:rFonts w:ascii="楷体" w:hAnsi="楷体" w:eastAsia="楷体"/>
          <w:color w:val="auto"/>
          <w:sz w:val="32"/>
          <w:szCs w:val="32"/>
          <w:highlight w:val="none"/>
        </w:rPr>
        <w:fldChar w:fldCharType="end"/>
      </w:r>
      <w:r>
        <w:rPr>
          <w:rStyle w:val="21"/>
          <w:rFonts w:ascii="楷体" w:hAnsi="楷体" w:eastAsia="楷体"/>
          <w:color w:val="auto"/>
          <w:sz w:val="32"/>
          <w:szCs w:val="32"/>
          <w:highlight w:val="none"/>
        </w:rPr>
        <w:fldChar w:fldCharType="end"/>
      </w:r>
    </w:p>
    <w:p>
      <w:pPr>
        <w:pStyle w:val="15"/>
        <w:tabs>
          <w:tab w:val="left" w:pos="1320"/>
        </w:tabs>
        <w:rPr>
          <w:rStyle w:val="21"/>
          <w:rFonts w:hint="eastAsia" w:ascii="楷体" w:hAnsi="楷体" w:eastAsia="楷体"/>
          <w:color w:val="auto"/>
          <w:sz w:val="32"/>
          <w:szCs w:val="32"/>
          <w:highlight w:val="none"/>
        </w:rPr>
      </w:pPr>
      <w:r>
        <w:rPr>
          <w:color w:val="auto"/>
          <w:highlight w:val="none"/>
        </w:rPr>
        <w:fldChar w:fldCharType="begin"/>
      </w:r>
      <w:r>
        <w:rPr>
          <w:color w:val="auto"/>
          <w:highlight w:val="none"/>
        </w:rPr>
        <w:instrText xml:space="preserve"> HYPERLINK \l "_Toc234227622" </w:instrText>
      </w:r>
      <w:r>
        <w:rPr>
          <w:color w:val="auto"/>
          <w:highlight w:val="none"/>
        </w:rPr>
        <w:fldChar w:fldCharType="separate"/>
      </w:r>
      <w:r>
        <w:rPr>
          <w:rStyle w:val="21"/>
          <w:rFonts w:ascii="楷体" w:hAnsi="楷体" w:eastAsia="楷体"/>
          <w:color w:val="auto"/>
          <w:sz w:val="32"/>
          <w:szCs w:val="32"/>
          <w:highlight w:val="none"/>
        </w:rPr>
        <w:t>（四）营造花园场景，打造城园融合的花园街区</w:t>
      </w:r>
      <w:r>
        <w:rPr>
          <w:rStyle w:val="21"/>
          <w:rFonts w:ascii="楷体" w:hAnsi="楷体" w:eastAsia="楷体"/>
          <w:color w:val="auto"/>
          <w:sz w:val="32"/>
          <w:szCs w:val="32"/>
          <w:highlight w:val="none"/>
        </w:rPr>
        <w:tab/>
      </w:r>
      <w:r>
        <w:rPr>
          <w:rStyle w:val="21"/>
          <w:rFonts w:ascii="楷体" w:hAnsi="楷体" w:eastAsia="楷体"/>
          <w:color w:val="auto"/>
          <w:sz w:val="32"/>
          <w:szCs w:val="32"/>
          <w:highlight w:val="none"/>
        </w:rPr>
        <w:fldChar w:fldCharType="begin"/>
      </w:r>
      <w:r>
        <w:rPr>
          <w:rStyle w:val="21"/>
          <w:rFonts w:ascii="楷体" w:hAnsi="楷体" w:eastAsia="楷体"/>
          <w:color w:val="auto"/>
          <w:sz w:val="32"/>
          <w:szCs w:val="32"/>
          <w:highlight w:val="none"/>
        </w:rPr>
        <w:instrText xml:space="preserve"> PAGEREF _Toc234227622 \h </w:instrText>
      </w:r>
      <w:r>
        <w:rPr>
          <w:rStyle w:val="21"/>
          <w:rFonts w:ascii="楷体" w:hAnsi="楷体" w:eastAsia="楷体"/>
          <w:color w:val="auto"/>
          <w:sz w:val="32"/>
          <w:szCs w:val="32"/>
          <w:highlight w:val="none"/>
        </w:rPr>
        <w:fldChar w:fldCharType="separate"/>
      </w:r>
      <w:r>
        <w:rPr>
          <w:rStyle w:val="21"/>
          <w:rFonts w:ascii="楷体" w:hAnsi="楷体" w:eastAsia="楷体"/>
          <w:color w:val="auto"/>
          <w:sz w:val="32"/>
          <w:szCs w:val="32"/>
          <w:highlight w:val="none"/>
        </w:rPr>
        <w:t>12</w:t>
      </w:r>
      <w:r>
        <w:rPr>
          <w:rStyle w:val="21"/>
          <w:rFonts w:ascii="楷体" w:hAnsi="楷体" w:eastAsia="楷体"/>
          <w:color w:val="auto"/>
          <w:sz w:val="32"/>
          <w:szCs w:val="32"/>
          <w:highlight w:val="none"/>
        </w:rPr>
        <w:fldChar w:fldCharType="end"/>
      </w:r>
      <w:r>
        <w:rPr>
          <w:rStyle w:val="21"/>
          <w:rFonts w:ascii="楷体" w:hAnsi="楷体" w:eastAsia="楷体"/>
          <w:color w:val="auto"/>
          <w:sz w:val="32"/>
          <w:szCs w:val="32"/>
          <w:highlight w:val="none"/>
        </w:rPr>
        <w:fldChar w:fldCharType="end"/>
      </w:r>
    </w:p>
    <w:p>
      <w:pPr>
        <w:pStyle w:val="15"/>
        <w:tabs>
          <w:tab w:val="left" w:pos="1320"/>
        </w:tabs>
        <w:rPr>
          <w:rStyle w:val="21"/>
          <w:rFonts w:hint="eastAsia" w:ascii="楷体" w:hAnsi="楷体" w:eastAsia="楷体"/>
          <w:color w:val="auto"/>
          <w:sz w:val="32"/>
          <w:szCs w:val="32"/>
          <w:highlight w:val="none"/>
        </w:rPr>
      </w:pPr>
      <w:r>
        <w:rPr>
          <w:color w:val="auto"/>
          <w:highlight w:val="none"/>
        </w:rPr>
        <w:fldChar w:fldCharType="begin"/>
      </w:r>
      <w:r>
        <w:rPr>
          <w:color w:val="auto"/>
          <w:highlight w:val="none"/>
        </w:rPr>
        <w:instrText xml:space="preserve"> HYPERLINK \l "_Toc234227623" </w:instrText>
      </w:r>
      <w:r>
        <w:rPr>
          <w:color w:val="auto"/>
          <w:highlight w:val="none"/>
        </w:rPr>
        <w:fldChar w:fldCharType="separate"/>
      </w:r>
      <w:r>
        <w:rPr>
          <w:rStyle w:val="21"/>
          <w:rFonts w:ascii="楷体" w:hAnsi="楷体" w:eastAsia="楷体"/>
          <w:color w:val="auto"/>
          <w:sz w:val="32"/>
          <w:szCs w:val="32"/>
          <w:highlight w:val="none"/>
        </w:rPr>
        <w:t>（五）深化共建共享，激发“百万市民”参与的治理活力</w:t>
      </w:r>
      <w:r>
        <w:rPr>
          <w:rStyle w:val="21"/>
          <w:rFonts w:ascii="楷体" w:hAnsi="楷体" w:eastAsia="楷体"/>
          <w:color w:val="auto"/>
          <w:sz w:val="32"/>
          <w:szCs w:val="32"/>
          <w:highlight w:val="none"/>
        </w:rPr>
        <w:tab/>
      </w:r>
      <w:r>
        <w:rPr>
          <w:rStyle w:val="21"/>
          <w:rFonts w:ascii="楷体" w:hAnsi="楷体" w:eastAsia="楷体"/>
          <w:color w:val="auto"/>
          <w:sz w:val="32"/>
          <w:szCs w:val="32"/>
          <w:highlight w:val="none"/>
        </w:rPr>
        <w:fldChar w:fldCharType="begin"/>
      </w:r>
      <w:r>
        <w:rPr>
          <w:rStyle w:val="21"/>
          <w:rFonts w:ascii="楷体" w:hAnsi="楷体" w:eastAsia="楷体"/>
          <w:color w:val="auto"/>
          <w:sz w:val="32"/>
          <w:szCs w:val="32"/>
          <w:highlight w:val="none"/>
        </w:rPr>
        <w:instrText xml:space="preserve"> PAGEREF _Toc234227623 \h </w:instrText>
      </w:r>
      <w:r>
        <w:rPr>
          <w:rStyle w:val="21"/>
          <w:rFonts w:ascii="楷体" w:hAnsi="楷体" w:eastAsia="楷体"/>
          <w:color w:val="auto"/>
          <w:sz w:val="32"/>
          <w:szCs w:val="32"/>
          <w:highlight w:val="none"/>
        </w:rPr>
        <w:fldChar w:fldCharType="separate"/>
      </w:r>
      <w:r>
        <w:rPr>
          <w:rStyle w:val="21"/>
          <w:rFonts w:ascii="楷体" w:hAnsi="楷体" w:eastAsia="楷体"/>
          <w:color w:val="auto"/>
          <w:sz w:val="32"/>
          <w:szCs w:val="32"/>
          <w:highlight w:val="none"/>
        </w:rPr>
        <w:t>13</w:t>
      </w:r>
      <w:r>
        <w:rPr>
          <w:rStyle w:val="21"/>
          <w:rFonts w:ascii="楷体" w:hAnsi="楷体" w:eastAsia="楷体"/>
          <w:color w:val="auto"/>
          <w:sz w:val="32"/>
          <w:szCs w:val="32"/>
          <w:highlight w:val="none"/>
        </w:rPr>
        <w:fldChar w:fldCharType="end"/>
      </w:r>
      <w:r>
        <w:rPr>
          <w:rStyle w:val="21"/>
          <w:rFonts w:ascii="楷体" w:hAnsi="楷体" w:eastAsia="楷体"/>
          <w:color w:val="auto"/>
          <w:sz w:val="32"/>
          <w:szCs w:val="32"/>
          <w:highlight w:val="none"/>
        </w:rPr>
        <w:fldChar w:fldCharType="end"/>
      </w:r>
    </w:p>
    <w:p>
      <w:pPr>
        <w:pStyle w:val="15"/>
        <w:tabs>
          <w:tab w:val="left" w:pos="1320"/>
        </w:tabs>
        <w:rPr>
          <w:rStyle w:val="21"/>
          <w:rFonts w:hint="eastAsia" w:ascii="楷体" w:hAnsi="楷体" w:eastAsia="楷体"/>
          <w:color w:val="auto"/>
          <w:sz w:val="32"/>
          <w:szCs w:val="32"/>
          <w:highlight w:val="none"/>
        </w:rPr>
      </w:pPr>
      <w:r>
        <w:rPr>
          <w:color w:val="auto"/>
          <w:highlight w:val="none"/>
        </w:rPr>
        <w:fldChar w:fldCharType="begin"/>
      </w:r>
      <w:r>
        <w:rPr>
          <w:color w:val="auto"/>
          <w:highlight w:val="none"/>
        </w:rPr>
        <w:instrText xml:space="preserve"> HYPERLINK \l "_Toc234227624" </w:instrText>
      </w:r>
      <w:r>
        <w:rPr>
          <w:color w:val="auto"/>
          <w:highlight w:val="none"/>
        </w:rPr>
        <w:fldChar w:fldCharType="separate"/>
      </w:r>
      <w:r>
        <w:rPr>
          <w:rStyle w:val="21"/>
          <w:rFonts w:ascii="楷体" w:hAnsi="楷体" w:eastAsia="楷体"/>
          <w:color w:val="auto"/>
          <w:sz w:val="32"/>
          <w:szCs w:val="32"/>
          <w:highlight w:val="none"/>
        </w:rPr>
        <w:t>（六）强化精细管养，推进安全韧性城市建设</w:t>
      </w:r>
      <w:r>
        <w:rPr>
          <w:rStyle w:val="21"/>
          <w:rFonts w:ascii="楷体" w:hAnsi="楷体" w:eastAsia="楷体"/>
          <w:color w:val="auto"/>
          <w:sz w:val="32"/>
          <w:szCs w:val="32"/>
          <w:highlight w:val="none"/>
        </w:rPr>
        <w:tab/>
      </w:r>
      <w:r>
        <w:rPr>
          <w:rStyle w:val="21"/>
          <w:rFonts w:ascii="楷体" w:hAnsi="楷体" w:eastAsia="楷体"/>
          <w:color w:val="auto"/>
          <w:sz w:val="32"/>
          <w:szCs w:val="32"/>
          <w:highlight w:val="none"/>
        </w:rPr>
        <w:fldChar w:fldCharType="begin"/>
      </w:r>
      <w:r>
        <w:rPr>
          <w:rStyle w:val="21"/>
          <w:rFonts w:ascii="楷体" w:hAnsi="楷体" w:eastAsia="楷体"/>
          <w:color w:val="auto"/>
          <w:sz w:val="32"/>
          <w:szCs w:val="32"/>
          <w:highlight w:val="none"/>
        </w:rPr>
        <w:instrText xml:space="preserve"> PAGEREF _Toc234227624 \h </w:instrText>
      </w:r>
      <w:r>
        <w:rPr>
          <w:rStyle w:val="21"/>
          <w:rFonts w:ascii="楷体" w:hAnsi="楷体" w:eastAsia="楷体"/>
          <w:color w:val="auto"/>
          <w:sz w:val="32"/>
          <w:szCs w:val="32"/>
          <w:highlight w:val="none"/>
        </w:rPr>
        <w:fldChar w:fldCharType="separate"/>
      </w:r>
      <w:r>
        <w:rPr>
          <w:rStyle w:val="21"/>
          <w:rFonts w:ascii="楷体" w:hAnsi="楷体" w:eastAsia="楷体"/>
          <w:color w:val="auto"/>
          <w:sz w:val="32"/>
          <w:szCs w:val="32"/>
          <w:highlight w:val="none"/>
        </w:rPr>
        <w:t>15</w:t>
      </w:r>
      <w:r>
        <w:rPr>
          <w:rStyle w:val="21"/>
          <w:rFonts w:ascii="楷体" w:hAnsi="楷体" w:eastAsia="楷体"/>
          <w:color w:val="auto"/>
          <w:sz w:val="32"/>
          <w:szCs w:val="32"/>
          <w:highlight w:val="none"/>
        </w:rPr>
        <w:fldChar w:fldCharType="end"/>
      </w:r>
      <w:r>
        <w:rPr>
          <w:rStyle w:val="21"/>
          <w:rFonts w:ascii="楷体" w:hAnsi="楷体" w:eastAsia="楷体"/>
          <w:color w:val="auto"/>
          <w:sz w:val="32"/>
          <w:szCs w:val="32"/>
          <w:highlight w:val="none"/>
        </w:rPr>
        <w:fldChar w:fldCharType="end"/>
      </w:r>
    </w:p>
    <w:p>
      <w:pPr>
        <w:pStyle w:val="14"/>
        <w:tabs>
          <w:tab w:val="left" w:pos="880"/>
        </w:tabs>
        <w:rPr>
          <w:rFonts w:hint="eastAsia"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"_Toc234227625" </w:instrText>
      </w:r>
      <w:r>
        <w:rPr>
          <w:color w:val="auto"/>
          <w:highlight w:val="none"/>
        </w:rPr>
        <w:fldChar w:fldCharType="separate"/>
      </w:r>
      <w:r>
        <w:rPr>
          <w:rStyle w:val="21"/>
          <w:color w:val="auto"/>
          <w:highlight w:val="none"/>
        </w:rPr>
        <w:t>四、</w:t>
      </w:r>
      <w:r>
        <w:rPr>
          <w:rFonts w:hint="eastAsia" w:asciiTheme="minorHAnsi" w:hAnsiTheme="minorHAnsi" w:eastAsiaTheme="minorEastAsia" w:cstheme="minorBidi"/>
          <w:color w:val="auto"/>
          <w:sz w:val="22"/>
          <w:szCs w:val="24"/>
          <w:highlight w:val="none"/>
          <w14:ligatures w14:val="standardContextual"/>
        </w:rPr>
        <w:tab/>
      </w:r>
      <w:r>
        <w:rPr>
          <w:rStyle w:val="21"/>
          <w:color w:val="auto"/>
          <w:highlight w:val="none"/>
        </w:rPr>
        <w:t>保障措施</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_Toc234227625 \h</w:instrText>
      </w:r>
      <w:r>
        <w:rPr>
          <w:rFonts w:hint="eastAsia"/>
          <w:color w:val="auto"/>
          <w:highlight w:val="none"/>
        </w:rPr>
        <w:instrText xml:space="preserve"> </w:instrText>
      </w:r>
      <w:r>
        <w:rPr>
          <w:rFonts w:hint="eastAsia"/>
          <w:color w:val="auto"/>
          <w:highlight w:val="none"/>
        </w:rPr>
        <w:fldChar w:fldCharType="separate"/>
      </w:r>
      <w:r>
        <w:rPr>
          <w:rFonts w:hint="eastAsia"/>
          <w:color w:val="auto"/>
          <w:highlight w:val="none"/>
        </w:rPr>
        <w:t>17</w:t>
      </w:r>
      <w:r>
        <w:rPr>
          <w:rFonts w:hint="eastAsia"/>
          <w:color w:val="auto"/>
          <w:highlight w:val="none"/>
        </w:rPr>
        <w:fldChar w:fldCharType="end"/>
      </w:r>
      <w:r>
        <w:rPr>
          <w:rFonts w:hint="eastAsia"/>
          <w:color w:val="auto"/>
          <w:highlight w:val="none"/>
        </w:rPr>
        <w:fldChar w:fldCharType="end"/>
      </w:r>
    </w:p>
    <w:p>
      <w:pPr>
        <w:pStyle w:val="14"/>
        <w:spacing w:line="600" w:lineRule="exact"/>
        <w:rPr>
          <w:rFonts w:hint="eastAsia"/>
          <w:color w:val="auto"/>
          <w:highlight w:val="none"/>
        </w:rPr>
        <w:sectPr>
          <w:footerReference r:id="rId9" w:type="default"/>
          <w:footerReference r:id="rId10" w:type="even"/>
          <w:pgSz w:w="11906" w:h="16838"/>
          <w:pgMar w:top="2098" w:right="1474" w:bottom="1984" w:left="1587" w:header="1417" w:footer="1417" w:gutter="0"/>
          <w:pgNumType w:start="1"/>
          <w:cols w:space="720" w:num="1"/>
          <w:docGrid w:type="lines" w:linePitch="312" w:charSpace="0"/>
        </w:sectPr>
      </w:pPr>
      <w:r>
        <w:rPr>
          <w:rFonts w:hint="eastAsia"/>
          <w:color w:val="auto"/>
          <w:highlight w:val="none"/>
        </w:rPr>
        <w:fldChar w:fldCharType="end"/>
      </w:r>
    </w:p>
    <w:p>
      <w:pPr>
        <w:pStyle w:val="30"/>
        <w:rPr>
          <w:rFonts w:hint="eastAsia"/>
          <w:color w:val="auto"/>
          <w:highlight w:val="none"/>
        </w:rPr>
      </w:pPr>
    </w:p>
    <w:p>
      <w:pPr>
        <w:pStyle w:val="28"/>
        <w:numPr>
          <w:ilvl w:val="0"/>
          <w:numId w:val="0"/>
        </w:numPr>
        <w:rPr>
          <w:rFonts w:hint="eastAsia"/>
          <w:color w:val="auto"/>
          <w:highlight w:val="none"/>
        </w:rPr>
      </w:pPr>
      <w:bookmarkStart w:id="2" w:name="_Toc234227610"/>
      <w:r>
        <w:rPr>
          <w:rFonts w:hint="eastAsia"/>
          <w:color w:val="auto"/>
          <w:highlight w:val="none"/>
        </w:rPr>
        <w:t>前言</w:t>
      </w:r>
      <w:bookmarkEnd w:id="2"/>
    </w:p>
    <w:p>
      <w:pPr>
        <w:pStyle w:val="30"/>
        <w:rPr>
          <w:rFonts w:hint="eastAsia"/>
          <w:color w:val="auto"/>
          <w:highlight w:val="none"/>
        </w:rPr>
      </w:pPr>
    </w:p>
    <w:p>
      <w:pPr>
        <w:pStyle w:val="30"/>
        <w:rPr>
          <w:rFonts w:hint="eastAsia"/>
          <w:color w:val="auto"/>
          <w:highlight w:val="none"/>
        </w:rPr>
      </w:pPr>
      <w:r>
        <w:rPr>
          <w:rFonts w:hint="eastAsia"/>
          <w:color w:val="auto"/>
          <w:highlight w:val="none"/>
        </w:rPr>
        <w:t>“十五五”时期</w:t>
      </w:r>
      <w:r>
        <w:rPr>
          <w:color w:val="auto"/>
          <w:highlight w:val="none"/>
        </w:rPr>
        <w:t>是基本实现社会主义现代化夯实基础、全面发力的关键时期。西城区作为首都功能核心区，在北京率先基本实现社会主义现代化进程中承担着标杆示范、先锋引领的重要使命</w:t>
      </w:r>
      <w:r>
        <w:rPr>
          <w:rFonts w:hint="eastAsia"/>
          <w:color w:val="auto"/>
          <w:highlight w:val="none"/>
        </w:rPr>
        <w:t>。立足新时代首都发展要求，贯彻落实北京全面推进花园城市建设的战略部署，</w:t>
      </w:r>
      <w:r>
        <w:rPr>
          <w:color w:val="auto"/>
          <w:highlight w:val="none"/>
        </w:rPr>
        <w:t>科学编制</w:t>
      </w:r>
      <w:r>
        <w:rPr>
          <w:rFonts w:hint="eastAsia"/>
          <w:color w:val="auto"/>
          <w:highlight w:val="none"/>
        </w:rPr>
        <w:t>并有效实施</w:t>
      </w:r>
      <w:r>
        <w:rPr>
          <w:color w:val="auto"/>
          <w:highlight w:val="none"/>
        </w:rPr>
        <w:t>“十五五”</w:t>
      </w:r>
      <w:r>
        <w:rPr>
          <w:rFonts w:hint="eastAsia"/>
          <w:color w:val="auto"/>
          <w:highlight w:val="none"/>
        </w:rPr>
        <w:t>时期园林绿化发展</w:t>
      </w:r>
      <w:r>
        <w:rPr>
          <w:color w:val="auto"/>
          <w:highlight w:val="none"/>
        </w:rPr>
        <w:t>规划，</w:t>
      </w:r>
      <w:r>
        <w:rPr>
          <w:rFonts w:hint="eastAsia"/>
          <w:color w:val="auto"/>
          <w:highlight w:val="none"/>
        </w:rPr>
        <w:t>对推动全区</w:t>
      </w:r>
      <w:r>
        <w:rPr>
          <w:color w:val="auto"/>
          <w:highlight w:val="none"/>
        </w:rPr>
        <w:t>高品质花园城市</w:t>
      </w:r>
      <w:r>
        <w:rPr>
          <w:rFonts w:hint="eastAsia"/>
          <w:color w:val="auto"/>
          <w:highlight w:val="none"/>
        </w:rPr>
        <w:t>建设、助力北京率先基本实现社会主义现代化</w:t>
      </w:r>
      <w:r>
        <w:rPr>
          <w:color w:val="auto"/>
          <w:highlight w:val="none"/>
        </w:rPr>
        <w:t>具有重要意义。</w:t>
      </w:r>
    </w:p>
    <w:p>
      <w:pPr>
        <w:pStyle w:val="30"/>
        <w:rPr>
          <w:rFonts w:hint="eastAsia"/>
          <w:color w:val="auto"/>
          <w:highlight w:val="none"/>
        </w:rPr>
      </w:pPr>
      <w:r>
        <w:rPr>
          <w:rFonts w:hint="eastAsia"/>
          <w:color w:val="auto"/>
          <w:highlight w:val="none"/>
        </w:rPr>
        <w:t>本规划</w:t>
      </w:r>
      <w:r>
        <w:rPr>
          <w:color w:val="auto"/>
          <w:highlight w:val="none"/>
        </w:rPr>
        <w:t>以习近平新时代中国特色社会主义思想和习近平总书记对北京重要讲话精神为根本遵循</w:t>
      </w:r>
      <w:r>
        <w:rPr>
          <w:rFonts w:hint="eastAsia"/>
          <w:color w:val="auto"/>
          <w:highlight w:val="none"/>
        </w:rPr>
        <w:t>，以高质量推进花园城市建设为统领，紧密衔接</w:t>
      </w:r>
      <w:r>
        <w:rPr>
          <w:color w:val="auto"/>
          <w:highlight w:val="none"/>
        </w:rPr>
        <w:t>《首都功能核心区控制性详细规划（街区层面）（2018年－2035年）》，</w:t>
      </w:r>
      <w:r>
        <w:rPr>
          <w:rFonts w:hint="eastAsia"/>
          <w:color w:val="auto"/>
          <w:highlight w:val="none"/>
        </w:rPr>
        <w:t>明确“十五五”时期园林绿化发展总体思路、主要目标和重点任务，</w:t>
      </w:r>
      <w:r>
        <w:rPr>
          <w:color w:val="auto"/>
          <w:highlight w:val="none"/>
        </w:rPr>
        <w:t>为建设</w:t>
      </w:r>
      <w:r>
        <w:rPr>
          <w:rFonts w:hint="eastAsia"/>
          <w:color w:val="auto"/>
          <w:highlight w:val="none"/>
        </w:rPr>
        <w:t>国际一流的和谐宜居之都首善之区提供坚实支撑</w:t>
      </w:r>
      <w:r>
        <w:rPr>
          <w:color w:val="auto"/>
          <w:highlight w:val="none"/>
        </w:rPr>
        <w:t>。</w:t>
      </w:r>
    </w:p>
    <w:p>
      <w:pPr>
        <w:pStyle w:val="2"/>
        <w:rPr>
          <w:color w:val="auto"/>
          <w:highlight w:val="none"/>
        </w:rPr>
      </w:pPr>
    </w:p>
    <w:p>
      <w:pPr>
        <w:pStyle w:val="28"/>
        <w:rPr>
          <w:rFonts w:hint="eastAsia"/>
          <w:color w:val="auto"/>
          <w:highlight w:val="none"/>
        </w:rPr>
      </w:pPr>
      <w:r>
        <w:rPr>
          <w:rFonts w:hint="eastAsia"/>
          <w:color w:val="auto"/>
          <w:highlight w:val="none"/>
        </w:rPr>
        <w:br w:type="page"/>
      </w:r>
    </w:p>
    <w:p>
      <w:pPr>
        <w:pStyle w:val="30"/>
        <w:rPr>
          <w:rFonts w:hint="eastAsia"/>
          <w:color w:val="auto"/>
          <w:highlight w:val="none"/>
        </w:rPr>
      </w:pPr>
    </w:p>
    <w:p>
      <w:pPr>
        <w:pStyle w:val="28"/>
        <w:numPr>
          <w:ilvl w:val="0"/>
          <w:numId w:val="5"/>
        </w:numPr>
        <w:rPr>
          <w:rFonts w:hint="eastAsia"/>
          <w:color w:val="auto"/>
          <w:highlight w:val="none"/>
        </w:rPr>
      </w:pPr>
      <w:bookmarkStart w:id="3" w:name="_Toc234227611"/>
      <w:r>
        <w:rPr>
          <w:rFonts w:hint="eastAsia"/>
          <w:color w:val="auto"/>
          <w:highlight w:val="none"/>
        </w:rPr>
        <w:t>“十四五”时期基础与成效</w:t>
      </w:r>
      <w:bookmarkEnd w:id="3"/>
    </w:p>
    <w:p>
      <w:pPr>
        <w:pStyle w:val="30"/>
        <w:rPr>
          <w:rFonts w:hint="eastAsia"/>
          <w:color w:val="auto"/>
          <w:highlight w:val="none"/>
        </w:rPr>
      </w:pPr>
    </w:p>
    <w:p>
      <w:pPr>
        <w:pStyle w:val="31"/>
        <w:ind w:firstLine="643"/>
        <w:rPr>
          <w:rFonts w:hint="eastAsia"/>
          <w:color w:val="auto"/>
          <w:highlight w:val="none"/>
        </w:rPr>
      </w:pPr>
      <w:bookmarkStart w:id="4" w:name="_Toc234227612"/>
      <w:r>
        <w:rPr>
          <w:rFonts w:hint="eastAsia"/>
          <w:color w:val="auto"/>
          <w:highlight w:val="none"/>
        </w:rPr>
        <w:t>“十四五”时期建设成效</w:t>
      </w:r>
      <w:bookmarkEnd w:id="4"/>
    </w:p>
    <w:p>
      <w:pPr>
        <w:pStyle w:val="30"/>
        <w:rPr>
          <w:rFonts w:hint="eastAsia"/>
          <w:color w:val="auto"/>
          <w:highlight w:val="none"/>
        </w:rPr>
      </w:pPr>
      <w:r>
        <w:rPr>
          <w:rFonts w:hint="eastAsia"/>
          <w:color w:val="auto"/>
          <w:highlight w:val="none"/>
        </w:rPr>
        <w:t>“十四五”期间，西城区</w:t>
      </w:r>
      <w:r>
        <w:rPr>
          <w:rFonts w:hint="eastAsia"/>
          <w:color w:val="auto"/>
          <w:szCs w:val="22"/>
          <w:highlight w:val="none"/>
        </w:rPr>
        <w:t>园林绿化工作始终坚持</w:t>
      </w:r>
      <w:r>
        <w:rPr>
          <w:rFonts w:hint="eastAsia"/>
          <w:color w:val="auto"/>
          <w:highlight w:val="none"/>
        </w:rPr>
        <w:t>规划引领、高质量增绿，绿地格局日益完善，各项任务圆满完成。全区共增加城市绿地约5公顷，绿化覆盖率达33.05%；完成屋顶绿化25095平方米，垂直绿化5787延米，创建首都绿化美化花园式单位6个、花园式社区8个。2023年，率先编制发布《西城区花园城市建设实施方案》，全面启动花园建设，完成3处花园街区及8条城市画廊建设。</w:t>
      </w:r>
    </w:p>
    <w:p>
      <w:pPr>
        <w:pStyle w:val="32"/>
        <w:rPr>
          <w:rFonts w:hint="eastAsia"/>
          <w:color w:val="auto"/>
          <w:highlight w:val="none"/>
        </w:rPr>
      </w:pPr>
      <w:r>
        <w:rPr>
          <w:rFonts w:hint="eastAsia"/>
          <w:color w:val="auto"/>
          <w:highlight w:val="none"/>
        </w:rPr>
        <w:t>空间格局持续优化，绿色基底更加</w:t>
      </w:r>
      <w:bookmarkStart w:id="48" w:name="_GoBack"/>
      <w:bookmarkEnd w:id="48"/>
      <w:r>
        <w:rPr>
          <w:rFonts w:hint="eastAsia"/>
          <w:color w:val="auto"/>
          <w:highlight w:val="none"/>
        </w:rPr>
        <w:t>坚实</w:t>
      </w:r>
    </w:p>
    <w:p>
      <w:pPr>
        <w:pStyle w:val="30"/>
        <w:rPr>
          <w:rFonts w:hint="eastAsia"/>
          <w:color w:val="auto"/>
          <w:highlight w:val="none"/>
        </w:rPr>
      </w:pPr>
      <w:r>
        <w:rPr>
          <w:rFonts w:hint="eastAsia"/>
          <w:color w:val="auto"/>
          <w:highlight w:val="none"/>
        </w:rPr>
        <w:t>立足市民需求，利用拆违腾退地、闲置地等，新建茶马街游园、西单体育游园等22处公园及小微绿地，全区纳入北京市公园名录达94个，公园绿地500米服务半径覆盖率达到99.99%，居全市首位。</w:t>
      </w:r>
      <w:bookmarkStart w:id="5" w:name="OLE_LINK3"/>
      <w:r>
        <w:rPr>
          <w:rFonts w:hint="eastAsia"/>
          <w:color w:val="auto"/>
          <w:highlight w:val="none"/>
        </w:rPr>
        <w:t>聚焦中轴申遗，完成南中轴路区域6200平方米绿化建设，对</w:t>
      </w:r>
      <w:r>
        <w:rPr>
          <w:color w:val="auto"/>
          <w:highlight w:val="none"/>
        </w:rPr>
        <w:t>南北长街、天桥南大街等6条道路</w:t>
      </w:r>
      <w:r>
        <w:rPr>
          <w:rFonts w:hint="eastAsia"/>
          <w:color w:val="auto"/>
          <w:highlight w:val="none"/>
        </w:rPr>
        <w:t>行道树补植及复壮，提升</w:t>
      </w:r>
      <w:r>
        <w:rPr>
          <w:color w:val="auto"/>
          <w:highlight w:val="none"/>
        </w:rPr>
        <w:t>万宁桥节点景观</w:t>
      </w:r>
      <w:r>
        <w:rPr>
          <w:rFonts w:hint="eastAsia"/>
          <w:color w:val="auto"/>
          <w:highlight w:val="none"/>
        </w:rPr>
        <w:t>，综合提升平安大街景观环境，</w:t>
      </w:r>
      <w:r>
        <w:rPr>
          <w:color w:val="auto"/>
          <w:highlight w:val="none"/>
        </w:rPr>
        <w:t>实现从交通干线向复合型公共空间转型。</w:t>
      </w:r>
      <w:bookmarkEnd w:id="5"/>
      <w:bookmarkStart w:id="6" w:name="OLE_LINK10"/>
      <w:r>
        <w:rPr>
          <w:rFonts w:hint="eastAsia"/>
          <w:color w:val="auto"/>
          <w:highlight w:val="none"/>
        </w:rPr>
        <w:t>夯实林荫路网基底，完成150条林荫示范路建设，建成市级、区级、社区三级绿道共34.06公里。实施环二环绿道品质升级，打通</w:t>
      </w:r>
      <w:r>
        <w:rPr>
          <w:color w:val="auto"/>
          <w:highlight w:val="none"/>
        </w:rPr>
        <w:t>滨水步道与城市慢行系统断点</w:t>
      </w:r>
      <w:r>
        <w:rPr>
          <w:rFonts w:hint="eastAsia"/>
          <w:color w:val="auto"/>
          <w:highlight w:val="none"/>
        </w:rPr>
        <w:t>，增设标识牌58个、地面引导标识330个，打造核心区绿道示范。</w:t>
      </w:r>
      <w:bookmarkEnd w:id="6"/>
      <w:r>
        <w:rPr>
          <w:rFonts w:hint="eastAsia"/>
          <w:color w:val="auto"/>
          <w:highlight w:val="none"/>
        </w:rPr>
        <w:t>深度融合城市更新，建成</w:t>
      </w:r>
      <w:r>
        <w:rPr>
          <w:color w:val="auto"/>
          <w:highlight w:val="none"/>
        </w:rPr>
        <w:t>六铺炕</w:t>
      </w:r>
      <w:r>
        <w:rPr>
          <w:rFonts w:hint="eastAsia"/>
          <w:color w:val="auto"/>
          <w:highlight w:val="none"/>
        </w:rPr>
        <w:t>、金融街、丰汇等3处</w:t>
      </w:r>
      <w:r>
        <w:rPr>
          <w:color w:val="auto"/>
          <w:highlight w:val="none"/>
        </w:rPr>
        <w:t>花园式</w:t>
      </w:r>
      <w:r>
        <w:rPr>
          <w:rFonts w:hint="eastAsia"/>
          <w:color w:val="auto"/>
          <w:highlight w:val="none"/>
        </w:rPr>
        <w:t>示范</w:t>
      </w:r>
      <w:r>
        <w:rPr>
          <w:color w:val="auto"/>
          <w:highlight w:val="none"/>
        </w:rPr>
        <w:t>街区</w:t>
      </w:r>
      <w:r>
        <w:rPr>
          <w:rFonts w:hint="eastAsia"/>
          <w:color w:val="auto"/>
          <w:highlight w:val="none"/>
        </w:rPr>
        <w:t>，完成六铺炕街等8条城市画廊建设。强化部门联动，打造</w:t>
      </w:r>
      <w:r>
        <w:rPr>
          <w:color w:val="auto"/>
          <w:highlight w:val="none"/>
        </w:rPr>
        <w:t>西单-积水潭一线</w:t>
      </w:r>
      <w:r>
        <w:rPr>
          <w:rFonts w:hint="eastAsia"/>
          <w:color w:val="auto"/>
          <w:highlight w:val="none"/>
        </w:rPr>
        <w:t>、北二环护城河环境整治等花园式</w:t>
      </w:r>
      <w:r>
        <w:rPr>
          <w:color w:val="auto"/>
          <w:highlight w:val="none"/>
        </w:rPr>
        <w:t>示范项目。</w:t>
      </w:r>
    </w:p>
    <w:p>
      <w:pPr>
        <w:pStyle w:val="32"/>
        <w:rPr>
          <w:rFonts w:hint="eastAsia"/>
          <w:color w:val="auto"/>
          <w:highlight w:val="none"/>
        </w:rPr>
      </w:pPr>
      <w:r>
        <w:rPr>
          <w:rFonts w:hint="eastAsia"/>
          <w:color w:val="auto"/>
          <w:highlight w:val="none"/>
        </w:rPr>
        <w:t>服务能力显著增强，环境品质全面提升</w:t>
      </w:r>
    </w:p>
    <w:p>
      <w:pPr>
        <w:pStyle w:val="30"/>
        <w:rPr>
          <w:rFonts w:hint="eastAsia"/>
          <w:color w:val="auto"/>
          <w:highlight w:val="none"/>
        </w:rPr>
      </w:pPr>
      <w:r>
        <w:rPr>
          <w:rFonts w:hint="eastAsia"/>
          <w:color w:val="auto"/>
          <w:highlight w:val="none"/>
        </w:rPr>
        <w:t>践行红墙意识，围绕中南海周边、长安街沿线等重点地区推进环境品质提升，圆满完成国家重大活动景观保障任务。</w:t>
      </w:r>
      <w:bookmarkStart w:id="7" w:name="_Toc205544344"/>
      <w:r>
        <w:rPr>
          <w:rFonts w:hint="eastAsia"/>
          <w:color w:val="auto"/>
          <w:highlight w:val="none"/>
        </w:rPr>
        <w:t>落实全龄友好，</w:t>
      </w:r>
      <w:bookmarkEnd w:id="7"/>
      <w:r>
        <w:rPr>
          <w:rFonts w:hint="eastAsia"/>
          <w:color w:val="auto"/>
          <w:highlight w:val="none"/>
        </w:rPr>
        <w:t>完成小马厂社区公园、手帕口游园等15处公园提升改造，提升健身步道7866米，增加儿童活动场地16处、笼式足球场2处、健身器材98件及智慧化设备10余处，长椿苑公园荣获2024年度西城十大名城保护案例。探索理念创新，十四五期间通过新建、改造增加9个无界公园，截</w:t>
      </w:r>
      <w:r>
        <w:rPr>
          <w:rFonts w:hint="eastAsia"/>
          <w:color w:val="auto"/>
          <w:highlight w:val="none"/>
        </w:rPr>
        <w:t>至</w:t>
      </w:r>
      <w:r>
        <w:rPr>
          <w:rFonts w:hint="eastAsia"/>
          <w:color w:val="auto"/>
          <w:highlight w:val="none"/>
        </w:rPr>
        <w:t>2025年底全区无界公园数量</w:t>
      </w:r>
      <w:r>
        <w:rPr>
          <w:rFonts w:hint="eastAsia"/>
          <w:color w:val="auto"/>
          <w:highlight w:val="none"/>
        </w:rPr>
        <w:t>达</w:t>
      </w:r>
      <w:r>
        <w:rPr>
          <w:rFonts w:hint="eastAsia"/>
          <w:color w:val="auto"/>
          <w:highlight w:val="none"/>
        </w:rPr>
        <w:t>73个。广阳</w:t>
      </w:r>
      <w:r>
        <w:rPr>
          <w:rFonts w:hint="eastAsia" w:hAnsi="Arial" w:cs="Arial"/>
          <w:color w:val="auto"/>
          <w:highlight w:val="none"/>
        </w:rPr>
        <w:t>谷城</w:t>
      </w:r>
      <w:r>
        <w:rPr>
          <w:rFonts w:hint="eastAsia"/>
          <w:color w:val="auto"/>
          <w:highlight w:val="none"/>
        </w:rPr>
        <w:t>市森林公园荣获第22届国际花园城市竞赛“环境可持续项目奖”金奖并夺得项目类唯一特别奖。推动开放共享，完成</w:t>
      </w:r>
      <w:r>
        <w:rPr>
          <w:color w:val="auto"/>
          <w:highlight w:val="none"/>
        </w:rPr>
        <w:t>德胜里花园、化工博物馆花园</w:t>
      </w:r>
      <w:r>
        <w:rPr>
          <w:rFonts w:hint="eastAsia"/>
          <w:color w:val="auto"/>
          <w:highlight w:val="none"/>
        </w:rPr>
        <w:t>等</w:t>
      </w:r>
      <w:r>
        <w:rPr>
          <w:color w:val="auto"/>
          <w:highlight w:val="none"/>
        </w:rPr>
        <w:t>6处附属绿地</w:t>
      </w:r>
      <w:r>
        <w:rPr>
          <w:rFonts w:hint="eastAsia"/>
          <w:color w:val="auto"/>
          <w:highlight w:val="none"/>
        </w:rPr>
        <w:t>品质提升及对外开放。</w:t>
      </w:r>
    </w:p>
    <w:p>
      <w:pPr>
        <w:pStyle w:val="32"/>
        <w:rPr>
          <w:rFonts w:hint="eastAsia"/>
          <w:color w:val="auto"/>
          <w:highlight w:val="none"/>
        </w:rPr>
      </w:pPr>
      <w:r>
        <w:rPr>
          <w:rFonts w:hint="eastAsia"/>
          <w:color w:val="auto"/>
          <w:highlight w:val="none"/>
        </w:rPr>
        <w:t>多维营造花园场景，城市魅力日益彰显</w:t>
      </w:r>
    </w:p>
    <w:p>
      <w:pPr>
        <w:pStyle w:val="30"/>
        <w:rPr>
          <w:rFonts w:hint="eastAsia"/>
          <w:color w:val="auto"/>
          <w:highlight w:val="none"/>
        </w:rPr>
      </w:pPr>
      <w:r>
        <w:rPr>
          <w:rFonts w:hint="eastAsia"/>
          <w:color w:val="auto"/>
          <w:highlight w:val="none"/>
        </w:rPr>
        <w:t>系统推进“百花”工程，依托古树名木、公园绿地、文保单位、城市地标及城市道路等五类空间，打造</w:t>
      </w:r>
      <w:r>
        <w:rPr>
          <w:color w:val="auto"/>
          <w:highlight w:val="none"/>
        </w:rPr>
        <w:t>76处赏花节点，</w:t>
      </w:r>
      <w:r>
        <w:rPr>
          <w:rFonts w:hint="eastAsia"/>
          <w:color w:val="auto"/>
          <w:highlight w:val="none"/>
        </w:rPr>
        <w:t>形成全域覆盖的四季赏花格局</w:t>
      </w:r>
      <w:r>
        <w:rPr>
          <w:color w:val="auto"/>
          <w:highlight w:val="none"/>
        </w:rPr>
        <w:t>。</w:t>
      </w:r>
      <w:r>
        <w:rPr>
          <w:rFonts w:hint="eastAsia"/>
          <w:color w:val="auto"/>
          <w:highlight w:val="none"/>
        </w:rPr>
        <w:t>深化立体绿化实践，建成梅兰芳大剧院、中古友谊小学等屋顶花园及北京市委党校等垂直绿化示范项目，加速“百栋建筑”绿色更新。加强古树名木保护，完成</w:t>
      </w:r>
      <w:r>
        <w:rPr>
          <w:color w:val="auto"/>
          <w:highlight w:val="none"/>
        </w:rPr>
        <w:t>33</w:t>
      </w:r>
      <w:r>
        <w:rPr>
          <w:rFonts w:hint="eastAsia"/>
          <w:color w:val="auto"/>
          <w:highlight w:val="none"/>
        </w:rPr>
        <w:t>12</w:t>
      </w:r>
      <w:r>
        <w:rPr>
          <w:color w:val="auto"/>
          <w:highlight w:val="none"/>
        </w:rPr>
        <w:t>株古树名木</w:t>
      </w:r>
      <w:r>
        <w:rPr>
          <w:rFonts w:hint="eastAsia"/>
          <w:color w:val="auto"/>
          <w:highlight w:val="none"/>
        </w:rPr>
        <w:t>精细化</w:t>
      </w:r>
      <w:r>
        <w:rPr>
          <w:color w:val="auto"/>
          <w:highlight w:val="none"/>
        </w:rPr>
        <w:t>健康体检</w:t>
      </w:r>
      <w:r>
        <w:rPr>
          <w:rFonts w:hint="eastAsia"/>
          <w:color w:val="auto"/>
          <w:highlight w:val="none"/>
        </w:rPr>
        <w:t>，累计复壮修复444株，建成古树社区、古树公园等12处示范项目，</w:t>
      </w:r>
      <w:r>
        <w:rPr>
          <w:color w:val="auto"/>
          <w:highlight w:val="none"/>
        </w:rPr>
        <w:t>推动古树保护深入人心。</w:t>
      </w:r>
    </w:p>
    <w:p>
      <w:pPr>
        <w:pStyle w:val="32"/>
        <w:rPr>
          <w:rFonts w:hint="eastAsia"/>
          <w:color w:val="auto"/>
          <w:highlight w:val="none"/>
        </w:rPr>
      </w:pPr>
      <w:r>
        <w:rPr>
          <w:rFonts w:hint="eastAsia"/>
          <w:color w:val="auto"/>
          <w:highlight w:val="none"/>
        </w:rPr>
        <w:t>精细管护惠及民生，筑牢生态安全屏障</w:t>
      </w:r>
    </w:p>
    <w:p>
      <w:pPr>
        <w:pStyle w:val="30"/>
        <w:rPr>
          <w:rFonts w:hint="eastAsia"/>
          <w:color w:val="auto"/>
          <w:highlight w:val="none"/>
        </w:rPr>
      </w:pPr>
      <w:r>
        <w:rPr>
          <w:color w:val="auto"/>
          <w:highlight w:val="none"/>
        </w:rPr>
        <w:t>以林长制为统领，完善“一长两员”五级林长管理机制，高质量推进花园城市建设。坚持高标准精细化日常管养，开展居住区、单位绿地专项治理及平房区危险树木排查消隐，在全市城镇绿地养护管理检查评比中持续保持第一。严密防控林木有害生物，构建美国白蛾、松材线虫病等监测体系，五年累计防治千余公顷</w:t>
      </w:r>
      <w:r>
        <w:rPr>
          <w:rFonts w:hint="eastAsia"/>
          <w:color w:val="auto"/>
          <w:highlight w:val="none"/>
        </w:rPr>
        <w:t>，</w:t>
      </w:r>
      <w:r>
        <w:rPr>
          <w:color w:val="auto"/>
          <w:highlight w:val="none"/>
        </w:rPr>
        <w:t>未发生重大灾害。精准治理杨柳飞絮，</w:t>
      </w:r>
      <w:bookmarkStart w:id="8" w:name="OLE_LINK16"/>
      <w:r>
        <w:rPr>
          <w:color w:val="auto"/>
          <w:highlight w:val="none"/>
        </w:rPr>
        <w:t>实现全区杨柳雌株全覆盖防治。提升野生动物协同救护能力，累计救助野生动物</w:t>
      </w:r>
      <w:r>
        <w:rPr>
          <w:rStyle w:val="20"/>
          <w:b w:val="0"/>
          <w:bCs w:val="0"/>
          <w:color w:val="auto"/>
          <w:highlight w:val="none"/>
        </w:rPr>
        <w:t>182只</w:t>
      </w:r>
      <w:bookmarkEnd w:id="8"/>
      <w:r>
        <w:rPr>
          <w:rStyle w:val="20"/>
          <w:b w:val="0"/>
          <w:bCs w:val="0"/>
          <w:color w:val="auto"/>
          <w:highlight w:val="none"/>
        </w:rPr>
        <w:t>，</w:t>
      </w:r>
      <w:r>
        <w:rPr>
          <w:color w:val="auto"/>
          <w:highlight w:val="none"/>
        </w:rPr>
        <w:t>实施雨燕保护促进种群回归。完成转河河坡生态修复，融入海绵城市理念，提升水生态环境。强化绿地韧性效能，建立应急响应机制，提升自然灾害前瞻性防御与快速处置能力。</w:t>
      </w:r>
    </w:p>
    <w:p>
      <w:pPr>
        <w:pStyle w:val="32"/>
        <w:rPr>
          <w:rFonts w:hint="eastAsia"/>
          <w:color w:val="auto"/>
          <w:highlight w:val="none"/>
        </w:rPr>
      </w:pPr>
      <w:r>
        <w:rPr>
          <w:rFonts w:hint="eastAsia"/>
          <w:color w:val="auto"/>
          <w:highlight w:val="none"/>
        </w:rPr>
        <w:t>共建共享初见成效，治理活力持续激发</w:t>
      </w:r>
    </w:p>
    <w:p>
      <w:pPr>
        <w:pStyle w:val="30"/>
        <w:rPr>
          <w:rFonts w:hint="eastAsia"/>
          <w:color w:val="auto"/>
          <w:highlight w:val="none"/>
        </w:rPr>
      </w:pPr>
      <w:r>
        <w:rPr>
          <w:rFonts w:hint="eastAsia"/>
          <w:color w:val="auto"/>
          <w:highlight w:val="none"/>
        </w:rPr>
        <w:t>推进“金角银边”微花园落地，建设成</w:t>
      </w:r>
      <w:r>
        <w:rPr>
          <w:color w:val="auto"/>
          <w:highlight w:val="none"/>
        </w:rPr>
        <w:t>德胜街道“蔬香花园”等</w:t>
      </w:r>
      <w:r>
        <w:rPr>
          <w:rFonts w:hint="eastAsia"/>
          <w:color w:val="auto"/>
          <w:highlight w:val="none"/>
        </w:rPr>
        <w:t>49处</w:t>
      </w:r>
      <w:r>
        <w:rPr>
          <w:color w:val="auto"/>
          <w:highlight w:val="none"/>
        </w:rPr>
        <w:t>功能复合的微花园。</w:t>
      </w:r>
      <w:r>
        <w:rPr>
          <w:rFonts w:hint="eastAsia"/>
          <w:color w:val="auto"/>
          <w:highlight w:val="none"/>
        </w:rPr>
        <w:t>完成福州馆社区、</w:t>
      </w:r>
      <w:r>
        <w:rPr>
          <w:color w:val="auto"/>
          <w:highlight w:val="none"/>
        </w:rPr>
        <w:t>马甸社区</w:t>
      </w:r>
      <w:r>
        <w:rPr>
          <w:rFonts w:hint="eastAsia"/>
          <w:color w:val="auto"/>
          <w:highlight w:val="none"/>
        </w:rPr>
        <w:t>等20余处社区微花园共建共享，</w:t>
      </w:r>
      <w:r>
        <w:rPr>
          <w:color w:val="auto"/>
          <w:highlight w:val="none"/>
        </w:rPr>
        <w:t>构建“政府引导、社区主导、居民参与、社会协同”的</w:t>
      </w:r>
      <w:r>
        <w:rPr>
          <w:rFonts w:hint="eastAsia"/>
          <w:color w:val="auto"/>
          <w:highlight w:val="none"/>
        </w:rPr>
        <w:t>多元协作</w:t>
      </w:r>
      <w:r>
        <w:rPr>
          <w:color w:val="auto"/>
          <w:highlight w:val="none"/>
        </w:rPr>
        <w:t>机制，</w:t>
      </w:r>
      <w:r>
        <w:rPr>
          <w:rFonts w:hint="eastAsia"/>
          <w:color w:val="auto"/>
          <w:highlight w:val="none"/>
        </w:rPr>
        <w:t>推动花园城市建设与社区治理深度融合</w:t>
      </w:r>
      <w:r>
        <w:rPr>
          <w:color w:val="auto"/>
          <w:highlight w:val="none"/>
        </w:rPr>
        <w:t>。</w:t>
      </w:r>
      <w:r>
        <w:rPr>
          <w:rFonts w:hint="eastAsia"/>
          <w:color w:val="auto"/>
          <w:highlight w:val="none"/>
        </w:rPr>
        <w:t>建立</w:t>
      </w:r>
      <w:r>
        <w:rPr>
          <w:color w:val="auto"/>
          <w:highlight w:val="none"/>
        </w:rPr>
        <w:t>区、街道、社区三级</w:t>
      </w:r>
      <w:r>
        <w:rPr>
          <w:rFonts w:hint="eastAsia"/>
          <w:color w:val="auto"/>
          <w:highlight w:val="none"/>
        </w:rPr>
        <w:t>园艺师制度，</w:t>
      </w:r>
      <w:r>
        <w:rPr>
          <w:color w:val="auto"/>
          <w:highlight w:val="none"/>
        </w:rPr>
        <w:t>全程跟踪项目建设</w:t>
      </w:r>
      <w:r>
        <w:rPr>
          <w:rFonts w:hint="eastAsia"/>
          <w:color w:val="auto"/>
          <w:highlight w:val="none"/>
        </w:rPr>
        <w:t>，</w:t>
      </w:r>
      <w:r>
        <w:rPr>
          <w:color w:val="auto"/>
          <w:highlight w:val="none"/>
        </w:rPr>
        <w:t>形成共建共治共享的治理格局。</w:t>
      </w:r>
      <w:r>
        <w:rPr>
          <w:rFonts w:hint="eastAsia"/>
          <w:color w:val="auto"/>
          <w:highlight w:val="none"/>
        </w:rPr>
        <w:t>拓展园艺文化传播，依托公园、园艺驿站形成“</w:t>
      </w:r>
      <w:r>
        <w:rPr>
          <w:color w:val="auto"/>
          <w:highlight w:val="none"/>
        </w:rPr>
        <w:t>月月有主题、周周有活动</w:t>
      </w:r>
      <w:r>
        <w:rPr>
          <w:rFonts w:hint="eastAsia"/>
          <w:color w:val="auto"/>
          <w:highlight w:val="none"/>
        </w:rPr>
        <w:t>”</w:t>
      </w:r>
      <w:r>
        <w:rPr>
          <w:color w:val="auto"/>
          <w:highlight w:val="none"/>
        </w:rPr>
        <w:t>常态化服务机制</w:t>
      </w:r>
      <w:r>
        <w:rPr>
          <w:rFonts w:hint="eastAsia"/>
          <w:color w:val="auto"/>
          <w:highlight w:val="none"/>
        </w:rPr>
        <w:t>，每年组织义务植树尽责千余次，深耕“</w:t>
      </w:r>
      <w:r>
        <w:rPr>
          <w:rFonts w:hint="eastAsia"/>
          <w:color w:val="auto"/>
          <w:kern w:val="0"/>
          <w:highlight w:val="none"/>
        </w:rPr>
        <w:t>自然笔记”等品牌活动</w:t>
      </w:r>
      <w:r>
        <w:rPr>
          <w:rFonts w:hint="eastAsia"/>
          <w:color w:val="auto"/>
          <w:highlight w:val="none"/>
        </w:rPr>
        <w:t>，促进生态科普与自然教育深度融合。</w:t>
      </w:r>
    </w:p>
    <w:p>
      <w:pPr>
        <w:pStyle w:val="31"/>
        <w:ind w:firstLine="643"/>
        <w:rPr>
          <w:rFonts w:hint="eastAsia"/>
          <w:color w:val="auto"/>
          <w:highlight w:val="none"/>
        </w:rPr>
      </w:pPr>
      <w:bookmarkStart w:id="9" w:name="_Toc234227613"/>
      <w:bookmarkStart w:id="10" w:name="_Toc205544355"/>
      <w:r>
        <w:rPr>
          <w:rFonts w:hint="eastAsia"/>
          <w:color w:val="auto"/>
          <w:highlight w:val="none"/>
        </w:rPr>
        <w:t>“十五五”时期主要形势分析</w:t>
      </w:r>
      <w:bookmarkEnd w:id="9"/>
    </w:p>
    <w:p>
      <w:pPr>
        <w:pStyle w:val="32"/>
        <w:numPr>
          <w:ilvl w:val="0"/>
          <w:numId w:val="6"/>
        </w:numPr>
        <w:rPr>
          <w:rFonts w:hint="eastAsia"/>
          <w:color w:val="auto"/>
          <w:highlight w:val="none"/>
        </w:rPr>
      </w:pPr>
      <w:r>
        <w:rPr>
          <w:rFonts w:hint="eastAsia"/>
          <w:color w:val="auto"/>
          <w:highlight w:val="none"/>
        </w:rPr>
        <w:t>城区战略定位赋予园林绿化更高使命</w:t>
      </w:r>
    </w:p>
    <w:p>
      <w:pPr>
        <w:pStyle w:val="30"/>
        <w:rPr>
          <w:rFonts w:hint="eastAsia"/>
          <w:color w:val="auto"/>
          <w:highlight w:val="none"/>
        </w:rPr>
      </w:pPr>
      <w:bookmarkStart w:id="11" w:name="OLE_LINK2"/>
      <w:r>
        <w:rPr>
          <w:rFonts w:hint="eastAsia"/>
          <w:color w:val="auto"/>
          <w:highlight w:val="none"/>
        </w:rPr>
        <w:t>西城区</w:t>
      </w:r>
      <w:r>
        <w:rPr>
          <w:color w:val="auto"/>
          <w:highlight w:val="none"/>
        </w:rPr>
        <w:t>承担着特殊的政治责任与服务保障使命</w:t>
      </w:r>
      <w:r>
        <w:rPr>
          <w:rFonts w:hint="eastAsia"/>
          <w:color w:val="auto"/>
          <w:highlight w:val="none"/>
        </w:rPr>
        <w:t>，园林绿化工作必须自觉对标“首善之首”高标准，围绕政务</w:t>
      </w:r>
      <w:r>
        <w:rPr>
          <w:color w:val="auto"/>
          <w:highlight w:val="none"/>
        </w:rPr>
        <w:t>环境保障、历史文化传承、人居环境改善三大核心功能</w:t>
      </w:r>
      <w:r>
        <w:rPr>
          <w:rFonts w:hint="eastAsia"/>
          <w:color w:val="auto"/>
          <w:highlight w:val="none"/>
        </w:rPr>
        <w:t>，进一步强化“红墙意识”，以高品质生态空间支撑政务功能运转，</w:t>
      </w:r>
      <w:r>
        <w:rPr>
          <w:color w:val="auto"/>
          <w:highlight w:val="none"/>
        </w:rPr>
        <w:t>提升居民生活品质，</w:t>
      </w:r>
      <w:r>
        <w:rPr>
          <w:rFonts w:hint="eastAsia"/>
          <w:color w:val="auto"/>
          <w:highlight w:val="none"/>
        </w:rPr>
        <w:t>为建设国际一流和谐宜居之都首善之区奠定坚实基础。</w:t>
      </w:r>
    </w:p>
    <w:bookmarkEnd w:id="11"/>
    <w:p>
      <w:pPr>
        <w:pStyle w:val="32"/>
        <w:rPr>
          <w:rFonts w:hint="eastAsia"/>
          <w:color w:val="auto"/>
          <w:highlight w:val="none"/>
        </w:rPr>
      </w:pPr>
      <w:r>
        <w:rPr>
          <w:rFonts w:hint="eastAsia"/>
          <w:color w:val="auto"/>
          <w:highlight w:val="none"/>
        </w:rPr>
        <w:t>首都花园城市建设进入全面推进阶段</w:t>
      </w:r>
    </w:p>
    <w:p>
      <w:pPr>
        <w:pStyle w:val="30"/>
        <w:rPr>
          <w:rFonts w:hint="eastAsia"/>
          <w:color w:val="auto"/>
          <w:highlight w:val="none"/>
        </w:rPr>
      </w:pPr>
      <w:bookmarkStart w:id="12" w:name="OLE_LINK4"/>
      <w:r>
        <w:rPr>
          <w:rFonts w:hint="eastAsia"/>
          <w:color w:val="auto"/>
          <w:highlight w:val="none"/>
        </w:rPr>
        <w:t xml:space="preserve"> “十五五”期间，首都花园城市建设明确提出精心打造天然、和谐、共享、生活、心灵“五个花园”发展目标，把生态优势转化为首都绿色发展新动能、市民美好生活新场景、生态文化发展新源泉，</w:t>
      </w:r>
      <w:r>
        <w:rPr>
          <w:color w:val="auto"/>
          <w:highlight w:val="none"/>
        </w:rPr>
        <w:t>西城区</w:t>
      </w:r>
      <w:r>
        <w:rPr>
          <w:rFonts w:hint="eastAsia"/>
          <w:color w:val="auto"/>
          <w:highlight w:val="none"/>
        </w:rPr>
        <w:t>须以首善标准深入推进花园城市建设</w:t>
      </w:r>
      <w:r>
        <w:rPr>
          <w:color w:val="auto"/>
          <w:highlight w:val="none"/>
        </w:rPr>
        <w:t>。</w:t>
      </w:r>
    </w:p>
    <w:bookmarkEnd w:id="12"/>
    <w:p>
      <w:pPr>
        <w:pStyle w:val="32"/>
        <w:rPr>
          <w:rFonts w:hint="eastAsia"/>
          <w:color w:val="auto"/>
          <w:highlight w:val="none"/>
        </w:rPr>
      </w:pPr>
      <w:r>
        <w:rPr>
          <w:rFonts w:hint="eastAsia"/>
          <w:color w:val="auto"/>
          <w:highlight w:val="none"/>
        </w:rPr>
        <w:t>空间</w:t>
      </w:r>
      <w:bookmarkEnd w:id="10"/>
      <w:r>
        <w:rPr>
          <w:rFonts w:hint="eastAsia"/>
          <w:color w:val="auto"/>
          <w:highlight w:val="none"/>
        </w:rPr>
        <w:t>资源刚性约束与品质提升多元需求交织并存</w:t>
      </w:r>
    </w:p>
    <w:p>
      <w:pPr>
        <w:pStyle w:val="30"/>
        <w:rPr>
          <w:rFonts w:hint="eastAsia"/>
          <w:color w:val="auto"/>
          <w:highlight w:val="none"/>
        </w:rPr>
      </w:pPr>
      <w:bookmarkStart w:id="13" w:name="OLE_LINK5"/>
      <w:r>
        <w:rPr>
          <w:rFonts w:hint="eastAsia"/>
          <w:color w:val="auto"/>
          <w:highlight w:val="none"/>
        </w:rPr>
        <w:t>城市更新中多数地块面临权属复杂、腾退成本高、资金平衡困难等现实制约，规划</w:t>
      </w:r>
      <w:r>
        <w:rPr>
          <w:color w:val="auto"/>
          <w:highlight w:val="none"/>
        </w:rPr>
        <w:t>绿地</w:t>
      </w:r>
      <w:r>
        <w:rPr>
          <w:rFonts w:hint="eastAsia"/>
          <w:color w:val="auto"/>
          <w:highlight w:val="none"/>
        </w:rPr>
        <w:t>落实难度较大，可挖潜增绿空间极为有限。“十五五”时期，人口高龄化趋势加剧与市民对绿色空间功能品质期待持续提升，</w:t>
      </w:r>
      <w:r>
        <w:rPr>
          <w:color w:val="auto"/>
          <w:highlight w:val="none"/>
        </w:rPr>
        <w:t>如何</w:t>
      </w:r>
      <w:r>
        <w:rPr>
          <w:rFonts w:hint="eastAsia"/>
          <w:color w:val="auto"/>
          <w:highlight w:val="none"/>
        </w:rPr>
        <w:t>在刚性约束下持续优化存量、提升品质、挖潜增效，成为园林绿化高质量发展须破解的关键命题</w:t>
      </w:r>
      <w:bookmarkEnd w:id="13"/>
      <w:r>
        <w:rPr>
          <w:color w:val="auto"/>
          <w:highlight w:val="none"/>
        </w:rPr>
        <w:t>。</w:t>
      </w:r>
    </w:p>
    <w:p>
      <w:pPr>
        <w:pStyle w:val="30"/>
        <w:rPr>
          <w:rFonts w:hint="eastAsia"/>
          <w:color w:val="auto"/>
          <w:highlight w:val="none"/>
        </w:rPr>
      </w:pPr>
    </w:p>
    <w:p>
      <w:pPr>
        <w:pStyle w:val="28"/>
        <w:rPr>
          <w:rFonts w:hint="eastAsia"/>
          <w:color w:val="auto"/>
          <w:highlight w:val="none"/>
        </w:rPr>
      </w:pPr>
      <w:bookmarkStart w:id="14" w:name="_Toc234227614"/>
      <w:r>
        <w:rPr>
          <w:rFonts w:hint="eastAsia"/>
          <w:color w:val="auto"/>
          <w:highlight w:val="none"/>
        </w:rPr>
        <w:t>“十五五”时期园林绿化发展思路</w:t>
      </w:r>
      <w:bookmarkEnd w:id="14"/>
    </w:p>
    <w:p>
      <w:pPr>
        <w:pStyle w:val="30"/>
        <w:rPr>
          <w:rFonts w:hint="eastAsia"/>
          <w:color w:val="auto"/>
          <w:highlight w:val="none"/>
        </w:rPr>
      </w:pPr>
    </w:p>
    <w:p>
      <w:pPr>
        <w:pStyle w:val="31"/>
        <w:numPr>
          <w:ilvl w:val="0"/>
          <w:numId w:val="7"/>
        </w:numPr>
        <w:ind w:firstLine="127" w:firstLineChars="0"/>
        <w:rPr>
          <w:rFonts w:hint="eastAsia"/>
          <w:color w:val="auto"/>
          <w:highlight w:val="none"/>
        </w:rPr>
      </w:pPr>
      <w:bookmarkStart w:id="15" w:name="_Toc234227615"/>
      <w:r>
        <w:rPr>
          <w:rFonts w:hint="eastAsia"/>
          <w:color w:val="auto"/>
          <w:highlight w:val="none"/>
        </w:rPr>
        <w:t>指导思想</w:t>
      </w:r>
      <w:bookmarkEnd w:id="15"/>
    </w:p>
    <w:p>
      <w:pPr>
        <w:pStyle w:val="30"/>
        <w:rPr>
          <w:rFonts w:hint="eastAsia"/>
          <w:color w:val="auto"/>
          <w:highlight w:val="none"/>
        </w:rPr>
      </w:pPr>
      <w:r>
        <w:rPr>
          <w:rFonts w:hint="eastAsia"/>
          <w:color w:val="auto"/>
          <w:highlight w:val="none"/>
        </w:rPr>
        <w:t>全面</w:t>
      </w:r>
      <w:r>
        <w:rPr>
          <w:color w:val="auto"/>
          <w:highlight w:val="none"/>
        </w:rPr>
        <w:t>贯彻落实党的二十大和二十届历次全会精神</w:t>
      </w:r>
      <w:r>
        <w:rPr>
          <w:rFonts w:hint="eastAsia"/>
          <w:color w:val="auto"/>
          <w:highlight w:val="none"/>
        </w:rPr>
        <w:t>，以习近平总书记对北京重要讲话精神为根本遵循，</w:t>
      </w:r>
      <w:r>
        <w:rPr>
          <w:color w:val="auto"/>
          <w:highlight w:val="none"/>
        </w:rPr>
        <w:t>紧扣首都“四个中心”城市战略定位，</w:t>
      </w:r>
      <w:r>
        <w:rPr>
          <w:rFonts w:hint="eastAsia"/>
          <w:color w:val="auto"/>
          <w:highlight w:val="none"/>
        </w:rPr>
        <w:t>提升“四个服务”能力水平，</w:t>
      </w:r>
      <w:r>
        <w:rPr>
          <w:color w:val="auto"/>
          <w:highlight w:val="none"/>
        </w:rPr>
        <w:t>以新时代首都发展为统领，落实“五个当先锋”工作要求，</w:t>
      </w:r>
      <w:r>
        <w:rPr>
          <w:rFonts w:hint="eastAsia"/>
          <w:color w:val="auto"/>
          <w:highlight w:val="none"/>
        </w:rPr>
        <w:t>以</w:t>
      </w:r>
      <w:r>
        <w:rPr>
          <w:color w:val="auto"/>
          <w:highlight w:val="none"/>
        </w:rPr>
        <w:t>“首善之首”高标准</w:t>
      </w:r>
      <w:r>
        <w:rPr>
          <w:rFonts w:hint="eastAsia"/>
          <w:color w:val="auto"/>
          <w:highlight w:val="none"/>
        </w:rPr>
        <w:t>扎实有序推进花园城市建设，</w:t>
      </w:r>
      <w:r>
        <w:rPr>
          <w:color w:val="auto"/>
          <w:highlight w:val="none"/>
        </w:rPr>
        <w:t>着力构建与大国首都功能相匹配、与人民群众美好生活期盼相契合的高品质园林绿化体系，为首都功能核心区高质量发展提供坚实支撑和绿色动能。</w:t>
      </w:r>
    </w:p>
    <w:p>
      <w:pPr>
        <w:pStyle w:val="31"/>
        <w:ind w:firstLine="643"/>
        <w:rPr>
          <w:rFonts w:hint="eastAsia"/>
          <w:color w:val="auto"/>
          <w:highlight w:val="none"/>
        </w:rPr>
      </w:pPr>
      <w:bookmarkStart w:id="16" w:name="_Toc234227616"/>
      <w:r>
        <w:rPr>
          <w:rFonts w:hint="eastAsia"/>
          <w:color w:val="auto"/>
          <w:highlight w:val="none"/>
        </w:rPr>
        <w:t>基本原则</w:t>
      </w:r>
      <w:bookmarkEnd w:id="16"/>
    </w:p>
    <w:p>
      <w:pPr>
        <w:pStyle w:val="32"/>
        <w:numPr>
          <w:ilvl w:val="0"/>
          <w:numId w:val="8"/>
        </w:numPr>
        <w:rPr>
          <w:rStyle w:val="20"/>
          <w:rFonts w:hint="eastAsia"/>
          <w:b w:val="0"/>
          <w:bCs w:val="0"/>
          <w:color w:val="auto"/>
          <w:highlight w:val="none"/>
        </w:rPr>
      </w:pPr>
      <w:r>
        <w:rPr>
          <w:rStyle w:val="20"/>
          <w:rFonts w:hint="eastAsia"/>
          <w:b/>
          <w:bCs w:val="0"/>
          <w:color w:val="auto"/>
          <w:highlight w:val="none"/>
        </w:rPr>
        <w:t>坚持服务首都，注重突出政治中心</w:t>
      </w:r>
    </w:p>
    <w:p>
      <w:pPr>
        <w:pStyle w:val="30"/>
        <w:rPr>
          <w:rStyle w:val="20"/>
          <w:rFonts w:hint="eastAsia"/>
          <w:b w:val="0"/>
          <w:color w:val="auto"/>
          <w:highlight w:val="none"/>
        </w:rPr>
      </w:pPr>
      <w:r>
        <w:rPr>
          <w:rFonts w:hint="eastAsia"/>
          <w:color w:val="auto"/>
          <w:highlight w:val="none"/>
        </w:rPr>
        <w:t>以服务首都功能核心区定位为导向，处理好“都”与“城”的关系，聚焦花园城市重点区域与关键环节，营造庄重有序的政务环境，全力服务保障政治中心功能。</w:t>
      </w:r>
    </w:p>
    <w:p>
      <w:pPr>
        <w:pStyle w:val="32"/>
        <w:numPr>
          <w:ilvl w:val="0"/>
          <w:numId w:val="8"/>
        </w:numPr>
        <w:rPr>
          <w:rStyle w:val="20"/>
          <w:rFonts w:hint="eastAsia"/>
          <w:b/>
          <w:bCs/>
          <w:color w:val="auto"/>
          <w:highlight w:val="none"/>
        </w:rPr>
      </w:pPr>
      <w:r>
        <w:rPr>
          <w:rStyle w:val="20"/>
          <w:b/>
          <w:bCs w:val="0"/>
          <w:color w:val="auto"/>
          <w:highlight w:val="none"/>
        </w:rPr>
        <w:t>坚持人民至上，</w:t>
      </w:r>
      <w:r>
        <w:rPr>
          <w:rStyle w:val="20"/>
          <w:rFonts w:hint="eastAsia"/>
          <w:b/>
          <w:bCs w:val="0"/>
          <w:color w:val="auto"/>
          <w:highlight w:val="none"/>
        </w:rPr>
        <w:t>推动高品质宜居共享</w:t>
      </w:r>
    </w:p>
    <w:p>
      <w:pPr>
        <w:pStyle w:val="30"/>
        <w:rPr>
          <w:rFonts w:hint="eastAsia"/>
          <w:color w:val="auto"/>
          <w:highlight w:val="none"/>
        </w:rPr>
      </w:pPr>
      <w:r>
        <w:rPr>
          <w:color w:val="auto"/>
          <w:highlight w:val="none"/>
        </w:rPr>
        <w:t>以回应市民对优美生态环境和高品质生活的向往为出发点</w:t>
      </w:r>
      <w:r>
        <w:rPr>
          <w:rFonts w:hint="eastAsia"/>
          <w:color w:val="auto"/>
          <w:highlight w:val="none"/>
        </w:rPr>
        <w:t>，聚焦“七有”要求和“五性”需求，持续</w:t>
      </w:r>
      <w:r>
        <w:rPr>
          <w:color w:val="auto"/>
          <w:highlight w:val="none"/>
        </w:rPr>
        <w:t>提升</w:t>
      </w:r>
      <w:r>
        <w:rPr>
          <w:rFonts w:hint="eastAsia"/>
          <w:color w:val="auto"/>
          <w:highlight w:val="none"/>
        </w:rPr>
        <w:t>市民</w:t>
      </w:r>
      <w:r>
        <w:rPr>
          <w:color w:val="auto"/>
          <w:highlight w:val="none"/>
        </w:rPr>
        <w:t>身边绿色空间品质与服务功能，推动园林绿化从规模增长向内涵提升转变，让</w:t>
      </w:r>
      <w:r>
        <w:rPr>
          <w:rFonts w:hint="eastAsia"/>
          <w:color w:val="auto"/>
          <w:highlight w:val="none"/>
        </w:rPr>
        <w:t>园林绿化</w:t>
      </w:r>
      <w:r>
        <w:rPr>
          <w:color w:val="auto"/>
          <w:highlight w:val="none"/>
        </w:rPr>
        <w:t>成果更多更公平惠及全体人民。</w:t>
      </w:r>
    </w:p>
    <w:p>
      <w:pPr>
        <w:pStyle w:val="32"/>
        <w:numPr>
          <w:ilvl w:val="0"/>
          <w:numId w:val="8"/>
        </w:numPr>
        <w:rPr>
          <w:rStyle w:val="20"/>
          <w:rFonts w:hint="eastAsia"/>
          <w:b/>
          <w:bCs/>
          <w:color w:val="auto"/>
          <w:highlight w:val="none"/>
        </w:rPr>
      </w:pPr>
      <w:r>
        <w:rPr>
          <w:rStyle w:val="20"/>
          <w:rFonts w:ascii="Segoe UI" w:hAnsi="Segoe UI" w:cs="Segoe UI"/>
          <w:b/>
          <w:bCs w:val="0"/>
          <w:color w:val="auto"/>
          <w:highlight w:val="none"/>
        </w:rPr>
        <w:t>坚持</w:t>
      </w:r>
      <w:r>
        <w:rPr>
          <w:rStyle w:val="20"/>
          <w:rFonts w:hint="eastAsia" w:ascii="Segoe UI" w:hAnsi="Segoe UI" w:cs="Segoe UI"/>
          <w:b/>
          <w:bCs w:val="0"/>
          <w:color w:val="auto"/>
          <w:highlight w:val="none"/>
        </w:rPr>
        <w:t>守正创新</w:t>
      </w:r>
      <w:r>
        <w:rPr>
          <w:rStyle w:val="20"/>
          <w:rFonts w:ascii="Segoe UI" w:hAnsi="Segoe UI" w:cs="Segoe UI"/>
          <w:b/>
          <w:bCs w:val="0"/>
          <w:color w:val="auto"/>
          <w:highlight w:val="none"/>
        </w:rPr>
        <w:t>，</w:t>
      </w:r>
      <w:r>
        <w:rPr>
          <w:rStyle w:val="20"/>
          <w:rFonts w:hint="eastAsia" w:ascii="Segoe UI" w:hAnsi="Segoe UI" w:cs="Segoe UI"/>
          <w:b/>
          <w:bCs w:val="0"/>
          <w:color w:val="auto"/>
          <w:highlight w:val="none"/>
        </w:rPr>
        <w:t>传承古都历史文脉</w:t>
      </w:r>
    </w:p>
    <w:p>
      <w:pPr>
        <w:pStyle w:val="30"/>
        <w:rPr>
          <w:rFonts w:hint="eastAsia"/>
          <w:color w:val="auto"/>
          <w:highlight w:val="none"/>
        </w:rPr>
      </w:pPr>
      <w:r>
        <w:rPr>
          <w:color w:val="auto"/>
          <w:highlight w:val="none"/>
        </w:rPr>
        <w:t>在严格保护历史格局、街区肌理与风貌前提下，推动历史文化与城市发展深度融合，探索创新性传承利用模式，塑造兼具古都韵味与</w:t>
      </w:r>
      <w:r>
        <w:rPr>
          <w:rFonts w:hint="eastAsia"/>
          <w:color w:val="auto"/>
          <w:highlight w:val="none"/>
        </w:rPr>
        <w:t>时代魅力</w:t>
      </w:r>
      <w:r>
        <w:rPr>
          <w:color w:val="auto"/>
          <w:highlight w:val="none"/>
        </w:rPr>
        <w:t>的特色风貌。</w:t>
      </w:r>
    </w:p>
    <w:p>
      <w:pPr>
        <w:pStyle w:val="32"/>
        <w:numPr>
          <w:ilvl w:val="0"/>
          <w:numId w:val="8"/>
        </w:numPr>
        <w:rPr>
          <w:rStyle w:val="20"/>
          <w:rFonts w:hint="eastAsia"/>
          <w:b/>
          <w:bCs/>
          <w:color w:val="auto"/>
          <w:highlight w:val="none"/>
        </w:rPr>
      </w:pPr>
      <w:r>
        <w:rPr>
          <w:rStyle w:val="20"/>
          <w:rFonts w:hint="eastAsia"/>
          <w:b/>
          <w:bCs w:val="0"/>
          <w:color w:val="auto"/>
          <w:highlight w:val="none"/>
        </w:rPr>
        <w:t>坚持生态韧性，提升城市安全效能</w:t>
      </w:r>
    </w:p>
    <w:p>
      <w:pPr>
        <w:pStyle w:val="30"/>
        <w:rPr>
          <w:rFonts w:hint="eastAsia"/>
          <w:color w:val="auto"/>
          <w:highlight w:val="none"/>
        </w:rPr>
      </w:pPr>
      <w:r>
        <w:rPr>
          <w:color w:val="auto"/>
          <w:highlight w:val="none"/>
        </w:rPr>
        <w:t>将生态</w:t>
      </w:r>
      <w:r>
        <w:rPr>
          <w:rFonts w:hint="eastAsia"/>
          <w:color w:val="auto"/>
          <w:highlight w:val="none"/>
        </w:rPr>
        <w:t>安全</w:t>
      </w:r>
      <w:r>
        <w:rPr>
          <w:color w:val="auto"/>
          <w:highlight w:val="none"/>
        </w:rPr>
        <w:t>理念贯穿</w:t>
      </w:r>
      <w:r>
        <w:rPr>
          <w:rFonts w:hint="eastAsia"/>
          <w:color w:val="auto"/>
          <w:highlight w:val="none"/>
        </w:rPr>
        <w:t>园林绿化</w:t>
      </w:r>
      <w:r>
        <w:rPr>
          <w:color w:val="auto"/>
          <w:highlight w:val="none"/>
        </w:rPr>
        <w:t>规划、建设与管理全过程</w:t>
      </w:r>
      <w:r>
        <w:rPr>
          <w:rFonts w:hint="eastAsia"/>
          <w:color w:val="auto"/>
          <w:highlight w:val="none"/>
        </w:rPr>
        <w:t>，</w:t>
      </w:r>
      <w:r>
        <w:rPr>
          <w:color w:val="auto"/>
          <w:highlight w:val="none"/>
        </w:rPr>
        <w:t>构建</w:t>
      </w:r>
      <w:r>
        <w:rPr>
          <w:rFonts w:hint="eastAsia"/>
          <w:color w:val="auto"/>
          <w:highlight w:val="none"/>
        </w:rPr>
        <w:t>安全</w:t>
      </w:r>
      <w:r>
        <w:rPr>
          <w:color w:val="auto"/>
          <w:highlight w:val="none"/>
        </w:rPr>
        <w:t>稳定的城市生态系统</w:t>
      </w:r>
      <w:r>
        <w:rPr>
          <w:rFonts w:hint="eastAsia"/>
          <w:color w:val="auto"/>
          <w:highlight w:val="none"/>
        </w:rPr>
        <w:t>，</w:t>
      </w:r>
      <w:r>
        <w:rPr>
          <w:color w:val="auto"/>
          <w:highlight w:val="none"/>
        </w:rPr>
        <w:t>将风险防控要求内嵌其中，全面提升核心区应对气候变化</w:t>
      </w:r>
      <w:r>
        <w:rPr>
          <w:rFonts w:hint="eastAsia"/>
          <w:color w:val="auto"/>
          <w:highlight w:val="none"/>
        </w:rPr>
        <w:t>与</w:t>
      </w:r>
      <w:r>
        <w:rPr>
          <w:color w:val="auto"/>
          <w:highlight w:val="none"/>
        </w:rPr>
        <w:t>保障运行安全的适应能力</w:t>
      </w:r>
      <w:r>
        <w:rPr>
          <w:rFonts w:hint="eastAsia"/>
          <w:color w:val="auto"/>
          <w:highlight w:val="none"/>
        </w:rPr>
        <w:t>和</w:t>
      </w:r>
      <w:r>
        <w:rPr>
          <w:color w:val="auto"/>
          <w:highlight w:val="none"/>
        </w:rPr>
        <w:t>恢复能力。</w:t>
      </w:r>
    </w:p>
    <w:p>
      <w:pPr>
        <w:pStyle w:val="32"/>
        <w:numPr>
          <w:ilvl w:val="0"/>
          <w:numId w:val="8"/>
        </w:numPr>
        <w:rPr>
          <w:rStyle w:val="20"/>
          <w:rFonts w:hint="eastAsia"/>
          <w:b/>
          <w:bCs/>
          <w:color w:val="auto"/>
          <w:highlight w:val="none"/>
        </w:rPr>
      </w:pPr>
      <w:r>
        <w:rPr>
          <w:rStyle w:val="20"/>
          <w:b/>
          <w:bCs w:val="0"/>
          <w:color w:val="auto"/>
          <w:highlight w:val="none"/>
        </w:rPr>
        <w:t>坚持</w:t>
      </w:r>
      <w:r>
        <w:rPr>
          <w:rStyle w:val="20"/>
          <w:rFonts w:hint="eastAsia"/>
          <w:b/>
          <w:bCs w:val="0"/>
          <w:color w:val="auto"/>
          <w:highlight w:val="none"/>
        </w:rPr>
        <w:t>精治共治，构建长效治理格局</w:t>
      </w:r>
    </w:p>
    <w:p>
      <w:pPr>
        <w:pStyle w:val="30"/>
        <w:rPr>
          <w:rFonts w:hint="eastAsia"/>
          <w:color w:val="auto"/>
          <w:highlight w:val="none"/>
        </w:rPr>
      </w:pPr>
      <w:r>
        <w:rPr>
          <w:rFonts w:hint="eastAsia"/>
          <w:color w:val="auto"/>
          <w:highlight w:val="none"/>
        </w:rPr>
        <w:t>下足绣花功夫，健全城市精细化治理体系，</w:t>
      </w:r>
      <w:r>
        <w:rPr>
          <w:color w:val="auto"/>
          <w:highlight w:val="none"/>
        </w:rPr>
        <w:t>创新激励机制，广泛引导企业、社会组织和公众参与规划、建设、管理和监督全过程，构建多元</w:t>
      </w:r>
      <w:r>
        <w:rPr>
          <w:rFonts w:hint="eastAsia"/>
          <w:color w:val="auto"/>
          <w:highlight w:val="none"/>
        </w:rPr>
        <w:t>参与</w:t>
      </w:r>
      <w:r>
        <w:rPr>
          <w:color w:val="auto"/>
          <w:highlight w:val="none"/>
        </w:rPr>
        <w:t>、</w:t>
      </w:r>
      <w:r>
        <w:rPr>
          <w:rFonts w:hint="eastAsia"/>
          <w:color w:val="auto"/>
          <w:highlight w:val="none"/>
        </w:rPr>
        <w:t>共建共治共享</w:t>
      </w:r>
      <w:r>
        <w:rPr>
          <w:color w:val="auto"/>
          <w:highlight w:val="none"/>
        </w:rPr>
        <w:t>的长效治理</w:t>
      </w:r>
      <w:r>
        <w:rPr>
          <w:rFonts w:hint="eastAsia"/>
          <w:color w:val="auto"/>
          <w:highlight w:val="none"/>
        </w:rPr>
        <w:t>机制</w:t>
      </w:r>
      <w:r>
        <w:rPr>
          <w:color w:val="auto"/>
          <w:highlight w:val="none"/>
        </w:rPr>
        <w:t>。</w:t>
      </w:r>
    </w:p>
    <w:p>
      <w:pPr>
        <w:pStyle w:val="32"/>
        <w:numPr>
          <w:ilvl w:val="0"/>
          <w:numId w:val="8"/>
        </w:numPr>
        <w:rPr>
          <w:rStyle w:val="20"/>
          <w:rFonts w:hint="eastAsia"/>
          <w:b/>
          <w:bCs/>
          <w:color w:val="auto"/>
          <w:highlight w:val="none"/>
        </w:rPr>
      </w:pPr>
      <w:r>
        <w:rPr>
          <w:rStyle w:val="20"/>
          <w:rFonts w:hint="eastAsia"/>
          <w:b/>
          <w:bCs w:val="0"/>
          <w:color w:val="auto"/>
          <w:highlight w:val="none"/>
        </w:rPr>
        <w:t>坚持规划统筹，促进协同融合发展</w:t>
      </w:r>
    </w:p>
    <w:p>
      <w:pPr>
        <w:pStyle w:val="30"/>
        <w:rPr>
          <w:rFonts w:hint="eastAsia"/>
          <w:color w:val="auto"/>
          <w:highlight w:val="none"/>
        </w:rPr>
      </w:pPr>
      <w:r>
        <w:rPr>
          <w:color w:val="auto"/>
          <w:highlight w:val="none"/>
        </w:rPr>
        <w:t>强化全区统筹谋划与战略性布局。紧密结合超大城市核心区特征，创新规划建设管理模式，加强园林绿化与城市更新协同联动，推动功能、空间与要素深度融合，全面提升发展的系统性、整体性和协同性</w:t>
      </w:r>
      <w:r>
        <w:rPr>
          <w:rFonts w:hint="eastAsia"/>
          <w:color w:val="auto"/>
          <w:highlight w:val="none"/>
        </w:rPr>
        <w:t>。</w:t>
      </w:r>
    </w:p>
    <w:p>
      <w:pPr>
        <w:pStyle w:val="31"/>
        <w:ind w:firstLine="643"/>
        <w:rPr>
          <w:rFonts w:hint="eastAsia"/>
          <w:color w:val="auto"/>
          <w:highlight w:val="none"/>
        </w:rPr>
      </w:pPr>
      <w:bookmarkStart w:id="17" w:name="_Toc234227617"/>
      <w:r>
        <w:rPr>
          <w:rFonts w:hint="eastAsia"/>
          <w:color w:val="auto"/>
          <w:highlight w:val="none"/>
        </w:rPr>
        <w:t>发展目标</w:t>
      </w:r>
      <w:bookmarkEnd w:id="17"/>
    </w:p>
    <w:p>
      <w:pPr>
        <w:pStyle w:val="30"/>
        <w:rPr>
          <w:rFonts w:hint="eastAsia"/>
          <w:color w:val="auto"/>
          <w:highlight w:val="none"/>
        </w:rPr>
      </w:pPr>
      <w:bookmarkStart w:id="18" w:name="_Hlk209191782"/>
      <w:r>
        <w:rPr>
          <w:rFonts w:hint="eastAsia"/>
          <w:color w:val="auto"/>
          <w:highlight w:val="none"/>
        </w:rPr>
        <w:t>立足大国首都站位与百姓日常生活需求，紧扣在新时代首都发展中立标杆、当先锋，围绕建设</w:t>
      </w:r>
      <w:r>
        <w:rPr>
          <w:color w:val="auto"/>
          <w:highlight w:val="none"/>
        </w:rPr>
        <w:t>创新、宜居、美丽、韧性、文明、智慧的现代化人民城市目标，</w:t>
      </w:r>
      <w:r>
        <w:rPr>
          <w:rFonts w:hint="eastAsia"/>
          <w:color w:val="auto"/>
          <w:highlight w:val="none"/>
        </w:rPr>
        <w:t>通过高品质建设与精细化治理，系统夯实生态基底，深入推进花园城市建设，加快建设国际一流的和谐宜居之都首善之区，彰显“京味国韵·花满西城”的美好愿景。</w:t>
      </w:r>
    </w:p>
    <w:p>
      <w:pPr>
        <w:pStyle w:val="30"/>
        <w:rPr>
          <w:rFonts w:hint="eastAsia"/>
          <w:color w:val="auto"/>
          <w:highlight w:val="none"/>
        </w:rPr>
      </w:pPr>
      <w:bookmarkStart w:id="19" w:name="OLE_LINK12"/>
      <w:r>
        <w:rPr>
          <w:rFonts w:hint="eastAsia"/>
          <w:color w:val="auto"/>
          <w:highlight w:val="none"/>
        </w:rPr>
        <w:t>到“十五五”期末，花园城市建设取得更大成效，老城精华片区魅力彰显。全区新增城市绿地5公顷，绿化覆盖率达到33.13%，</w:t>
      </w:r>
      <w:r>
        <w:rPr>
          <w:rFonts w:hint="eastAsia"/>
          <w:b/>
          <w:bCs/>
          <w:color w:val="auto"/>
          <w:highlight w:val="none"/>
        </w:rPr>
        <w:t>公园绿地500米服务半径覆盖率达到全覆盖，</w:t>
      </w:r>
      <w:r>
        <w:rPr>
          <w:rFonts w:hint="eastAsia"/>
          <w:color w:val="auto"/>
          <w:highlight w:val="none"/>
        </w:rPr>
        <w:t>绿视率、彩化率显著提升。</w:t>
      </w:r>
      <w:bookmarkEnd w:id="19"/>
      <w:r>
        <w:rPr>
          <w:rFonts w:hint="eastAsia"/>
          <w:color w:val="auto"/>
          <w:highlight w:val="none"/>
        </w:rPr>
        <w:t>持续完善公园游憩体系，</w:t>
      </w:r>
      <w:r>
        <w:rPr>
          <w:rFonts w:hint="eastAsia"/>
          <w:b/>
          <w:bCs/>
          <w:color w:val="auto"/>
          <w:highlight w:val="none"/>
        </w:rPr>
        <w:t>纳入北京市公园名录公园达到100个，实现花园西城“百园”目标；</w:t>
      </w:r>
      <w:r>
        <w:rPr>
          <w:rFonts w:hint="eastAsia"/>
          <w:color w:val="auto"/>
          <w:highlight w:val="none"/>
        </w:rPr>
        <w:t>持续推动公园无界开放，符合条件的公园</w:t>
      </w:r>
      <w:r>
        <w:rPr>
          <w:rFonts w:hint="eastAsia"/>
          <w:b/>
          <w:bCs/>
          <w:color w:val="auto"/>
          <w:highlight w:val="none"/>
        </w:rPr>
        <w:t>全面完成全龄友好提升改造；</w:t>
      </w:r>
      <w:r>
        <w:rPr>
          <w:rFonts w:hint="eastAsia"/>
          <w:color w:val="auto"/>
          <w:highlight w:val="none"/>
        </w:rPr>
        <w:t>系统建设一批</w:t>
      </w:r>
      <w:r>
        <w:rPr>
          <w:color w:val="auto"/>
          <w:highlight w:val="none"/>
        </w:rPr>
        <w:t>展现首都风范的</w:t>
      </w:r>
      <w:r>
        <w:rPr>
          <w:rFonts w:hint="eastAsia"/>
          <w:color w:val="auto"/>
          <w:highlight w:val="none"/>
        </w:rPr>
        <w:t>精品节点，形成</w:t>
      </w:r>
      <w:r>
        <w:rPr>
          <w:b/>
          <w:bCs/>
          <w:color w:val="auto"/>
          <w:highlight w:val="none"/>
        </w:rPr>
        <w:t>百处观花赏景场所</w:t>
      </w:r>
      <w:r>
        <w:rPr>
          <w:rFonts w:hint="eastAsia"/>
          <w:color w:val="auto"/>
          <w:highlight w:val="none"/>
        </w:rPr>
        <w:t>；紧密衔接城市更新，每年推进1-2处花园式街区建设；以社区微花园建设为抓手，激发</w:t>
      </w:r>
      <w:r>
        <w:rPr>
          <w:rFonts w:hint="eastAsia"/>
          <w:b/>
          <w:bCs/>
          <w:color w:val="auto"/>
          <w:highlight w:val="none"/>
        </w:rPr>
        <w:t>百万市民</w:t>
      </w:r>
      <w:r>
        <w:rPr>
          <w:rFonts w:hint="eastAsia"/>
          <w:color w:val="auto"/>
          <w:highlight w:val="none"/>
        </w:rPr>
        <w:t>参与热情；依托优质的林荫路基础，结合慢行系统绿道化改造</w:t>
      </w:r>
      <w:r>
        <w:rPr>
          <w:color w:val="auto"/>
          <w:highlight w:val="none"/>
        </w:rPr>
        <w:t>，</w:t>
      </w:r>
      <w:r>
        <w:rPr>
          <w:rFonts w:hint="eastAsia"/>
          <w:color w:val="auto"/>
          <w:highlight w:val="none"/>
        </w:rPr>
        <w:t>推进</w:t>
      </w:r>
      <w:r>
        <w:rPr>
          <w:rFonts w:hint="eastAsia"/>
          <w:b/>
          <w:bCs/>
          <w:color w:val="auto"/>
          <w:highlight w:val="none"/>
        </w:rPr>
        <w:t>百条</w:t>
      </w:r>
      <w:r>
        <w:rPr>
          <w:b/>
          <w:bCs/>
          <w:color w:val="auto"/>
          <w:highlight w:val="none"/>
        </w:rPr>
        <w:t>绿道</w:t>
      </w:r>
      <w:r>
        <w:rPr>
          <w:rFonts w:hint="eastAsia"/>
          <w:b/>
          <w:bCs/>
          <w:color w:val="auto"/>
          <w:highlight w:val="none"/>
        </w:rPr>
        <w:t>及</w:t>
      </w:r>
      <w:r>
        <w:rPr>
          <w:b/>
          <w:bCs/>
          <w:color w:val="auto"/>
          <w:highlight w:val="none"/>
        </w:rPr>
        <w:t>城市画廊</w:t>
      </w:r>
      <w:r>
        <w:rPr>
          <w:color w:val="auto"/>
          <w:highlight w:val="none"/>
        </w:rPr>
        <w:t>建设</w:t>
      </w:r>
      <w:r>
        <w:rPr>
          <w:rFonts w:hint="eastAsia"/>
          <w:color w:val="auto"/>
          <w:highlight w:val="none"/>
        </w:rPr>
        <w:t>；因地制宜实施立体增绿，打造</w:t>
      </w:r>
      <w:r>
        <w:rPr>
          <w:rFonts w:hint="eastAsia"/>
          <w:b/>
          <w:bCs/>
          <w:color w:val="auto"/>
          <w:highlight w:val="none"/>
        </w:rPr>
        <w:t>百栋花园式建筑</w:t>
      </w:r>
      <w:r>
        <w:rPr>
          <w:rFonts w:hint="eastAsia"/>
          <w:color w:val="auto"/>
          <w:highlight w:val="none"/>
        </w:rPr>
        <w:t>，</w:t>
      </w:r>
      <w:r>
        <w:rPr>
          <w:color w:val="auto"/>
          <w:highlight w:val="none"/>
        </w:rPr>
        <w:t>构建城园交融</w:t>
      </w:r>
      <w:r>
        <w:rPr>
          <w:rFonts w:hint="eastAsia"/>
          <w:color w:val="auto"/>
          <w:highlight w:val="none"/>
        </w:rPr>
        <w:t>的花园西城。</w:t>
      </w:r>
    </w:p>
    <w:p>
      <w:pPr>
        <w:pStyle w:val="30"/>
        <w:rPr>
          <w:rFonts w:hint="eastAsia"/>
          <w:color w:val="auto"/>
          <w:highlight w:val="none"/>
        </w:rPr>
      </w:pPr>
    </w:p>
    <w:bookmarkEnd w:id="18"/>
    <w:p>
      <w:pPr>
        <w:pStyle w:val="28"/>
        <w:rPr>
          <w:rFonts w:hint="eastAsia"/>
          <w:color w:val="auto"/>
          <w:highlight w:val="none"/>
        </w:rPr>
      </w:pPr>
      <w:bookmarkStart w:id="20" w:name="_Toc234227618"/>
      <w:bookmarkStart w:id="21" w:name="OLE_LINK9"/>
      <w:r>
        <w:rPr>
          <w:rFonts w:hint="eastAsia"/>
          <w:color w:val="auto"/>
          <w:highlight w:val="none"/>
        </w:rPr>
        <w:t>“十五五”时期园林绿化主要任务</w:t>
      </w:r>
      <w:bookmarkEnd w:id="20"/>
      <w:r>
        <w:rPr>
          <w:rFonts w:hint="eastAsia"/>
          <w:color w:val="auto"/>
          <w:highlight w:val="none"/>
        </w:rPr>
        <w:t xml:space="preserve"> </w:t>
      </w:r>
    </w:p>
    <w:p>
      <w:pPr>
        <w:pStyle w:val="30"/>
        <w:rPr>
          <w:rFonts w:hint="eastAsia"/>
          <w:color w:val="auto"/>
          <w:highlight w:val="none"/>
        </w:rPr>
      </w:pPr>
    </w:p>
    <w:p>
      <w:pPr>
        <w:pStyle w:val="31"/>
        <w:numPr>
          <w:ilvl w:val="0"/>
          <w:numId w:val="9"/>
        </w:numPr>
        <w:ind w:firstLineChars="0"/>
        <w:rPr>
          <w:rFonts w:hint="eastAsia"/>
          <w:color w:val="auto"/>
          <w:highlight w:val="none"/>
        </w:rPr>
      </w:pPr>
      <w:bookmarkStart w:id="22" w:name="_Toc234227619"/>
      <w:r>
        <w:rPr>
          <w:rFonts w:hint="eastAsia"/>
          <w:color w:val="auto"/>
          <w:highlight w:val="none"/>
        </w:rPr>
        <w:t>聚焦重点区域，构建花园城市空间格局</w:t>
      </w:r>
      <w:bookmarkEnd w:id="22"/>
    </w:p>
    <w:p>
      <w:pPr>
        <w:pStyle w:val="32"/>
        <w:numPr>
          <w:ilvl w:val="0"/>
          <w:numId w:val="10"/>
        </w:numPr>
        <w:rPr>
          <w:rFonts w:hint="eastAsia"/>
          <w:color w:val="auto"/>
          <w:highlight w:val="none"/>
        </w:rPr>
      </w:pPr>
      <w:r>
        <w:rPr>
          <w:rFonts w:hint="eastAsia"/>
          <w:color w:val="auto"/>
          <w:highlight w:val="none"/>
        </w:rPr>
        <w:t>保护并推进中轴绿廊建设</w:t>
      </w:r>
    </w:p>
    <w:p>
      <w:pPr>
        <w:pStyle w:val="30"/>
        <w:rPr>
          <w:rFonts w:hint="eastAsia"/>
          <w:color w:val="auto"/>
          <w:highlight w:val="none"/>
        </w:rPr>
      </w:pPr>
      <w:r>
        <w:rPr>
          <w:color w:val="auto"/>
          <w:highlight w:val="none"/>
        </w:rPr>
        <w:t>坚持顶层设计，多方协同，</w:t>
      </w:r>
      <w:r>
        <w:rPr>
          <w:rFonts w:hint="eastAsia"/>
          <w:color w:val="auto"/>
          <w:highlight w:val="none"/>
        </w:rPr>
        <w:t>配合市级做好相关工作，</w:t>
      </w:r>
      <w:r>
        <w:rPr>
          <w:color w:val="auto"/>
          <w:highlight w:val="none"/>
        </w:rPr>
        <w:t>保护好中轴申遗成果，继续推进中轴线文化遗产保护及绿色空间有序落实，加强遗产要素周边环境综合整治，延续古都历史文脉。</w:t>
      </w:r>
      <w:r>
        <w:rPr>
          <w:rFonts w:hint="eastAsia"/>
          <w:color w:val="auto"/>
          <w:highlight w:val="none"/>
        </w:rPr>
        <w:t>协同市级部署，结合</w:t>
      </w:r>
      <w:r>
        <w:rPr>
          <w:color w:val="auto"/>
          <w:highlight w:val="none"/>
        </w:rPr>
        <w:t>先农坛</w:t>
      </w:r>
      <w:r>
        <w:rPr>
          <w:rFonts w:hint="eastAsia"/>
          <w:color w:val="auto"/>
          <w:highlight w:val="none"/>
        </w:rPr>
        <w:t>地区腾退整治与环境治理，有序推进先农坛地区规划绿地建设</w:t>
      </w:r>
      <w:r>
        <w:rPr>
          <w:color w:val="auto"/>
          <w:highlight w:val="none"/>
        </w:rPr>
        <w:t>。</w:t>
      </w:r>
    </w:p>
    <w:p>
      <w:pPr>
        <w:pStyle w:val="32"/>
        <w:rPr>
          <w:rFonts w:hint="eastAsia"/>
          <w:color w:val="auto"/>
          <w:highlight w:val="none"/>
        </w:rPr>
      </w:pPr>
      <w:r>
        <w:rPr>
          <w:rFonts w:hint="eastAsia"/>
          <w:color w:val="auto"/>
          <w:highlight w:val="none"/>
        </w:rPr>
        <w:t>推进长安街及纵深地区景观提升</w:t>
      </w:r>
    </w:p>
    <w:p>
      <w:pPr>
        <w:pStyle w:val="30"/>
        <w:rPr>
          <w:rFonts w:hint="eastAsia"/>
          <w:color w:val="auto"/>
          <w:highlight w:val="none"/>
        </w:rPr>
      </w:pPr>
      <w:r>
        <w:rPr>
          <w:rFonts w:hint="eastAsia"/>
          <w:color w:val="auto"/>
          <w:highlight w:val="none"/>
        </w:rPr>
        <w:t>配合市级相关工作，持续推进长安街沿线及纵深地区环境品质综合提升，提升重点道路环境及街区整体形象，通过精细化治理</w:t>
      </w:r>
      <w:r>
        <w:rPr>
          <w:color w:val="auto"/>
          <w:highlight w:val="none"/>
        </w:rPr>
        <w:t>塑造庄严、沉稳、厚重</w:t>
      </w:r>
      <w:r>
        <w:rPr>
          <w:rFonts w:hint="eastAsia"/>
          <w:color w:val="auto"/>
          <w:highlight w:val="none"/>
        </w:rPr>
        <w:t>、</w:t>
      </w:r>
      <w:r>
        <w:rPr>
          <w:color w:val="auto"/>
          <w:highlight w:val="none"/>
        </w:rPr>
        <w:t>大气的长安街形象</w:t>
      </w:r>
      <w:r>
        <w:rPr>
          <w:rFonts w:hint="eastAsia"/>
          <w:color w:val="auto"/>
          <w:highlight w:val="none"/>
        </w:rPr>
        <w:t>，增强环境的人文温度与时代亲和力，构建</w:t>
      </w:r>
      <w:r>
        <w:rPr>
          <w:color w:val="auto"/>
          <w:highlight w:val="none"/>
        </w:rPr>
        <w:t>点线面联动、古今交融的精致环境体系。</w:t>
      </w:r>
    </w:p>
    <w:p>
      <w:pPr>
        <w:pStyle w:val="32"/>
        <w:rPr>
          <w:rFonts w:hint="eastAsia"/>
          <w:color w:val="auto"/>
          <w:highlight w:val="none"/>
        </w:rPr>
      </w:pPr>
      <w:r>
        <w:rPr>
          <w:rFonts w:hint="eastAsia"/>
          <w:color w:val="auto"/>
          <w:highlight w:val="none"/>
        </w:rPr>
        <w:t>实施二环路景观廊道建设与绿道系统提质升级</w:t>
      </w:r>
    </w:p>
    <w:p>
      <w:pPr>
        <w:pStyle w:val="30"/>
        <w:rPr>
          <w:rFonts w:hint="eastAsia"/>
          <w:color w:val="auto"/>
          <w:highlight w:val="none"/>
        </w:rPr>
      </w:pPr>
      <w:r>
        <w:rPr>
          <w:color w:val="auto"/>
          <w:highlight w:val="none"/>
        </w:rPr>
        <w:t>加快推进二环路景观廊道建设，重点打造桥上“空中画廊”与桥下“微花园”</w:t>
      </w:r>
      <w:r>
        <w:rPr>
          <w:rFonts w:hint="eastAsia"/>
          <w:color w:val="auto"/>
          <w:highlight w:val="none"/>
        </w:rPr>
        <w:t>，营造展示国家形象的“第一环路窗口”。同步持续提升环二环绿道景观品质，通过打通绿道断点、增强跨河联系、强化标识系统、完善服务设施，系统提升绿道游憩体验。</w:t>
      </w:r>
    </w:p>
    <w:p>
      <w:pPr>
        <w:pStyle w:val="32"/>
        <w:rPr>
          <w:rFonts w:hint="eastAsia"/>
          <w:color w:val="auto"/>
          <w:highlight w:val="none"/>
        </w:rPr>
      </w:pPr>
      <w:r>
        <w:rPr>
          <w:rFonts w:hint="eastAsia"/>
          <w:color w:val="auto"/>
          <w:highlight w:val="none"/>
        </w:rPr>
        <w:t>强化皇城城廓格局，延续老城空间脉络</w:t>
      </w:r>
    </w:p>
    <w:p>
      <w:pPr>
        <w:pStyle w:val="30"/>
        <w:rPr>
          <w:rFonts w:hint="eastAsia"/>
          <w:color w:val="auto"/>
          <w:highlight w:val="none"/>
        </w:rPr>
      </w:pPr>
      <w:r>
        <w:rPr>
          <w:rFonts w:hint="eastAsia"/>
          <w:color w:val="auto"/>
          <w:highlight w:val="none"/>
        </w:rPr>
        <w:t>以强化皇城城廓、凸显老城城址格局为重点，推进皇城城廓综合整治提升，建设贯通的历史文化步行道，打造红墙边的历史文化亲民空间</w:t>
      </w:r>
      <w:r>
        <w:rPr>
          <w:color w:val="auto"/>
          <w:highlight w:val="none"/>
        </w:rPr>
        <w:t>。加强部门协同，联动推动沿线城市更新与片区功能提升，实现区域环境整体</w:t>
      </w:r>
      <w:r>
        <w:rPr>
          <w:rFonts w:hint="eastAsia"/>
          <w:color w:val="auto"/>
          <w:highlight w:val="none"/>
        </w:rPr>
        <w:t>提升</w:t>
      </w:r>
      <w:r>
        <w:rPr>
          <w:color w:val="auto"/>
          <w:highlight w:val="none"/>
        </w:rPr>
        <w:t>与文化赋能。</w:t>
      </w:r>
    </w:p>
    <w:p>
      <w:pPr>
        <w:pStyle w:val="31"/>
        <w:numPr>
          <w:ilvl w:val="0"/>
          <w:numId w:val="9"/>
        </w:numPr>
        <w:ind w:firstLineChars="0"/>
        <w:rPr>
          <w:rFonts w:hint="eastAsia"/>
          <w:color w:val="auto"/>
          <w:highlight w:val="none"/>
        </w:rPr>
      </w:pPr>
      <w:bookmarkStart w:id="23" w:name="_Toc234227620"/>
      <w:r>
        <w:rPr>
          <w:rFonts w:hint="eastAsia"/>
          <w:color w:val="auto"/>
          <w:highlight w:val="none"/>
        </w:rPr>
        <w:t>推进普惠共享，优化全区公园游憩体系</w:t>
      </w:r>
      <w:bookmarkEnd w:id="23"/>
    </w:p>
    <w:p>
      <w:pPr>
        <w:pStyle w:val="32"/>
        <w:numPr>
          <w:ilvl w:val="0"/>
          <w:numId w:val="11"/>
        </w:numPr>
        <w:rPr>
          <w:rFonts w:hint="eastAsia"/>
          <w:color w:val="auto"/>
          <w:highlight w:val="none"/>
        </w:rPr>
      </w:pPr>
      <w:bookmarkStart w:id="24" w:name="_Toc205544385"/>
      <w:r>
        <w:rPr>
          <w:rFonts w:hint="eastAsia"/>
          <w:color w:val="auto"/>
          <w:highlight w:val="none"/>
        </w:rPr>
        <w:t>系统优化“百园”格局</w:t>
      </w:r>
    </w:p>
    <w:p>
      <w:pPr>
        <w:pStyle w:val="30"/>
        <w:rPr>
          <w:rFonts w:hint="eastAsia"/>
          <w:color w:val="auto"/>
          <w:highlight w:val="none"/>
        </w:rPr>
      </w:pPr>
      <w:r>
        <w:rPr>
          <w:rFonts w:hint="eastAsia"/>
          <w:color w:val="auto"/>
          <w:highlight w:val="none"/>
        </w:rPr>
        <w:t>以十分钟步行服务范围为目标，结合城市更新及建筑减量，跟进代征绿地落实，有序推进规划公园绿地建设，形成便捷可达、服务均好的公园游憩体系。重点落实地藏庵游园等公园绿地建设，纳入北京市公园名录，形成花园西城“百园”格局。</w:t>
      </w:r>
    </w:p>
    <w:p>
      <w:pPr>
        <w:pStyle w:val="32"/>
        <w:numPr>
          <w:ilvl w:val="0"/>
          <w:numId w:val="11"/>
        </w:numPr>
        <w:rPr>
          <w:rFonts w:hint="eastAsia"/>
          <w:color w:val="auto"/>
          <w:highlight w:val="none"/>
        </w:rPr>
      </w:pPr>
      <w:r>
        <w:rPr>
          <w:rFonts w:hint="eastAsia"/>
          <w:color w:val="auto"/>
          <w:highlight w:val="none"/>
        </w:rPr>
        <w:t>完善公园游憩功能及服务品质</w:t>
      </w:r>
    </w:p>
    <w:p>
      <w:pPr>
        <w:pStyle w:val="30"/>
        <w:rPr>
          <w:rFonts w:hint="eastAsia"/>
          <w:color w:val="auto"/>
          <w:highlight w:val="none"/>
        </w:rPr>
      </w:pPr>
      <w:r>
        <w:rPr>
          <w:rFonts w:hint="eastAsia"/>
          <w:color w:val="auto"/>
          <w:highlight w:val="none"/>
        </w:rPr>
        <w:t>结合公园体检，</w:t>
      </w:r>
      <w:r>
        <w:rPr>
          <w:color w:val="auto"/>
          <w:highlight w:val="none"/>
        </w:rPr>
        <w:t>持续完善</w:t>
      </w:r>
      <w:r>
        <w:rPr>
          <w:rFonts w:hint="eastAsia"/>
          <w:color w:val="auto"/>
          <w:highlight w:val="none"/>
        </w:rPr>
        <w:t>公园基础服务设施，提升</w:t>
      </w:r>
      <w:r>
        <w:rPr>
          <w:color w:val="auto"/>
          <w:highlight w:val="none"/>
        </w:rPr>
        <w:t>无障碍</w:t>
      </w:r>
      <w:r>
        <w:rPr>
          <w:rFonts w:hint="eastAsia"/>
          <w:color w:val="auto"/>
          <w:highlight w:val="none"/>
        </w:rPr>
        <w:t>水平，有序推进老旧公园功能更新，引导游憩潜力较高的公园提质升级</w:t>
      </w:r>
      <w:r>
        <w:rPr>
          <w:color w:val="auto"/>
          <w:highlight w:val="none"/>
        </w:rPr>
        <w:t>。</w:t>
      </w:r>
      <w:r>
        <w:rPr>
          <w:rFonts w:hint="eastAsia"/>
          <w:color w:val="auto"/>
          <w:highlight w:val="none"/>
        </w:rPr>
        <w:t>加强</w:t>
      </w:r>
      <w:r>
        <w:rPr>
          <w:color w:val="auto"/>
          <w:highlight w:val="none"/>
        </w:rPr>
        <w:t>体育健身、文化展示、科普教育、儿童游乐等服务配置</w:t>
      </w:r>
      <w:r>
        <w:rPr>
          <w:rFonts w:hint="eastAsia"/>
          <w:color w:val="auto"/>
          <w:highlight w:val="none"/>
        </w:rPr>
        <w:t>，因地制宜提升隔声降噪功能。推进公园配套用房统一规划与再利用，</w:t>
      </w:r>
      <w:r>
        <w:rPr>
          <w:color w:val="auto"/>
          <w:highlight w:val="none"/>
        </w:rPr>
        <w:t>拓展园艺体验、自然教育等公益服务空间</w:t>
      </w:r>
      <w:r>
        <w:rPr>
          <w:rFonts w:hint="eastAsia"/>
          <w:color w:val="auto"/>
          <w:highlight w:val="none"/>
        </w:rPr>
        <w:t>。</w:t>
      </w:r>
    </w:p>
    <w:p>
      <w:pPr>
        <w:pStyle w:val="32"/>
        <w:rPr>
          <w:rFonts w:hint="eastAsia"/>
          <w:color w:val="auto"/>
          <w:highlight w:val="none"/>
        </w:rPr>
      </w:pPr>
      <w:r>
        <w:rPr>
          <w:rFonts w:hint="eastAsia"/>
          <w:color w:val="auto"/>
          <w:highlight w:val="none"/>
        </w:rPr>
        <w:t>激发公园多元游憩活力</w:t>
      </w:r>
    </w:p>
    <w:p>
      <w:pPr>
        <w:pStyle w:val="30"/>
        <w:rPr>
          <w:rFonts w:hint="eastAsia"/>
          <w:color w:val="auto"/>
          <w:highlight w:val="none"/>
        </w:rPr>
      </w:pPr>
      <w:r>
        <w:rPr>
          <w:rFonts w:hint="eastAsia"/>
          <w:color w:val="auto"/>
          <w:highlight w:val="none"/>
        </w:rPr>
        <w:t>深化“公园+”融合模式，推动公园绿地与市民生活无界融合。</w:t>
      </w:r>
      <w:bookmarkStart w:id="25" w:name="OLE_LINK13"/>
      <w:r>
        <w:rPr>
          <w:rFonts w:hint="eastAsia"/>
          <w:color w:val="auto"/>
          <w:highlight w:val="none"/>
        </w:rPr>
        <w:t>推进以公园为核心，绿道及活力水岸为脉络的地区级公园游憩活力圈建设。</w:t>
      </w:r>
      <w:bookmarkEnd w:id="25"/>
      <w:r>
        <w:rPr>
          <w:rFonts w:hint="eastAsia"/>
          <w:color w:val="auto"/>
          <w:highlight w:val="none"/>
        </w:rPr>
        <w:t>以区属公园为重点，突出历史名园、城市森林等主题特色，加强历史文化资源保护与活化利用，探索社会化、市场化的运营模式。</w:t>
      </w:r>
      <w:r>
        <w:rPr>
          <w:color w:val="auto"/>
          <w:highlight w:val="none"/>
        </w:rPr>
        <w:t>拓展主题游线、自然教育、文创市集等特色服务场景</w:t>
      </w:r>
      <w:r>
        <w:rPr>
          <w:rFonts w:hint="eastAsia"/>
          <w:color w:val="auto"/>
          <w:highlight w:val="none"/>
        </w:rPr>
        <w:t>，</w:t>
      </w:r>
      <w:r>
        <w:rPr>
          <w:color w:val="auto"/>
          <w:highlight w:val="none"/>
        </w:rPr>
        <w:t>构建功能复合、充满活力的公园游憩体系。</w:t>
      </w:r>
    </w:p>
    <w:p>
      <w:pPr>
        <w:pStyle w:val="32"/>
        <w:rPr>
          <w:rFonts w:hint="eastAsia"/>
          <w:color w:val="auto"/>
          <w:highlight w:val="none"/>
        </w:rPr>
      </w:pPr>
      <w:r>
        <w:rPr>
          <w:rFonts w:hint="eastAsia"/>
          <w:color w:val="auto"/>
          <w:highlight w:val="none"/>
        </w:rPr>
        <w:t>持续推进“金角银边”城市微花园建设</w:t>
      </w:r>
    </w:p>
    <w:p>
      <w:pPr>
        <w:pStyle w:val="30"/>
        <w:rPr>
          <w:rFonts w:hint="eastAsia"/>
          <w:color w:val="auto"/>
          <w:highlight w:val="none"/>
        </w:rPr>
      </w:pPr>
      <w:r>
        <w:rPr>
          <w:rFonts w:hint="eastAsia"/>
          <w:color w:val="auto"/>
          <w:highlight w:val="none"/>
        </w:rPr>
        <w:t>以“绣花功夫”焕活老城空间，推动小微空间更新与功能提升，激活边角空间价值潜能。通过“见缝插绿”加强</w:t>
      </w:r>
      <w:r>
        <w:rPr>
          <w:color w:val="auto"/>
          <w:highlight w:val="none"/>
        </w:rPr>
        <w:t>绿化、彩化与立体化设计，</w:t>
      </w:r>
      <w:r>
        <w:rPr>
          <w:rFonts w:hint="eastAsia"/>
          <w:color w:val="auto"/>
          <w:highlight w:val="none"/>
        </w:rPr>
        <w:t>因地制宜提升地铁口、</w:t>
      </w:r>
      <w:r>
        <w:rPr>
          <w:color w:val="auto"/>
          <w:highlight w:val="none"/>
        </w:rPr>
        <w:t>街角</w:t>
      </w:r>
      <w:r>
        <w:rPr>
          <w:rFonts w:hint="eastAsia"/>
          <w:color w:val="auto"/>
          <w:highlight w:val="none"/>
        </w:rPr>
        <w:t>、胡同边角地、桥下空间</w:t>
      </w:r>
      <w:r>
        <w:rPr>
          <w:color w:val="auto"/>
          <w:highlight w:val="none"/>
        </w:rPr>
        <w:t>等</w:t>
      </w:r>
      <w:r>
        <w:rPr>
          <w:rFonts w:hint="eastAsia"/>
          <w:color w:val="auto"/>
          <w:highlight w:val="none"/>
        </w:rPr>
        <w:t>环境品质，营造城市微花园，推动绿色空间与城市功能有机融合。</w:t>
      </w:r>
    </w:p>
    <w:p>
      <w:pPr>
        <w:pStyle w:val="31"/>
        <w:ind w:firstLine="643"/>
        <w:rPr>
          <w:rFonts w:hint="eastAsia"/>
          <w:color w:val="auto"/>
          <w:highlight w:val="none"/>
        </w:rPr>
      </w:pPr>
      <w:bookmarkStart w:id="26" w:name="_Toc234227621"/>
      <w:r>
        <w:rPr>
          <w:rFonts w:hint="eastAsia"/>
          <w:color w:val="auto"/>
          <w:highlight w:val="none"/>
        </w:rPr>
        <w:t>促进资源链接，构建融合贯通的“百廊”网络</w:t>
      </w:r>
      <w:bookmarkEnd w:id="26"/>
    </w:p>
    <w:p>
      <w:pPr>
        <w:pStyle w:val="32"/>
        <w:numPr>
          <w:ilvl w:val="0"/>
          <w:numId w:val="12"/>
        </w:numPr>
        <w:rPr>
          <w:rFonts w:hint="eastAsia"/>
          <w:color w:val="auto"/>
          <w:highlight w:val="none"/>
        </w:rPr>
      </w:pPr>
      <w:bookmarkStart w:id="27" w:name="_Toc205544387"/>
      <w:r>
        <w:rPr>
          <w:rFonts w:hint="eastAsia"/>
          <w:color w:val="auto"/>
          <w:highlight w:val="none"/>
        </w:rPr>
        <w:t>统筹完善西城绿道体系</w:t>
      </w:r>
    </w:p>
    <w:p>
      <w:pPr>
        <w:pStyle w:val="30"/>
        <w:rPr>
          <w:rFonts w:hint="eastAsia"/>
          <w:color w:val="auto"/>
          <w:highlight w:val="none"/>
        </w:rPr>
      </w:pPr>
      <w:bookmarkStart w:id="28" w:name="OLE_LINK1"/>
      <w:r>
        <w:rPr>
          <w:rFonts w:hint="eastAsia"/>
          <w:color w:val="auto"/>
          <w:highlight w:val="none"/>
        </w:rPr>
        <w:t>编制西城区绿道建设实施方案，推进绿道与文化探访路、滨水步道及城市慢行系统融合，构建功能复合、连续贯通的绿道网络。结合西单-开阳桥大街一线、车公庄大街、两广路、南礼士路等道路环境提升，因地制宜实施慢行系统绿道化改造，为市民提供更加舒适的绿道体验。</w:t>
      </w:r>
      <w:bookmarkEnd w:id="28"/>
    </w:p>
    <w:p>
      <w:pPr>
        <w:pStyle w:val="32"/>
        <w:rPr>
          <w:rFonts w:hint="eastAsia"/>
          <w:color w:val="auto"/>
          <w:highlight w:val="none"/>
        </w:rPr>
      </w:pPr>
      <w:r>
        <w:rPr>
          <w:rFonts w:hint="eastAsia"/>
          <w:color w:val="auto"/>
          <w:highlight w:val="none"/>
        </w:rPr>
        <w:t>高标准打造彩化林荫路与城市画廊</w:t>
      </w:r>
    </w:p>
    <w:p>
      <w:pPr>
        <w:pStyle w:val="30"/>
        <w:rPr>
          <w:rFonts w:hint="eastAsia"/>
          <w:color w:val="auto"/>
          <w:highlight w:val="none"/>
        </w:rPr>
      </w:pPr>
      <w:r>
        <w:rPr>
          <w:rFonts w:hint="eastAsia"/>
          <w:color w:val="auto"/>
          <w:highlight w:val="none"/>
        </w:rPr>
        <w:t>持续保护并提升棋盘路网林荫效果，综合运用园林手法丰富道路沿线彩化景观，精选优质彩化树种与多花攀援植物，提升道路景观层次与季相变化。结合道路两侧建筑退线空间一体化提升，推动沿街单位附属绿地与道路绿地有机融合，因地制宜营造可观可感可达的高品质城市画廊。</w:t>
      </w:r>
    </w:p>
    <w:p>
      <w:pPr>
        <w:pStyle w:val="31"/>
        <w:ind w:firstLine="643"/>
        <w:rPr>
          <w:rFonts w:hint="eastAsia"/>
          <w:color w:val="auto"/>
          <w:highlight w:val="none"/>
        </w:rPr>
      </w:pPr>
      <w:bookmarkStart w:id="29" w:name="_Toc234227622"/>
      <w:r>
        <w:rPr>
          <w:rFonts w:hint="eastAsia"/>
          <w:color w:val="auto"/>
          <w:highlight w:val="none"/>
        </w:rPr>
        <w:t>营造花园场景，打造城园融合的花园街区</w:t>
      </w:r>
      <w:bookmarkEnd w:id="29"/>
    </w:p>
    <w:bookmarkEnd w:id="27"/>
    <w:p>
      <w:pPr>
        <w:pStyle w:val="32"/>
        <w:numPr>
          <w:ilvl w:val="0"/>
          <w:numId w:val="13"/>
        </w:numPr>
        <w:rPr>
          <w:rFonts w:hint="eastAsia"/>
          <w:color w:val="auto"/>
          <w:highlight w:val="none"/>
        </w:rPr>
      </w:pPr>
      <w:r>
        <w:rPr>
          <w:rFonts w:hint="eastAsia"/>
          <w:color w:val="auto"/>
          <w:highlight w:val="none"/>
        </w:rPr>
        <w:t>推进</w:t>
      </w:r>
      <w:r>
        <w:rPr>
          <w:color w:val="auto"/>
          <w:highlight w:val="none"/>
        </w:rPr>
        <w:t>花园</w:t>
      </w:r>
      <w:r>
        <w:rPr>
          <w:rFonts w:hint="eastAsia"/>
          <w:color w:val="auto"/>
          <w:highlight w:val="none"/>
        </w:rPr>
        <w:t>街区建设</w:t>
      </w:r>
    </w:p>
    <w:p>
      <w:pPr>
        <w:pStyle w:val="30"/>
        <w:rPr>
          <w:rFonts w:hint="eastAsia"/>
          <w:color w:val="auto"/>
          <w:highlight w:val="none"/>
        </w:rPr>
      </w:pPr>
      <w:bookmarkStart w:id="30" w:name="OLE_LINK6"/>
      <w:r>
        <w:rPr>
          <w:rFonts w:hint="eastAsia"/>
          <w:color w:val="auto"/>
          <w:highlight w:val="none"/>
        </w:rPr>
        <w:t>聚焦政务、金融、文化、消费等重点功能区，每年推进1-2处花园街区建设。以街道为主体，按照“一街一品”建设要求抓好落实。强化工作协同，将花园街区建设与老旧小区改造、十分钟便民生活圈建设及嵌入式社区服务设施完善有机融合。重点围绕长安街、中南海区域推进西长安街街道花园街区建设，营造清朗通透的花园式政务区；结合“中国数据街”项目，推进金融街、金科新区核心区花园街区建设。</w:t>
      </w:r>
      <w:bookmarkEnd w:id="30"/>
      <w:bookmarkStart w:id="31" w:name="OLE_LINK7"/>
    </w:p>
    <w:bookmarkEnd w:id="31"/>
    <w:p>
      <w:pPr>
        <w:pStyle w:val="32"/>
        <w:rPr>
          <w:rFonts w:hint="eastAsia"/>
          <w:color w:val="auto"/>
          <w:highlight w:val="none"/>
        </w:rPr>
      </w:pPr>
      <w:r>
        <w:rPr>
          <w:rFonts w:hint="eastAsia"/>
          <w:color w:val="auto"/>
          <w:highlight w:val="none"/>
        </w:rPr>
        <w:t>营造多元花园场景</w:t>
      </w:r>
    </w:p>
    <w:p>
      <w:pPr>
        <w:pStyle w:val="30"/>
        <w:rPr>
          <w:rFonts w:hint="eastAsia"/>
          <w:color w:val="auto"/>
          <w:highlight w:val="none"/>
        </w:rPr>
      </w:pPr>
      <w:bookmarkStart w:id="32" w:name="OLE_LINK8"/>
      <w:r>
        <w:rPr>
          <w:rFonts w:hint="eastAsia"/>
          <w:color w:val="auto"/>
          <w:highlight w:val="none"/>
        </w:rPr>
        <w:t>围绕文商体旅展融合发展，协同推进花园街道、花园校园、花园商圈等多元花园场景营建。</w:t>
      </w:r>
      <w:bookmarkEnd w:id="32"/>
      <w:r>
        <w:rPr>
          <w:rFonts w:hint="eastAsia"/>
          <w:color w:val="auto"/>
          <w:highlight w:val="none"/>
        </w:rPr>
        <w:t>保护传统</w:t>
      </w:r>
      <w:r>
        <w:rPr>
          <w:color w:val="auto"/>
          <w:highlight w:val="none"/>
        </w:rPr>
        <w:t>胡同</w:t>
      </w:r>
      <w:r>
        <w:rPr>
          <w:rFonts w:hint="eastAsia"/>
          <w:color w:val="auto"/>
          <w:highlight w:val="none"/>
        </w:rPr>
        <w:t>与</w:t>
      </w:r>
      <w:r>
        <w:rPr>
          <w:color w:val="auto"/>
          <w:highlight w:val="none"/>
        </w:rPr>
        <w:t>历史街巷肌理，增设口袋</w:t>
      </w:r>
      <w:r>
        <w:rPr>
          <w:rFonts w:hint="eastAsia"/>
          <w:color w:val="auto"/>
          <w:highlight w:val="none"/>
        </w:rPr>
        <w:t>花园</w:t>
      </w:r>
      <w:r>
        <w:rPr>
          <w:color w:val="auto"/>
          <w:highlight w:val="none"/>
        </w:rPr>
        <w:t>、树荫座椅等休憩节点，打造兼具历史厚度和生活温度的活力街巷。</w:t>
      </w:r>
      <w:r>
        <w:rPr>
          <w:rFonts w:hint="eastAsia"/>
          <w:color w:val="auto"/>
          <w:highlight w:val="none"/>
        </w:rPr>
        <w:t>重点对新建及改造学校、办公及公共建筑实施垂直绿化与立体增绿，打造百栋花园式建筑。引导城市家具“灰绿融合”，</w:t>
      </w:r>
      <w:r>
        <w:rPr>
          <w:color w:val="auto"/>
          <w:highlight w:val="none"/>
        </w:rPr>
        <w:t>构建空中有绿、立体有景的多维绿色空间</w:t>
      </w:r>
      <w:r>
        <w:rPr>
          <w:rFonts w:hint="eastAsia"/>
          <w:color w:val="auto"/>
          <w:highlight w:val="none"/>
        </w:rPr>
        <w:t>。</w:t>
      </w:r>
    </w:p>
    <w:bookmarkEnd w:id="24"/>
    <w:p>
      <w:pPr>
        <w:pStyle w:val="32"/>
        <w:rPr>
          <w:rFonts w:hint="eastAsia"/>
          <w:color w:val="auto"/>
          <w:highlight w:val="none"/>
        </w:rPr>
      </w:pPr>
      <w:bookmarkStart w:id="33" w:name="_Toc205544397"/>
      <w:r>
        <w:rPr>
          <w:rFonts w:hint="eastAsia"/>
          <w:color w:val="auto"/>
          <w:highlight w:val="none"/>
        </w:rPr>
        <w:t>系统</w:t>
      </w:r>
      <w:bookmarkEnd w:id="33"/>
      <w:r>
        <w:rPr>
          <w:rFonts w:hint="eastAsia"/>
          <w:color w:val="auto"/>
          <w:highlight w:val="none"/>
        </w:rPr>
        <w:t>完善“百处观花赏景场所”</w:t>
      </w:r>
    </w:p>
    <w:p>
      <w:pPr>
        <w:pStyle w:val="30"/>
        <w:rPr>
          <w:rFonts w:hint="eastAsia"/>
          <w:color w:val="auto"/>
          <w:highlight w:val="none"/>
        </w:rPr>
      </w:pPr>
      <w:bookmarkStart w:id="34" w:name="_Hlk209193585"/>
      <w:r>
        <w:rPr>
          <w:rFonts w:hint="eastAsia"/>
          <w:color w:val="auto"/>
          <w:highlight w:val="none"/>
        </w:rPr>
        <w:t>传承西城京韵花卉特色，打造百处</w:t>
      </w:r>
      <w:r>
        <w:rPr>
          <w:color w:val="auto"/>
          <w:highlight w:val="none"/>
        </w:rPr>
        <w:t>展现首都风范、季相特征鲜明的观花赏景场所</w:t>
      </w:r>
      <w:r>
        <w:rPr>
          <w:rFonts w:hint="eastAsia"/>
          <w:color w:val="auto"/>
          <w:highlight w:val="none"/>
        </w:rPr>
        <w:t>。加强法源寺丁香、金融街牡丹花海及观花古树等特色赏花场景建设。运用多元的花卉布置场景和创新技术，营造四季有景、层次丰富的赏花景观，</w:t>
      </w:r>
      <w:r>
        <w:rPr>
          <w:color w:val="auto"/>
          <w:highlight w:val="none"/>
        </w:rPr>
        <w:t>彰显“花满西城”的独特魅力</w:t>
      </w:r>
      <w:r>
        <w:rPr>
          <w:rFonts w:hint="eastAsia"/>
          <w:color w:val="auto"/>
          <w:highlight w:val="none"/>
        </w:rPr>
        <w:t>。</w:t>
      </w:r>
    </w:p>
    <w:p>
      <w:pPr>
        <w:pStyle w:val="31"/>
        <w:ind w:firstLine="643"/>
        <w:rPr>
          <w:rFonts w:hint="eastAsia"/>
          <w:color w:val="auto"/>
          <w:highlight w:val="none"/>
        </w:rPr>
      </w:pPr>
      <w:bookmarkStart w:id="35" w:name="_Toc234227623"/>
      <w:r>
        <w:rPr>
          <w:rFonts w:hint="eastAsia"/>
          <w:color w:val="auto"/>
          <w:highlight w:val="none"/>
        </w:rPr>
        <w:t>深化共建共享，激发“百万市民”参与的治理活力</w:t>
      </w:r>
      <w:bookmarkEnd w:id="35"/>
    </w:p>
    <w:p>
      <w:pPr>
        <w:pStyle w:val="32"/>
        <w:numPr>
          <w:ilvl w:val="0"/>
          <w:numId w:val="14"/>
        </w:numPr>
        <w:rPr>
          <w:rFonts w:hint="eastAsia"/>
          <w:color w:val="auto"/>
          <w:highlight w:val="none"/>
        </w:rPr>
      </w:pPr>
      <w:bookmarkStart w:id="36" w:name="_Toc205544400"/>
      <w:r>
        <w:rPr>
          <w:rFonts w:hint="eastAsia"/>
          <w:color w:val="auto"/>
          <w:highlight w:val="none"/>
        </w:rPr>
        <w:t>强化党建引领</w:t>
      </w:r>
      <w:bookmarkEnd w:id="36"/>
      <w:r>
        <w:rPr>
          <w:rFonts w:hint="eastAsia"/>
          <w:color w:val="auto"/>
          <w:highlight w:val="none"/>
        </w:rPr>
        <w:t>作用</w:t>
      </w:r>
    </w:p>
    <w:p>
      <w:pPr>
        <w:pStyle w:val="30"/>
        <w:rPr>
          <w:rFonts w:hint="eastAsia"/>
          <w:color w:val="auto"/>
          <w:highlight w:val="none"/>
        </w:rPr>
      </w:pPr>
      <w:r>
        <w:rPr>
          <w:rFonts w:hint="eastAsia"/>
          <w:color w:val="auto"/>
          <w:highlight w:val="none"/>
        </w:rPr>
        <w:t>依托党员“双报到”工作机制，广泛动员基层党组织和在职党员参与花园城市建设，注重发现和宣传先进典型，</w:t>
      </w:r>
      <w:r>
        <w:rPr>
          <w:color w:val="auto"/>
          <w:highlight w:val="none"/>
        </w:rPr>
        <w:t>以最美“红墙人”新面貌</w:t>
      </w:r>
      <w:r>
        <w:rPr>
          <w:rFonts w:hint="eastAsia"/>
          <w:color w:val="auto"/>
          <w:highlight w:val="none"/>
        </w:rPr>
        <w:t>凝聚花园城市建设合力。</w:t>
      </w:r>
    </w:p>
    <w:p>
      <w:pPr>
        <w:pStyle w:val="32"/>
        <w:rPr>
          <w:rFonts w:hint="eastAsia"/>
          <w:color w:val="auto"/>
          <w:highlight w:val="none"/>
        </w:rPr>
      </w:pPr>
      <w:bookmarkStart w:id="37" w:name="_Toc205544401"/>
      <w:r>
        <w:rPr>
          <w:color w:val="auto"/>
          <w:highlight w:val="none"/>
        </w:rPr>
        <w:t>全面落实园艺师制度</w:t>
      </w:r>
    </w:p>
    <w:p>
      <w:pPr>
        <w:pStyle w:val="30"/>
        <w:rPr>
          <w:rFonts w:hint="eastAsia"/>
          <w:color w:val="auto"/>
          <w:highlight w:val="none"/>
        </w:rPr>
      </w:pPr>
      <w:r>
        <w:rPr>
          <w:rFonts w:hint="eastAsia"/>
          <w:color w:val="auto"/>
          <w:highlight w:val="none"/>
        </w:rPr>
        <w:t>落实北京市《</w:t>
      </w:r>
      <w:r>
        <w:rPr>
          <w:color w:val="auto"/>
          <w:highlight w:val="none"/>
        </w:rPr>
        <w:t>关于建立园艺师制度推动花园城市建设的实施意见</w:t>
      </w:r>
      <w:r>
        <w:rPr>
          <w:rFonts w:hint="eastAsia"/>
          <w:color w:val="auto"/>
          <w:highlight w:val="none"/>
        </w:rPr>
        <w:t>》，分阶段推进区、街道、社区三级园艺师制度全覆盖。促进园艺师与街道责任规划师、建筑师协同联动，推动花园城市建设与城市更新有机融合，完善林长制基层治理体系。</w:t>
      </w:r>
    </w:p>
    <w:bookmarkEnd w:id="37"/>
    <w:p>
      <w:pPr>
        <w:pStyle w:val="32"/>
        <w:ind w:left="0" w:firstLine="643" w:firstLineChars="200"/>
        <w:rPr>
          <w:rFonts w:hint="eastAsia"/>
          <w:color w:val="auto"/>
          <w:highlight w:val="none"/>
        </w:rPr>
      </w:pPr>
      <w:bookmarkStart w:id="38" w:name="_Toc205544399"/>
      <w:r>
        <w:rPr>
          <w:rFonts w:hint="eastAsia"/>
          <w:color w:val="auto"/>
          <w:highlight w:val="none"/>
        </w:rPr>
        <w:t>推进社区微花园</w:t>
      </w:r>
      <w:bookmarkEnd w:id="38"/>
      <w:bookmarkStart w:id="39" w:name="_Hlk204782167"/>
      <w:r>
        <w:rPr>
          <w:rFonts w:hint="eastAsia"/>
          <w:color w:val="auto"/>
          <w:highlight w:val="none"/>
        </w:rPr>
        <w:t>共建共享</w:t>
      </w:r>
    </w:p>
    <w:bookmarkEnd w:id="39"/>
    <w:p>
      <w:pPr>
        <w:pStyle w:val="30"/>
        <w:rPr>
          <w:rFonts w:hint="eastAsia"/>
          <w:color w:val="auto"/>
          <w:highlight w:val="none"/>
        </w:rPr>
      </w:pPr>
      <w:r>
        <w:rPr>
          <w:rFonts w:hint="eastAsia"/>
          <w:color w:val="auto"/>
          <w:highlight w:val="none"/>
        </w:rPr>
        <w:t>深入践行“人人是园丁，处处皆花园”理念，建立健全多元共建共治模式，整合社区闲置空地、边角地等小微空间，结合花果进庭院、园艺进社区、义务植树进社区等活动，持续推进社区微花园共建共享。</w:t>
      </w:r>
      <w:bookmarkStart w:id="40" w:name="_Hlk204782218"/>
      <w:r>
        <w:rPr>
          <w:rFonts w:hint="eastAsia"/>
          <w:color w:val="auto"/>
          <w:highlight w:val="none"/>
        </w:rPr>
        <w:t>鼓励公众全过程参与，</w:t>
      </w:r>
      <w:bookmarkEnd w:id="40"/>
      <w:r>
        <w:rPr>
          <w:rFonts w:hint="eastAsia"/>
          <w:color w:val="auto"/>
          <w:highlight w:val="none"/>
        </w:rPr>
        <w:t>推动形成共建共治共享的基层治理格局。</w:t>
      </w:r>
    </w:p>
    <w:p>
      <w:pPr>
        <w:pStyle w:val="32"/>
        <w:rPr>
          <w:rFonts w:hint="eastAsia"/>
          <w:color w:val="auto"/>
          <w:highlight w:val="none"/>
        </w:rPr>
      </w:pPr>
      <w:r>
        <w:rPr>
          <w:rFonts w:hint="eastAsia"/>
          <w:color w:val="auto"/>
          <w:highlight w:val="none"/>
        </w:rPr>
        <w:t>创新推进义务植树，深化园艺惠民服务</w:t>
      </w:r>
    </w:p>
    <w:p>
      <w:pPr>
        <w:pStyle w:val="30"/>
        <w:rPr>
          <w:rFonts w:hint="eastAsia"/>
          <w:color w:val="auto"/>
          <w:highlight w:val="none"/>
        </w:rPr>
      </w:pPr>
      <w:r>
        <w:rPr>
          <w:rFonts w:hint="eastAsia"/>
          <w:color w:val="auto"/>
          <w:highlight w:val="none"/>
        </w:rPr>
        <w:t>全面宣传落实《首都全民义务植树尽责形式（2025版）》，创新开展特色主题植树活动，推动义务植树常态化、特色化发展。持续举办“自然笔记”等普惠性园艺活动，推进园艺文化进部委、进商圈、进单位、进学校、进社区。</w:t>
      </w:r>
      <w:r>
        <w:rPr>
          <w:color w:val="auto"/>
          <w:highlight w:val="none"/>
        </w:rPr>
        <w:t>深化</w:t>
      </w:r>
      <w:r>
        <w:rPr>
          <w:rFonts w:hint="eastAsia"/>
          <w:color w:val="auto"/>
          <w:highlight w:val="none"/>
        </w:rPr>
        <w:t>“</w:t>
      </w:r>
      <w:r>
        <w:rPr>
          <w:color w:val="auto"/>
          <w:highlight w:val="none"/>
        </w:rPr>
        <w:t>园艺驿站+</w:t>
      </w:r>
      <w:r>
        <w:rPr>
          <w:rFonts w:hint="eastAsia"/>
          <w:color w:val="auto"/>
          <w:highlight w:val="none"/>
        </w:rPr>
        <w:t>”</w:t>
      </w:r>
      <w:r>
        <w:rPr>
          <w:color w:val="auto"/>
          <w:highlight w:val="none"/>
        </w:rPr>
        <w:t>服务模式，</w:t>
      </w:r>
      <w:r>
        <w:rPr>
          <w:rFonts w:hint="eastAsia"/>
          <w:color w:val="auto"/>
          <w:highlight w:val="none"/>
        </w:rPr>
        <w:t>开设</w:t>
      </w:r>
      <w:r>
        <w:rPr>
          <w:color w:val="auto"/>
          <w:highlight w:val="none"/>
        </w:rPr>
        <w:t>社区花园课堂，</w:t>
      </w:r>
      <w:r>
        <w:rPr>
          <w:rFonts w:hint="eastAsia"/>
          <w:color w:val="auto"/>
          <w:highlight w:val="none"/>
        </w:rPr>
        <w:t>开展家庭园艺互动活动，提升市民参与感。</w:t>
      </w:r>
    </w:p>
    <w:p>
      <w:pPr>
        <w:pStyle w:val="32"/>
        <w:rPr>
          <w:rFonts w:hint="eastAsia"/>
          <w:color w:val="auto"/>
          <w:highlight w:val="none"/>
        </w:rPr>
      </w:pPr>
      <w:r>
        <w:rPr>
          <w:rFonts w:hint="eastAsia"/>
          <w:color w:val="auto"/>
          <w:highlight w:val="none"/>
        </w:rPr>
        <w:t>培育西城特色园艺文化品牌</w:t>
      </w:r>
    </w:p>
    <w:p>
      <w:pPr>
        <w:pStyle w:val="30"/>
        <w:rPr>
          <w:rFonts w:hint="eastAsia"/>
          <w:color w:val="auto"/>
          <w:highlight w:val="none"/>
        </w:rPr>
      </w:pPr>
      <w:r>
        <w:rPr>
          <w:color w:val="auto"/>
          <w:highlight w:val="none"/>
        </w:rPr>
        <w:t>立足西城文化特色，</w:t>
      </w:r>
      <w:r>
        <w:rPr>
          <w:rFonts w:hint="eastAsia"/>
          <w:color w:val="auto"/>
          <w:highlight w:val="none"/>
        </w:rPr>
        <w:t>持续打造法源寺丁香诗会、宋庆龄故居海棠诗会等“闻花”品牌场景，</w:t>
      </w:r>
      <w:r>
        <w:rPr>
          <w:color w:val="auto"/>
          <w:highlight w:val="none"/>
        </w:rPr>
        <w:t>培育先农坛农耕文化节、</w:t>
      </w:r>
      <w:r>
        <w:rPr>
          <w:rFonts w:hint="eastAsia"/>
          <w:color w:val="auto"/>
          <w:highlight w:val="none"/>
        </w:rPr>
        <w:t>月坛公园中秋游园、自然笔记</w:t>
      </w:r>
      <w:r>
        <w:rPr>
          <w:color w:val="auto"/>
          <w:highlight w:val="none"/>
        </w:rPr>
        <w:t>等特色活动</w:t>
      </w:r>
      <w:r>
        <w:rPr>
          <w:rFonts w:hint="eastAsia"/>
          <w:color w:val="auto"/>
          <w:highlight w:val="none"/>
        </w:rPr>
        <w:t>，开发具有花园城市文化特色的旅游线路、跑步线路等，提升花园城市文化传播力和影响力。</w:t>
      </w:r>
    </w:p>
    <w:bookmarkEnd w:id="34"/>
    <w:p>
      <w:pPr>
        <w:pStyle w:val="31"/>
        <w:ind w:firstLine="643"/>
        <w:rPr>
          <w:rFonts w:hint="eastAsia"/>
          <w:color w:val="auto"/>
          <w:highlight w:val="none"/>
        </w:rPr>
      </w:pPr>
      <w:bookmarkStart w:id="41" w:name="_Toc234227624"/>
      <w:r>
        <w:rPr>
          <w:rFonts w:hint="eastAsia"/>
          <w:color w:val="auto"/>
          <w:highlight w:val="none"/>
        </w:rPr>
        <w:t>强化精细管养，推进安全韧性城市建设</w:t>
      </w:r>
      <w:bookmarkEnd w:id="41"/>
    </w:p>
    <w:p>
      <w:pPr>
        <w:pStyle w:val="32"/>
        <w:numPr>
          <w:ilvl w:val="0"/>
          <w:numId w:val="15"/>
        </w:numPr>
        <w:rPr>
          <w:rFonts w:hint="eastAsia"/>
          <w:color w:val="auto"/>
          <w:highlight w:val="none"/>
        </w:rPr>
      </w:pPr>
      <w:r>
        <w:rPr>
          <w:rFonts w:hint="eastAsia"/>
          <w:color w:val="auto"/>
          <w:highlight w:val="none"/>
        </w:rPr>
        <w:t>强化古树名木保护利用，营造古树名木主题场景</w:t>
      </w:r>
    </w:p>
    <w:p>
      <w:pPr>
        <w:pStyle w:val="30"/>
        <w:rPr>
          <w:rFonts w:hint="eastAsia"/>
          <w:color w:val="auto"/>
          <w:highlight w:val="none"/>
        </w:rPr>
      </w:pPr>
      <w:r>
        <w:rPr>
          <w:color w:val="auto"/>
          <w:highlight w:val="none"/>
        </w:rPr>
        <w:t>依托林长制和智慧化管理平台，完善</w:t>
      </w:r>
      <w:r>
        <w:rPr>
          <w:rFonts w:hint="eastAsia"/>
          <w:color w:val="auto"/>
          <w:highlight w:val="none"/>
        </w:rPr>
        <w:t>“</w:t>
      </w:r>
      <w:r>
        <w:rPr>
          <w:color w:val="auto"/>
          <w:highlight w:val="none"/>
        </w:rPr>
        <w:t>一树一档</w:t>
      </w:r>
      <w:r>
        <w:rPr>
          <w:rFonts w:hint="eastAsia"/>
          <w:color w:val="auto"/>
          <w:highlight w:val="none"/>
        </w:rPr>
        <w:t>”“一树一策”</w:t>
      </w:r>
      <w:r>
        <w:rPr>
          <w:color w:val="auto"/>
          <w:highlight w:val="none"/>
        </w:rPr>
        <w:t>精细化管理体系，实现动态监测全覆盖</w:t>
      </w:r>
      <w:r>
        <w:rPr>
          <w:rFonts w:hint="eastAsia"/>
          <w:color w:val="auto"/>
          <w:highlight w:val="none"/>
        </w:rPr>
        <w:t>，</w:t>
      </w:r>
      <w:r>
        <w:rPr>
          <w:rFonts w:hint="eastAsia" w:hAnsi="宋体" w:cs="宋体"/>
          <w:color w:val="auto"/>
          <w:kern w:val="0"/>
          <w:highlight w:val="none"/>
        </w:rPr>
        <w:t>推动古树名木从“被动抢救”到“主动预防”转变。持续开展濒危衰弱古树名木抢救复壮，协同开展第三次全国古树名木资源普查。创新古树文化宣传，讲好古树故事，持续推进古树胡同、古树社区、古树花园等建设，营造古树下的花园生活场景</w:t>
      </w:r>
      <w:r>
        <w:rPr>
          <w:rFonts w:hint="eastAsia"/>
          <w:color w:val="auto"/>
          <w:highlight w:val="none"/>
        </w:rPr>
        <w:t>。</w:t>
      </w:r>
    </w:p>
    <w:p>
      <w:pPr>
        <w:pStyle w:val="32"/>
        <w:numPr>
          <w:ilvl w:val="0"/>
          <w:numId w:val="15"/>
        </w:numPr>
        <w:rPr>
          <w:rFonts w:hint="eastAsia"/>
          <w:color w:val="auto"/>
          <w:highlight w:val="none"/>
        </w:rPr>
      </w:pPr>
      <w:r>
        <w:rPr>
          <w:rFonts w:hint="eastAsia"/>
          <w:color w:val="auto"/>
          <w:highlight w:val="none"/>
        </w:rPr>
        <w:t>科学推进花粉、飞絮协同治理，提升环境健康水平</w:t>
      </w:r>
    </w:p>
    <w:p>
      <w:pPr>
        <w:pStyle w:val="30"/>
        <w:rPr>
          <w:rFonts w:hint="eastAsia"/>
          <w:color w:val="auto"/>
          <w:highlight w:val="none"/>
        </w:rPr>
      </w:pPr>
      <w:r>
        <w:rPr>
          <w:rFonts w:hint="eastAsia"/>
          <w:color w:val="auto"/>
          <w:highlight w:val="none"/>
        </w:rPr>
        <w:t>统筹推进花粉与杨柳飞絮协同治理，聚焦致敏树种集中区域，综合运用精细化修剪、喷施生物花粉固定剂、加密喷淋湿化等手段，</w:t>
      </w:r>
      <w:r>
        <w:rPr>
          <w:color w:val="auto"/>
          <w:highlight w:val="none"/>
        </w:rPr>
        <w:t>从源头抑制花粉扩散。建立园林、气象、卫健等多部门数据共享与预警联动机制，推动防控模式向主动预警、全域协同转变。</w:t>
      </w:r>
    </w:p>
    <w:p>
      <w:pPr>
        <w:pStyle w:val="32"/>
        <w:numPr>
          <w:ilvl w:val="0"/>
          <w:numId w:val="15"/>
        </w:numPr>
        <w:rPr>
          <w:rFonts w:hint="eastAsia"/>
          <w:color w:val="auto"/>
          <w:highlight w:val="none"/>
        </w:rPr>
      </w:pPr>
      <w:r>
        <w:rPr>
          <w:rFonts w:hint="eastAsia"/>
          <w:color w:val="auto"/>
          <w:highlight w:val="none"/>
        </w:rPr>
        <w:t>开展生物多样性调查，健全野生动植物与湿地保护体系</w:t>
      </w:r>
    </w:p>
    <w:p>
      <w:pPr>
        <w:pStyle w:val="30"/>
        <w:rPr>
          <w:rFonts w:hint="eastAsia"/>
          <w:color w:val="auto"/>
          <w:highlight w:val="none"/>
        </w:rPr>
      </w:pPr>
      <w:r>
        <w:rPr>
          <w:bCs/>
          <w:color w:val="auto"/>
          <w:highlight w:val="none"/>
        </w:rPr>
        <w:t>开展野生动植物本底调查，</w:t>
      </w:r>
      <w:r>
        <w:rPr>
          <w:color w:val="auto"/>
          <w:highlight w:val="none"/>
        </w:rPr>
        <w:t>建立动态更新的生物多样性数据库。加强野生动物保护及收容救助，</w:t>
      </w:r>
      <w:r>
        <w:rPr>
          <w:rFonts w:hint="eastAsia"/>
          <w:color w:val="auto"/>
          <w:highlight w:val="none"/>
        </w:rPr>
        <w:t>以守护雨燕为重点，有序开展保育小区、小微湿地及微型生物栖息地建设</w:t>
      </w:r>
      <w:r>
        <w:rPr>
          <w:color w:val="auto"/>
          <w:highlight w:val="none"/>
        </w:rPr>
        <w:t>。</w:t>
      </w:r>
      <w:r>
        <w:rPr>
          <w:rFonts w:hint="eastAsia"/>
          <w:color w:val="auto"/>
          <w:highlight w:val="none"/>
        </w:rPr>
        <w:t>强化疫源疫病监测及林业有害生物防控，重点做好美国白蛾等外来入侵物种的监测预警与综合治理。</w:t>
      </w:r>
    </w:p>
    <w:p>
      <w:pPr>
        <w:pStyle w:val="32"/>
        <w:numPr>
          <w:ilvl w:val="0"/>
          <w:numId w:val="15"/>
        </w:numPr>
        <w:rPr>
          <w:rFonts w:hint="eastAsia"/>
          <w:color w:val="auto"/>
          <w:highlight w:val="none"/>
        </w:rPr>
      </w:pPr>
      <w:r>
        <w:rPr>
          <w:rStyle w:val="20"/>
          <w:rFonts w:hint="eastAsia"/>
          <w:b/>
          <w:bCs w:val="0"/>
          <w:color w:val="auto"/>
          <w:highlight w:val="none"/>
        </w:rPr>
        <w:t>完善园林绿地应急功能</w:t>
      </w:r>
      <w:r>
        <w:rPr>
          <w:rStyle w:val="20"/>
          <w:b/>
          <w:bCs w:val="0"/>
          <w:color w:val="auto"/>
          <w:highlight w:val="none"/>
        </w:rPr>
        <w:t>，</w:t>
      </w:r>
      <w:r>
        <w:rPr>
          <w:rStyle w:val="20"/>
          <w:rFonts w:hint="eastAsia"/>
          <w:b/>
          <w:bCs w:val="0"/>
          <w:color w:val="auto"/>
          <w:highlight w:val="none"/>
        </w:rPr>
        <w:t>增强城市安全韧性</w:t>
      </w:r>
    </w:p>
    <w:p>
      <w:pPr>
        <w:pStyle w:val="30"/>
        <w:rPr>
          <w:rFonts w:hint="eastAsia"/>
          <w:color w:val="auto"/>
          <w:highlight w:val="none"/>
        </w:rPr>
      </w:pPr>
      <w:r>
        <w:rPr>
          <w:color w:val="auto"/>
          <w:highlight w:val="none"/>
        </w:rPr>
        <w:t>立足“平急两用”原则，</w:t>
      </w:r>
      <w:r>
        <w:rPr>
          <w:rFonts w:hint="eastAsia"/>
          <w:color w:val="auto"/>
          <w:highlight w:val="none"/>
        </w:rPr>
        <w:t>提升</w:t>
      </w:r>
      <w:r>
        <w:rPr>
          <w:color w:val="auto"/>
          <w:highlight w:val="none"/>
        </w:rPr>
        <w:t>园林绿地综合应急保障能力。</w:t>
      </w:r>
      <w:r>
        <w:rPr>
          <w:rFonts w:hint="eastAsia"/>
          <w:color w:val="auto"/>
          <w:highlight w:val="none"/>
        </w:rPr>
        <w:t>完善</w:t>
      </w:r>
      <w:r>
        <w:rPr>
          <w:color w:val="auto"/>
          <w:highlight w:val="none"/>
        </w:rPr>
        <w:t>具备应急供水、供电、排污及物资储备等功能的避难场所</w:t>
      </w:r>
      <w:r>
        <w:rPr>
          <w:rFonts w:hint="eastAsia"/>
          <w:color w:val="auto"/>
          <w:highlight w:val="none"/>
        </w:rPr>
        <w:t>，</w:t>
      </w:r>
      <w:r>
        <w:rPr>
          <w:color w:val="auto"/>
          <w:highlight w:val="none"/>
        </w:rPr>
        <w:t>构建监测预警、应急指挥、资源调配</w:t>
      </w:r>
      <w:r>
        <w:rPr>
          <w:rFonts w:hint="eastAsia"/>
          <w:color w:val="auto"/>
          <w:highlight w:val="none"/>
        </w:rPr>
        <w:t>一体化管理</w:t>
      </w:r>
      <w:r>
        <w:rPr>
          <w:color w:val="auto"/>
          <w:highlight w:val="none"/>
        </w:rPr>
        <w:t>平台，</w:t>
      </w:r>
      <w:r>
        <w:rPr>
          <w:rFonts w:hint="eastAsia"/>
          <w:color w:val="auto"/>
          <w:highlight w:val="none"/>
        </w:rPr>
        <w:t>建立覆盖</w:t>
      </w:r>
      <w:r>
        <w:rPr>
          <w:color w:val="auto"/>
          <w:highlight w:val="none"/>
        </w:rPr>
        <w:t>多灾种的应急管理机制，强化专业队伍建设</w:t>
      </w:r>
      <w:r>
        <w:rPr>
          <w:rFonts w:hint="eastAsia"/>
          <w:color w:val="auto"/>
          <w:highlight w:val="none"/>
        </w:rPr>
        <w:t>和</w:t>
      </w:r>
      <w:r>
        <w:rPr>
          <w:color w:val="auto"/>
          <w:highlight w:val="none"/>
        </w:rPr>
        <w:t>实战演练，</w:t>
      </w:r>
      <w:r>
        <w:rPr>
          <w:rFonts w:hint="eastAsia"/>
          <w:color w:val="auto"/>
          <w:highlight w:val="none"/>
        </w:rPr>
        <w:t>提升城市防灾减灾能力</w:t>
      </w:r>
      <w:r>
        <w:rPr>
          <w:color w:val="auto"/>
          <w:highlight w:val="none"/>
        </w:rPr>
        <w:t>。</w:t>
      </w:r>
    </w:p>
    <w:p>
      <w:pPr>
        <w:pStyle w:val="32"/>
        <w:rPr>
          <w:rFonts w:hint="eastAsia"/>
          <w:color w:val="auto"/>
          <w:highlight w:val="none"/>
        </w:rPr>
      </w:pPr>
      <w:r>
        <w:rPr>
          <w:rFonts w:hint="eastAsia"/>
          <w:color w:val="auto"/>
          <w:highlight w:val="none"/>
        </w:rPr>
        <w:t>提升雨水资源利用效能，助力海绵城市建设</w:t>
      </w:r>
    </w:p>
    <w:p>
      <w:pPr>
        <w:pStyle w:val="30"/>
        <w:rPr>
          <w:rFonts w:hint="eastAsia"/>
          <w:color w:val="auto"/>
          <w:highlight w:val="none"/>
        </w:rPr>
      </w:pPr>
      <w:r>
        <w:rPr>
          <w:rFonts w:hint="eastAsia"/>
          <w:color w:val="auto"/>
          <w:highlight w:val="none"/>
        </w:rPr>
        <w:t>将公园绿地提质增效与海绵城市建设协同推进，结合城市更新，挖潜</w:t>
      </w:r>
      <w:r>
        <w:rPr>
          <w:color w:val="auto"/>
          <w:highlight w:val="none"/>
        </w:rPr>
        <w:t>边角地、建筑屋顶排水区等</w:t>
      </w:r>
      <w:r>
        <w:rPr>
          <w:rFonts w:hint="eastAsia"/>
          <w:color w:val="auto"/>
          <w:highlight w:val="none"/>
        </w:rPr>
        <w:t>零散空间，</w:t>
      </w:r>
      <w:r>
        <w:rPr>
          <w:color w:val="auto"/>
          <w:highlight w:val="none"/>
        </w:rPr>
        <w:t>建设小型分散雨水花园</w:t>
      </w:r>
      <w:r>
        <w:rPr>
          <w:rFonts w:hint="eastAsia"/>
          <w:color w:val="auto"/>
          <w:highlight w:val="none"/>
        </w:rPr>
        <w:t>。推广透水铺装、生态树池等节水技术，提升雨水资源化利用效能，缓解城市内涝压力。</w:t>
      </w:r>
    </w:p>
    <w:p>
      <w:pPr>
        <w:pStyle w:val="32"/>
        <w:rPr>
          <w:rFonts w:hint="eastAsia"/>
          <w:color w:val="auto"/>
          <w:highlight w:val="none"/>
        </w:rPr>
      </w:pPr>
      <w:r>
        <w:rPr>
          <w:rFonts w:hint="eastAsia"/>
          <w:color w:val="auto"/>
          <w:highlight w:val="none"/>
        </w:rPr>
        <w:t>增强智慧治理，提升园林绿化治理精细化水平</w:t>
      </w:r>
    </w:p>
    <w:p>
      <w:pPr>
        <w:pStyle w:val="30"/>
        <w:rPr>
          <w:rFonts w:hint="eastAsia"/>
          <w:color w:val="auto"/>
          <w:highlight w:val="none"/>
        </w:rPr>
      </w:pPr>
      <w:r>
        <w:rPr>
          <w:rFonts w:hint="eastAsia"/>
          <w:color w:val="auto"/>
          <w:highlight w:val="none"/>
        </w:rPr>
        <w:t>推动园林绿化管理数字化、智慧化建设。依托“数智西城”，推动园林绿化数据跨部门共享与集成，深化“全区一张图”应用。完善“智慧园林”管理平台，整合绿色空间基础数据形成数字底图。探索智能巡检、物联网监测等技术手段，提升人工智能</w:t>
      </w:r>
      <w:r>
        <w:rPr>
          <w:color w:val="auto"/>
          <w:highlight w:val="none"/>
        </w:rPr>
        <w:t>在</w:t>
      </w:r>
      <w:r>
        <w:rPr>
          <w:rFonts w:hint="eastAsia"/>
          <w:color w:val="auto"/>
          <w:highlight w:val="none"/>
        </w:rPr>
        <w:t>绿地管</w:t>
      </w:r>
      <w:r>
        <w:rPr>
          <w:color w:val="auto"/>
          <w:highlight w:val="none"/>
        </w:rPr>
        <w:t>养决策、</w:t>
      </w:r>
      <w:r>
        <w:rPr>
          <w:rFonts w:hint="eastAsia"/>
          <w:color w:val="auto"/>
          <w:highlight w:val="none"/>
        </w:rPr>
        <w:t>声环境质量、</w:t>
      </w:r>
      <w:r>
        <w:rPr>
          <w:color w:val="auto"/>
          <w:highlight w:val="none"/>
        </w:rPr>
        <w:t>绿视率监测评估等场景的应用，完善基于林长制的智慧化协同监管机制</w:t>
      </w:r>
      <w:r>
        <w:rPr>
          <w:rFonts w:hint="eastAsia"/>
          <w:color w:val="auto"/>
          <w:highlight w:val="none"/>
        </w:rPr>
        <w:t>。</w:t>
      </w:r>
    </w:p>
    <w:bookmarkEnd w:id="21"/>
    <w:p>
      <w:pPr>
        <w:pStyle w:val="30"/>
        <w:rPr>
          <w:rFonts w:hint="eastAsia"/>
          <w:color w:val="auto"/>
          <w:highlight w:val="none"/>
        </w:rPr>
      </w:pPr>
    </w:p>
    <w:p>
      <w:pPr>
        <w:pStyle w:val="28"/>
        <w:rPr>
          <w:rFonts w:hint="eastAsia"/>
          <w:color w:val="auto"/>
          <w:highlight w:val="none"/>
        </w:rPr>
      </w:pPr>
      <w:bookmarkStart w:id="42" w:name="_Toc234227625"/>
      <w:r>
        <w:rPr>
          <w:rFonts w:hint="eastAsia"/>
          <w:color w:val="auto"/>
          <w:highlight w:val="none"/>
        </w:rPr>
        <w:t>保障措施</w:t>
      </w:r>
      <w:bookmarkEnd w:id="42"/>
    </w:p>
    <w:p>
      <w:pPr>
        <w:pStyle w:val="30"/>
        <w:rPr>
          <w:rFonts w:hint="eastAsia"/>
          <w:color w:val="auto"/>
          <w:highlight w:val="none"/>
        </w:rPr>
      </w:pPr>
    </w:p>
    <w:p>
      <w:pPr>
        <w:pStyle w:val="31"/>
        <w:numPr>
          <w:ilvl w:val="0"/>
          <w:numId w:val="16"/>
        </w:numPr>
        <w:ind w:firstLineChars="0"/>
        <w:rPr>
          <w:rFonts w:hint="eastAsia"/>
          <w:color w:val="auto"/>
          <w:highlight w:val="none"/>
        </w:rPr>
      </w:pPr>
      <w:bookmarkStart w:id="43" w:name="OLE_LINK14"/>
      <w:bookmarkStart w:id="44" w:name="_Toc234227626"/>
      <w:r>
        <w:rPr>
          <w:rFonts w:hint="eastAsia"/>
          <w:color w:val="auto"/>
          <w:highlight w:val="none"/>
        </w:rPr>
        <w:t>加强高位统筹，完善协同机制</w:t>
      </w:r>
      <w:bookmarkEnd w:id="43"/>
      <w:bookmarkEnd w:id="44"/>
    </w:p>
    <w:p>
      <w:pPr>
        <w:pStyle w:val="30"/>
        <w:rPr>
          <w:rFonts w:hint="eastAsia"/>
          <w:color w:val="auto"/>
          <w:highlight w:val="none"/>
        </w:rPr>
      </w:pPr>
      <w:r>
        <w:rPr>
          <w:rFonts w:hint="eastAsia"/>
          <w:color w:val="auto"/>
          <w:highlight w:val="none"/>
        </w:rPr>
        <w:t>依托西城区建设花园城市工作领导小组，</w:t>
      </w:r>
      <w:r>
        <w:rPr>
          <w:color w:val="auto"/>
          <w:highlight w:val="none"/>
        </w:rPr>
        <w:t>完善园林绿化</w:t>
      </w:r>
      <w:r>
        <w:rPr>
          <w:rFonts w:hint="eastAsia"/>
          <w:color w:val="auto"/>
          <w:highlight w:val="none"/>
        </w:rPr>
        <w:t>跨部门协调联动</w:t>
      </w:r>
      <w:r>
        <w:rPr>
          <w:color w:val="auto"/>
          <w:highlight w:val="none"/>
        </w:rPr>
        <w:t>与</w:t>
      </w:r>
      <w:r>
        <w:rPr>
          <w:rFonts w:hint="eastAsia"/>
          <w:color w:val="auto"/>
          <w:highlight w:val="none"/>
        </w:rPr>
        <w:t>常态化沟通</w:t>
      </w:r>
      <w:r>
        <w:rPr>
          <w:color w:val="auto"/>
          <w:highlight w:val="none"/>
        </w:rPr>
        <w:t>机制。明确各部门职责分工，建立</w:t>
      </w:r>
      <w:r>
        <w:rPr>
          <w:rFonts w:hint="eastAsia"/>
          <w:color w:val="auto"/>
          <w:highlight w:val="none"/>
        </w:rPr>
        <w:t>问题协调机制</w:t>
      </w:r>
      <w:r>
        <w:rPr>
          <w:color w:val="auto"/>
          <w:highlight w:val="none"/>
        </w:rPr>
        <w:t>，及时</w:t>
      </w:r>
      <w:r>
        <w:rPr>
          <w:rFonts w:hint="eastAsia"/>
          <w:color w:val="auto"/>
          <w:highlight w:val="none"/>
        </w:rPr>
        <w:t>破解</w:t>
      </w:r>
      <w:r>
        <w:rPr>
          <w:color w:val="auto"/>
          <w:highlight w:val="none"/>
        </w:rPr>
        <w:t>项目</w:t>
      </w:r>
      <w:r>
        <w:rPr>
          <w:rFonts w:hint="eastAsia"/>
          <w:color w:val="auto"/>
          <w:highlight w:val="none"/>
        </w:rPr>
        <w:t>推进中</w:t>
      </w:r>
      <w:r>
        <w:rPr>
          <w:color w:val="auto"/>
          <w:highlight w:val="none"/>
        </w:rPr>
        <w:t>的难点</w:t>
      </w:r>
      <w:r>
        <w:rPr>
          <w:rFonts w:hint="eastAsia"/>
          <w:color w:val="auto"/>
          <w:highlight w:val="none"/>
        </w:rPr>
        <w:t>堵点</w:t>
      </w:r>
      <w:r>
        <w:rPr>
          <w:color w:val="auto"/>
          <w:highlight w:val="none"/>
        </w:rPr>
        <w:t>，形成协同高效</w:t>
      </w:r>
      <w:r>
        <w:rPr>
          <w:rFonts w:hint="eastAsia"/>
          <w:color w:val="auto"/>
          <w:highlight w:val="none"/>
        </w:rPr>
        <w:t>的</w:t>
      </w:r>
      <w:r>
        <w:rPr>
          <w:color w:val="auto"/>
          <w:highlight w:val="none"/>
        </w:rPr>
        <w:t>工作格局，保障各项任务有序推进</w:t>
      </w:r>
      <w:r>
        <w:rPr>
          <w:rFonts w:hint="eastAsia"/>
          <w:color w:val="auto"/>
          <w:highlight w:val="none"/>
        </w:rPr>
        <w:t>、高质量完成</w:t>
      </w:r>
      <w:r>
        <w:rPr>
          <w:color w:val="auto"/>
          <w:highlight w:val="none"/>
        </w:rPr>
        <w:t>。</w:t>
      </w:r>
    </w:p>
    <w:p>
      <w:pPr>
        <w:pStyle w:val="31"/>
        <w:ind w:firstLine="0" w:firstLineChars="0"/>
        <w:rPr>
          <w:rFonts w:hint="eastAsia"/>
          <w:color w:val="auto"/>
          <w:highlight w:val="none"/>
        </w:rPr>
      </w:pPr>
      <w:bookmarkStart w:id="45" w:name="_Toc234227627"/>
      <w:r>
        <w:rPr>
          <w:rFonts w:hint="eastAsia"/>
          <w:color w:val="auto"/>
          <w:highlight w:val="none"/>
        </w:rPr>
        <w:t>健全监督评估，保障实施成效</w:t>
      </w:r>
      <w:bookmarkEnd w:id="45"/>
    </w:p>
    <w:p>
      <w:pPr>
        <w:pStyle w:val="30"/>
        <w:rPr>
          <w:rFonts w:hint="eastAsia"/>
          <w:color w:val="auto"/>
          <w:highlight w:val="none"/>
        </w:rPr>
      </w:pPr>
      <w:r>
        <w:rPr>
          <w:color w:val="auto"/>
          <w:highlight w:val="none"/>
        </w:rPr>
        <w:t>建立健全园林绿化项目全过程监督</w:t>
      </w:r>
      <w:r>
        <w:rPr>
          <w:rFonts w:hint="eastAsia"/>
          <w:color w:val="auto"/>
          <w:highlight w:val="none"/>
        </w:rPr>
        <w:t>体系</w:t>
      </w:r>
      <w:r>
        <w:rPr>
          <w:color w:val="auto"/>
          <w:highlight w:val="none"/>
        </w:rPr>
        <w:t>，加强对重点项目进度、质量</w:t>
      </w:r>
      <w:r>
        <w:rPr>
          <w:rFonts w:hint="eastAsia"/>
          <w:color w:val="auto"/>
          <w:highlight w:val="none"/>
        </w:rPr>
        <w:t>、生态效益及社会反响</w:t>
      </w:r>
      <w:r>
        <w:rPr>
          <w:color w:val="auto"/>
          <w:highlight w:val="none"/>
        </w:rPr>
        <w:t>的</w:t>
      </w:r>
      <w:r>
        <w:rPr>
          <w:rFonts w:hint="eastAsia"/>
          <w:color w:val="auto"/>
          <w:highlight w:val="none"/>
        </w:rPr>
        <w:t>跟踪</w:t>
      </w:r>
      <w:r>
        <w:rPr>
          <w:color w:val="auto"/>
          <w:highlight w:val="none"/>
        </w:rPr>
        <w:t>监测。</w:t>
      </w:r>
      <w:r>
        <w:rPr>
          <w:rFonts w:hint="eastAsia" w:hAnsi="宋体"/>
          <w:color w:val="auto"/>
          <w:highlight w:val="none"/>
        </w:rPr>
        <w:t>严格落实“施工期保绿、竣工后复绿”要求，坚守绿视率不下降底线。</w:t>
      </w:r>
      <w:r>
        <w:rPr>
          <w:rFonts w:hint="eastAsia"/>
          <w:color w:val="auto"/>
          <w:highlight w:val="none"/>
        </w:rPr>
        <w:t>完善从规划、建设到管养的全周期管理，</w:t>
      </w:r>
      <w:r>
        <w:rPr>
          <w:color w:val="auto"/>
          <w:highlight w:val="none"/>
        </w:rPr>
        <w:t>确保工作</w:t>
      </w:r>
      <w:r>
        <w:rPr>
          <w:rFonts w:hint="eastAsia"/>
          <w:color w:val="auto"/>
          <w:highlight w:val="none"/>
        </w:rPr>
        <w:t>落到实处</w:t>
      </w:r>
      <w:r>
        <w:rPr>
          <w:color w:val="auto"/>
          <w:highlight w:val="none"/>
        </w:rPr>
        <w:t>、取得实效。</w:t>
      </w:r>
    </w:p>
    <w:p>
      <w:pPr>
        <w:pStyle w:val="31"/>
        <w:ind w:firstLine="0" w:firstLineChars="0"/>
        <w:rPr>
          <w:rFonts w:hint="eastAsia"/>
          <w:color w:val="auto"/>
          <w:highlight w:val="none"/>
        </w:rPr>
      </w:pPr>
      <w:bookmarkStart w:id="46" w:name="_Toc234227628"/>
      <w:r>
        <w:rPr>
          <w:rFonts w:hint="eastAsia"/>
          <w:color w:val="auto"/>
          <w:highlight w:val="none"/>
        </w:rPr>
        <w:t>拓宽资金渠道，创新投入机制</w:t>
      </w:r>
      <w:bookmarkEnd w:id="46"/>
    </w:p>
    <w:p>
      <w:pPr>
        <w:pStyle w:val="30"/>
        <w:rPr>
          <w:rFonts w:hint="eastAsia"/>
          <w:color w:val="auto"/>
          <w:highlight w:val="none"/>
        </w:rPr>
      </w:pPr>
      <w:r>
        <w:rPr>
          <w:rFonts w:hint="eastAsia"/>
          <w:color w:val="auto"/>
          <w:highlight w:val="none"/>
        </w:rPr>
        <w:t>强化</w:t>
      </w:r>
      <w:r>
        <w:rPr>
          <w:color w:val="auto"/>
          <w:highlight w:val="none"/>
        </w:rPr>
        <w:t>政府资金的统筹引领和基础保障作用，</w:t>
      </w:r>
      <w:r>
        <w:rPr>
          <w:rFonts w:hint="eastAsia"/>
          <w:color w:val="auto"/>
          <w:highlight w:val="none"/>
        </w:rPr>
        <w:t>落实</w:t>
      </w:r>
      <w:r>
        <w:rPr>
          <w:color w:val="auto"/>
          <w:highlight w:val="none"/>
        </w:rPr>
        <w:t>各类建设任务的资金来源。积极创新投融资</w:t>
      </w:r>
      <w:r>
        <w:rPr>
          <w:rFonts w:hint="eastAsia"/>
          <w:color w:val="auto"/>
          <w:highlight w:val="none"/>
        </w:rPr>
        <w:t>模式</w:t>
      </w:r>
      <w:r>
        <w:rPr>
          <w:color w:val="auto"/>
          <w:highlight w:val="none"/>
        </w:rPr>
        <w:t>，</w:t>
      </w:r>
      <w:r>
        <w:rPr>
          <w:rFonts w:hint="eastAsia"/>
          <w:color w:val="auto"/>
          <w:highlight w:val="none"/>
        </w:rPr>
        <w:t>与市级联动，</w:t>
      </w:r>
      <w:r>
        <w:rPr>
          <w:color w:val="auto"/>
          <w:highlight w:val="none"/>
        </w:rPr>
        <w:t>制定激励社会资本参与</w:t>
      </w:r>
      <w:r>
        <w:rPr>
          <w:rFonts w:hint="eastAsia"/>
          <w:color w:val="auto"/>
          <w:highlight w:val="none"/>
        </w:rPr>
        <w:t>绿地</w:t>
      </w:r>
      <w:r>
        <w:rPr>
          <w:color w:val="auto"/>
          <w:highlight w:val="none"/>
        </w:rPr>
        <w:t>建设</w:t>
      </w:r>
      <w:r>
        <w:rPr>
          <w:rFonts w:hint="eastAsia"/>
          <w:color w:val="auto"/>
          <w:highlight w:val="none"/>
        </w:rPr>
        <w:t>、公园运营、生态服务</w:t>
      </w:r>
      <w:r>
        <w:rPr>
          <w:color w:val="auto"/>
          <w:highlight w:val="none"/>
        </w:rPr>
        <w:t>的配套政策，探索</w:t>
      </w:r>
      <w:r>
        <w:rPr>
          <w:rFonts w:hint="eastAsia"/>
          <w:color w:val="auto"/>
          <w:highlight w:val="none"/>
        </w:rPr>
        <w:t>政府与社会资本合作、认建认养、公益捐赠等多种方式，</w:t>
      </w:r>
      <w:r>
        <w:rPr>
          <w:color w:val="auto"/>
          <w:highlight w:val="none"/>
        </w:rPr>
        <w:t>形成</w:t>
      </w:r>
      <w:r>
        <w:rPr>
          <w:rFonts w:hint="eastAsia"/>
          <w:color w:val="auto"/>
          <w:highlight w:val="none"/>
        </w:rPr>
        <w:t>“</w:t>
      </w:r>
      <w:r>
        <w:rPr>
          <w:color w:val="auto"/>
          <w:highlight w:val="none"/>
        </w:rPr>
        <w:t>政府引导、市场运作、社会参与</w:t>
      </w:r>
      <w:r>
        <w:rPr>
          <w:rFonts w:hint="eastAsia"/>
          <w:color w:val="auto"/>
          <w:highlight w:val="none"/>
        </w:rPr>
        <w:t>”</w:t>
      </w:r>
      <w:r>
        <w:rPr>
          <w:color w:val="auto"/>
          <w:highlight w:val="none"/>
        </w:rPr>
        <w:t>的</w:t>
      </w:r>
      <w:r>
        <w:rPr>
          <w:rFonts w:hint="eastAsia"/>
          <w:color w:val="auto"/>
          <w:highlight w:val="none"/>
        </w:rPr>
        <w:t>多元化、</w:t>
      </w:r>
      <w:r>
        <w:rPr>
          <w:color w:val="auto"/>
          <w:highlight w:val="none"/>
        </w:rPr>
        <w:t>可持续投入</w:t>
      </w:r>
      <w:r>
        <w:rPr>
          <w:rFonts w:hint="eastAsia"/>
          <w:color w:val="auto"/>
          <w:highlight w:val="none"/>
        </w:rPr>
        <w:t>机制</w:t>
      </w:r>
      <w:r>
        <w:rPr>
          <w:color w:val="auto"/>
          <w:highlight w:val="none"/>
        </w:rPr>
        <w:t>。</w:t>
      </w:r>
    </w:p>
    <w:p>
      <w:pPr>
        <w:pStyle w:val="31"/>
        <w:ind w:firstLine="0" w:firstLineChars="0"/>
        <w:rPr>
          <w:rFonts w:hint="eastAsia"/>
          <w:color w:val="auto"/>
          <w:highlight w:val="none"/>
        </w:rPr>
      </w:pPr>
      <w:bookmarkStart w:id="47" w:name="_Toc234227629"/>
      <w:r>
        <w:rPr>
          <w:rFonts w:hint="eastAsia"/>
          <w:color w:val="auto"/>
          <w:highlight w:val="none"/>
        </w:rPr>
        <w:t>营造社会氛围，推动共建共享</w:t>
      </w:r>
      <w:bookmarkEnd w:id="47"/>
    </w:p>
    <w:p>
      <w:pPr>
        <w:pStyle w:val="30"/>
        <w:rPr>
          <w:rFonts w:hint="eastAsia"/>
          <w:color w:val="auto"/>
          <w:highlight w:val="none"/>
        </w:rPr>
      </w:pPr>
      <w:r>
        <w:rPr>
          <w:color w:val="auto"/>
          <w:highlight w:val="none"/>
        </w:rPr>
        <w:t>整合区属媒体、政务平台</w:t>
      </w:r>
      <w:r>
        <w:rPr>
          <w:rFonts w:hint="eastAsia"/>
          <w:color w:val="auto"/>
          <w:highlight w:val="none"/>
        </w:rPr>
        <w:t>及</w:t>
      </w:r>
      <w:r>
        <w:rPr>
          <w:color w:val="auto"/>
          <w:highlight w:val="none"/>
        </w:rPr>
        <w:t>社区宣传等资源，系统开展花园城市、绿化政策与生态成果的宣传推广。持续开展义务植树、园艺进社区、自然教育等主题活动。及时回应社会关切，凝聚社会共识，构建政府、企业、社会组织和市民协同参与的宣传动员体系，为规划实施营造良好社会氛围。</w:t>
      </w:r>
    </w:p>
    <w:sectPr>
      <w:footerReference r:id="rId11" w:type="default"/>
      <w:footerReference r:id="rId12" w:type="even"/>
      <w:pgSz w:w="11906" w:h="16838"/>
      <w:pgMar w:top="2098" w:right="1474" w:bottom="1984" w:left="1587" w:header="1417" w:footer="141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9250458"/>
    </w:sdtPr>
    <w:sdtEndPr>
      <w:rPr>
        <w:sz w:val="24"/>
        <w:szCs w:val="40"/>
      </w:rPr>
    </w:sdtEndPr>
    <w:sdtContent>
      <w:p>
        <w:pPr>
          <w:pStyle w:val="12"/>
          <w:jc w:val="center"/>
          <w:rPr>
            <w:rFonts w:hint="eastAsia" w:ascii="宋体" w:hAnsi="宋体" w:cs="宋体"/>
            <w:sz w:val="28"/>
            <w:szCs w:val="28"/>
          </w:rPr>
        </w:pPr>
        <w:r>
          <w:rPr>
            <w:rFonts w:hint="eastAsia" w:ascii="黑体" w:hAnsi="黑体" w:eastAsia="黑体" w:cs="宋体"/>
            <w:sz w:val="28"/>
            <w:szCs w:val="28"/>
          </w:rPr>
          <w:t>Ⅱ</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896013"/>
    </w:sdtPr>
    <w:sdtEndPr>
      <w:rPr>
        <w:sz w:val="24"/>
        <w:szCs w:val="40"/>
      </w:rPr>
    </w:sdtEndPr>
    <w:sdtContent>
      <w:p>
        <w:pPr>
          <w:pStyle w:val="12"/>
          <w:jc w:val="center"/>
          <w:rPr>
            <w:rFonts w:hint="eastAsia" w:ascii="宋体" w:hAnsi="宋体" w:cs="宋体"/>
            <w:sz w:val="28"/>
            <w:szCs w:val="28"/>
          </w:rPr>
        </w:pPr>
        <w:r>
          <w:rPr>
            <w:rFonts w:hint="eastAsia" w:ascii="黑体" w:hAnsi="黑体" w:eastAsia="黑体" w:cs="宋体"/>
            <w:sz w:val="28"/>
            <w:szCs w:val="28"/>
          </w:rPr>
          <w:t>Ⅱ</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5664687"/>
    </w:sdtPr>
    <w:sdtEndPr>
      <w:rPr>
        <w:sz w:val="24"/>
        <w:szCs w:val="40"/>
      </w:rPr>
    </w:sdtEndPr>
    <w:sdtContent>
      <w:p>
        <w:pPr>
          <w:pStyle w:val="12"/>
          <w:jc w:val="center"/>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sz w:val="24"/>
        <w:szCs w:val="40"/>
      </w:rPr>
    </w:sdtEndPr>
    <w:sdtContent>
      <w:p>
        <w:pPr>
          <w:pStyle w:val="12"/>
          <w:jc w:val="center"/>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5643B"/>
    <w:multiLevelType w:val="multilevel"/>
    <w:tmpl w:val="1095643B"/>
    <w:lvl w:ilvl="0" w:tentative="0">
      <w:start w:val="1"/>
      <w:numFmt w:val="decimal"/>
      <w:pStyle w:val="32"/>
      <w:lvlText w:val="%1."/>
      <w:lvlJc w:val="left"/>
      <w:pPr>
        <w:ind w:left="1000" w:hanging="360"/>
      </w:p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1">
    <w:nsid w:val="34991607"/>
    <w:multiLevelType w:val="multilevel"/>
    <w:tmpl w:val="34991607"/>
    <w:lvl w:ilvl="0" w:tentative="0">
      <w:start w:val="1"/>
      <w:numFmt w:val="chineseCountingThousand"/>
      <w:pStyle w:val="31"/>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450D39E3"/>
    <w:multiLevelType w:val="multilevel"/>
    <w:tmpl w:val="450D39E3"/>
    <w:lvl w:ilvl="0" w:tentative="0">
      <w:start w:val="1"/>
      <w:numFmt w:val="japaneseCounting"/>
      <w:pStyle w:val="28"/>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5CC70BEC"/>
    <w:multiLevelType w:val="multilevel"/>
    <w:tmpl w:val="5CC70BEC"/>
    <w:lvl w:ilvl="0" w:tentative="0">
      <w:start w:val="1"/>
      <w:numFmt w:val="decimal"/>
      <w:pStyle w:val="34"/>
      <w:lvlText w:val="%1."/>
      <w:lvlJc w:val="left"/>
      <w:pPr>
        <w:ind w:left="1080" w:hanging="440"/>
      </w:p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2"/>
  </w:num>
  <w:num w:numId="2">
    <w:abstractNumId w:val="1"/>
  </w:num>
  <w:num w:numId="3">
    <w:abstractNumId w:val="0"/>
  </w:num>
  <w:num w:numId="4">
    <w:abstractNumId w:val="3"/>
  </w:num>
  <w:num w:numId="5">
    <w:abstractNumId w:val="2"/>
    <w:lvlOverride w:ilvl="0">
      <w:startOverride w:val="1"/>
    </w:lvlOverride>
  </w:num>
  <w:num w:numId="6">
    <w:abstractNumId w:val="0"/>
    <w:lvlOverride w:ilvl="0">
      <w:startOverride w:val="1"/>
    </w:lvlOverride>
  </w:num>
  <w:num w:numId="7">
    <w:abstractNumId w:val="1"/>
    <w:lvlOverride w:ilvl="0">
      <w:startOverride w:val="1"/>
    </w:lvlOverride>
  </w:num>
  <w:num w:numId="8">
    <w:abstractNumId w:val="0"/>
    <w:lvlOverride w:ilvl="0">
      <w:startOverride w:val="1"/>
    </w:lvlOverride>
  </w:num>
  <w:num w:numId="9">
    <w:abstractNumId w:val="1"/>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146FD5"/>
    <w:rsid w:val="000017CA"/>
    <w:rsid w:val="00005265"/>
    <w:rsid w:val="0000778C"/>
    <w:rsid w:val="00010735"/>
    <w:rsid w:val="00011D19"/>
    <w:rsid w:val="00011E67"/>
    <w:rsid w:val="000222AD"/>
    <w:rsid w:val="00024958"/>
    <w:rsid w:val="00030990"/>
    <w:rsid w:val="00035B27"/>
    <w:rsid w:val="00035D5B"/>
    <w:rsid w:val="0003722A"/>
    <w:rsid w:val="00037B8C"/>
    <w:rsid w:val="0004016C"/>
    <w:rsid w:val="0004421B"/>
    <w:rsid w:val="00044FDD"/>
    <w:rsid w:val="00050BB7"/>
    <w:rsid w:val="000609B1"/>
    <w:rsid w:val="00061918"/>
    <w:rsid w:val="00062BBF"/>
    <w:rsid w:val="00065C67"/>
    <w:rsid w:val="00066237"/>
    <w:rsid w:val="0008131F"/>
    <w:rsid w:val="00081E47"/>
    <w:rsid w:val="000833C4"/>
    <w:rsid w:val="000851D6"/>
    <w:rsid w:val="0008775F"/>
    <w:rsid w:val="00090CF3"/>
    <w:rsid w:val="00092056"/>
    <w:rsid w:val="000A0A1E"/>
    <w:rsid w:val="000A2845"/>
    <w:rsid w:val="000A4860"/>
    <w:rsid w:val="000B1BA5"/>
    <w:rsid w:val="000B270D"/>
    <w:rsid w:val="000B51CA"/>
    <w:rsid w:val="000B67A8"/>
    <w:rsid w:val="000C17A7"/>
    <w:rsid w:val="000C4E74"/>
    <w:rsid w:val="000C557B"/>
    <w:rsid w:val="000D177F"/>
    <w:rsid w:val="000D1D58"/>
    <w:rsid w:val="000D2C02"/>
    <w:rsid w:val="000D3391"/>
    <w:rsid w:val="000D39E8"/>
    <w:rsid w:val="000D5149"/>
    <w:rsid w:val="000E0C28"/>
    <w:rsid w:val="000E5DAE"/>
    <w:rsid w:val="000F04D6"/>
    <w:rsid w:val="000F1BCF"/>
    <w:rsid w:val="000F47AB"/>
    <w:rsid w:val="000F5576"/>
    <w:rsid w:val="000F7C69"/>
    <w:rsid w:val="001048E9"/>
    <w:rsid w:val="00106784"/>
    <w:rsid w:val="001076BC"/>
    <w:rsid w:val="00107D4F"/>
    <w:rsid w:val="0011224C"/>
    <w:rsid w:val="00114219"/>
    <w:rsid w:val="00114783"/>
    <w:rsid w:val="0012181E"/>
    <w:rsid w:val="00127D1D"/>
    <w:rsid w:val="00132CEB"/>
    <w:rsid w:val="00133065"/>
    <w:rsid w:val="00134A99"/>
    <w:rsid w:val="00136C2E"/>
    <w:rsid w:val="00141F98"/>
    <w:rsid w:val="001428D9"/>
    <w:rsid w:val="001438CB"/>
    <w:rsid w:val="0015081F"/>
    <w:rsid w:val="001508DB"/>
    <w:rsid w:val="00151693"/>
    <w:rsid w:val="00151FB5"/>
    <w:rsid w:val="00152F0F"/>
    <w:rsid w:val="00153539"/>
    <w:rsid w:val="0015382B"/>
    <w:rsid w:val="00157FFC"/>
    <w:rsid w:val="001610FD"/>
    <w:rsid w:val="00161153"/>
    <w:rsid w:val="00162BF9"/>
    <w:rsid w:val="00162E84"/>
    <w:rsid w:val="00166D38"/>
    <w:rsid w:val="00171C0E"/>
    <w:rsid w:val="00172B59"/>
    <w:rsid w:val="00173C5A"/>
    <w:rsid w:val="00174495"/>
    <w:rsid w:val="001749FF"/>
    <w:rsid w:val="001754D5"/>
    <w:rsid w:val="001845CC"/>
    <w:rsid w:val="00184AD8"/>
    <w:rsid w:val="0018544C"/>
    <w:rsid w:val="001914AE"/>
    <w:rsid w:val="001914E5"/>
    <w:rsid w:val="00191503"/>
    <w:rsid w:val="001967F3"/>
    <w:rsid w:val="001A07C2"/>
    <w:rsid w:val="001A34CC"/>
    <w:rsid w:val="001A36BD"/>
    <w:rsid w:val="001A6E8A"/>
    <w:rsid w:val="001A7A9C"/>
    <w:rsid w:val="001B3052"/>
    <w:rsid w:val="001B40F0"/>
    <w:rsid w:val="001B68BE"/>
    <w:rsid w:val="001B6A1F"/>
    <w:rsid w:val="001B6C41"/>
    <w:rsid w:val="001B744D"/>
    <w:rsid w:val="001C04AA"/>
    <w:rsid w:val="001C45E3"/>
    <w:rsid w:val="001C5079"/>
    <w:rsid w:val="001C5DDC"/>
    <w:rsid w:val="001C5EE6"/>
    <w:rsid w:val="001D083D"/>
    <w:rsid w:val="001D2C52"/>
    <w:rsid w:val="001D6380"/>
    <w:rsid w:val="001D7877"/>
    <w:rsid w:val="001E3A64"/>
    <w:rsid w:val="001E3C28"/>
    <w:rsid w:val="001E6E15"/>
    <w:rsid w:val="001F22D8"/>
    <w:rsid w:val="001F3FD0"/>
    <w:rsid w:val="001F59F5"/>
    <w:rsid w:val="001F63C4"/>
    <w:rsid w:val="001F696C"/>
    <w:rsid w:val="00203E0C"/>
    <w:rsid w:val="00203F74"/>
    <w:rsid w:val="002066E6"/>
    <w:rsid w:val="002068E7"/>
    <w:rsid w:val="00207664"/>
    <w:rsid w:val="00216012"/>
    <w:rsid w:val="00216E5E"/>
    <w:rsid w:val="00217E0F"/>
    <w:rsid w:val="00225A82"/>
    <w:rsid w:val="00225BB1"/>
    <w:rsid w:val="0022647E"/>
    <w:rsid w:val="00227824"/>
    <w:rsid w:val="00232B2A"/>
    <w:rsid w:val="002337FB"/>
    <w:rsid w:val="002379AB"/>
    <w:rsid w:val="00242FF0"/>
    <w:rsid w:val="002446DF"/>
    <w:rsid w:val="002478E0"/>
    <w:rsid w:val="0025071A"/>
    <w:rsid w:val="0025193C"/>
    <w:rsid w:val="002519F3"/>
    <w:rsid w:val="00252A94"/>
    <w:rsid w:val="002558A3"/>
    <w:rsid w:val="002575F9"/>
    <w:rsid w:val="00257950"/>
    <w:rsid w:val="00260175"/>
    <w:rsid w:val="002607D3"/>
    <w:rsid w:val="00264F7B"/>
    <w:rsid w:val="00271C24"/>
    <w:rsid w:val="002724D3"/>
    <w:rsid w:val="00272673"/>
    <w:rsid w:val="00274778"/>
    <w:rsid w:val="00275783"/>
    <w:rsid w:val="0028086E"/>
    <w:rsid w:val="00283048"/>
    <w:rsid w:val="0028346C"/>
    <w:rsid w:val="00286573"/>
    <w:rsid w:val="00291FB4"/>
    <w:rsid w:val="002928D8"/>
    <w:rsid w:val="002941D3"/>
    <w:rsid w:val="002A36A8"/>
    <w:rsid w:val="002A4068"/>
    <w:rsid w:val="002A487C"/>
    <w:rsid w:val="002A4F20"/>
    <w:rsid w:val="002A58F6"/>
    <w:rsid w:val="002A63B7"/>
    <w:rsid w:val="002A7550"/>
    <w:rsid w:val="002A7CE2"/>
    <w:rsid w:val="002B03D2"/>
    <w:rsid w:val="002B0537"/>
    <w:rsid w:val="002B17EF"/>
    <w:rsid w:val="002B6770"/>
    <w:rsid w:val="002B7104"/>
    <w:rsid w:val="002C38CD"/>
    <w:rsid w:val="002C4940"/>
    <w:rsid w:val="002C4DB7"/>
    <w:rsid w:val="002C7AC7"/>
    <w:rsid w:val="002D0DE7"/>
    <w:rsid w:val="002D159C"/>
    <w:rsid w:val="002D17D3"/>
    <w:rsid w:val="002D5C6E"/>
    <w:rsid w:val="002E1FEE"/>
    <w:rsid w:val="002E3178"/>
    <w:rsid w:val="002E7035"/>
    <w:rsid w:val="002F1061"/>
    <w:rsid w:val="002F7726"/>
    <w:rsid w:val="002F77FE"/>
    <w:rsid w:val="00300794"/>
    <w:rsid w:val="003013E6"/>
    <w:rsid w:val="00303FD8"/>
    <w:rsid w:val="00304765"/>
    <w:rsid w:val="003047D6"/>
    <w:rsid w:val="00310EF1"/>
    <w:rsid w:val="0031354A"/>
    <w:rsid w:val="00323FF7"/>
    <w:rsid w:val="00325E4A"/>
    <w:rsid w:val="00327327"/>
    <w:rsid w:val="00333827"/>
    <w:rsid w:val="00334E91"/>
    <w:rsid w:val="00337F3E"/>
    <w:rsid w:val="0034736D"/>
    <w:rsid w:val="0035023C"/>
    <w:rsid w:val="003527E4"/>
    <w:rsid w:val="00355322"/>
    <w:rsid w:val="00356129"/>
    <w:rsid w:val="00361E07"/>
    <w:rsid w:val="0036207E"/>
    <w:rsid w:val="00366F7B"/>
    <w:rsid w:val="00373960"/>
    <w:rsid w:val="003760A6"/>
    <w:rsid w:val="003805CF"/>
    <w:rsid w:val="00382E03"/>
    <w:rsid w:val="00382F73"/>
    <w:rsid w:val="003830D9"/>
    <w:rsid w:val="00384365"/>
    <w:rsid w:val="00386ED5"/>
    <w:rsid w:val="003A062A"/>
    <w:rsid w:val="003A4791"/>
    <w:rsid w:val="003A49EB"/>
    <w:rsid w:val="003A5A2F"/>
    <w:rsid w:val="003A68B8"/>
    <w:rsid w:val="003A7008"/>
    <w:rsid w:val="003A7208"/>
    <w:rsid w:val="003B0190"/>
    <w:rsid w:val="003B0D4A"/>
    <w:rsid w:val="003B5E49"/>
    <w:rsid w:val="003C1FDA"/>
    <w:rsid w:val="003C5864"/>
    <w:rsid w:val="003C60AC"/>
    <w:rsid w:val="003E20E3"/>
    <w:rsid w:val="003E2667"/>
    <w:rsid w:val="003E4B5C"/>
    <w:rsid w:val="003E5E25"/>
    <w:rsid w:val="003F14C5"/>
    <w:rsid w:val="003F195E"/>
    <w:rsid w:val="003F4127"/>
    <w:rsid w:val="003F6D02"/>
    <w:rsid w:val="00402C62"/>
    <w:rsid w:val="00404664"/>
    <w:rsid w:val="00406DA4"/>
    <w:rsid w:val="00410E5E"/>
    <w:rsid w:val="00417C19"/>
    <w:rsid w:val="00421C16"/>
    <w:rsid w:val="00424566"/>
    <w:rsid w:val="004245B5"/>
    <w:rsid w:val="004273A8"/>
    <w:rsid w:val="004300A0"/>
    <w:rsid w:val="0043076B"/>
    <w:rsid w:val="00431D78"/>
    <w:rsid w:val="0043287F"/>
    <w:rsid w:val="00433C2C"/>
    <w:rsid w:val="0044016B"/>
    <w:rsid w:val="004425A7"/>
    <w:rsid w:val="004428FA"/>
    <w:rsid w:val="0045191E"/>
    <w:rsid w:val="0045197D"/>
    <w:rsid w:val="004560F4"/>
    <w:rsid w:val="00457CD9"/>
    <w:rsid w:val="004625F5"/>
    <w:rsid w:val="004626C5"/>
    <w:rsid w:val="004641F6"/>
    <w:rsid w:val="0046569E"/>
    <w:rsid w:val="00470A49"/>
    <w:rsid w:val="004737A7"/>
    <w:rsid w:val="00483CBF"/>
    <w:rsid w:val="00486BE9"/>
    <w:rsid w:val="0049037D"/>
    <w:rsid w:val="00491632"/>
    <w:rsid w:val="0049573B"/>
    <w:rsid w:val="00495A57"/>
    <w:rsid w:val="004A11BA"/>
    <w:rsid w:val="004A28BB"/>
    <w:rsid w:val="004B00D8"/>
    <w:rsid w:val="004B1021"/>
    <w:rsid w:val="004B1E35"/>
    <w:rsid w:val="004B2C16"/>
    <w:rsid w:val="004B64C2"/>
    <w:rsid w:val="004C16C5"/>
    <w:rsid w:val="004C23F5"/>
    <w:rsid w:val="004C4228"/>
    <w:rsid w:val="004C60B7"/>
    <w:rsid w:val="004D035C"/>
    <w:rsid w:val="004D20CE"/>
    <w:rsid w:val="004D50DB"/>
    <w:rsid w:val="004D6BBD"/>
    <w:rsid w:val="004E11B2"/>
    <w:rsid w:val="004F1375"/>
    <w:rsid w:val="004F16F2"/>
    <w:rsid w:val="004F2F76"/>
    <w:rsid w:val="004F3614"/>
    <w:rsid w:val="004F4915"/>
    <w:rsid w:val="0050520D"/>
    <w:rsid w:val="00516C1F"/>
    <w:rsid w:val="00520442"/>
    <w:rsid w:val="005211AE"/>
    <w:rsid w:val="00522DE9"/>
    <w:rsid w:val="005247A1"/>
    <w:rsid w:val="00526A74"/>
    <w:rsid w:val="00533F5F"/>
    <w:rsid w:val="0053490C"/>
    <w:rsid w:val="00535274"/>
    <w:rsid w:val="00536E20"/>
    <w:rsid w:val="00550780"/>
    <w:rsid w:val="005513DA"/>
    <w:rsid w:val="0055598C"/>
    <w:rsid w:val="00556909"/>
    <w:rsid w:val="0055799F"/>
    <w:rsid w:val="0056141A"/>
    <w:rsid w:val="00561622"/>
    <w:rsid w:val="005665B8"/>
    <w:rsid w:val="0056744E"/>
    <w:rsid w:val="00572B99"/>
    <w:rsid w:val="00573357"/>
    <w:rsid w:val="00576CE3"/>
    <w:rsid w:val="00580A94"/>
    <w:rsid w:val="005814B8"/>
    <w:rsid w:val="005825E8"/>
    <w:rsid w:val="00586B6F"/>
    <w:rsid w:val="00586CA3"/>
    <w:rsid w:val="00587007"/>
    <w:rsid w:val="00591065"/>
    <w:rsid w:val="005947C9"/>
    <w:rsid w:val="0059555C"/>
    <w:rsid w:val="00596370"/>
    <w:rsid w:val="005A34C1"/>
    <w:rsid w:val="005A4D4E"/>
    <w:rsid w:val="005A56B7"/>
    <w:rsid w:val="005A58D2"/>
    <w:rsid w:val="005B3B1B"/>
    <w:rsid w:val="005B516A"/>
    <w:rsid w:val="005C1244"/>
    <w:rsid w:val="005C177F"/>
    <w:rsid w:val="005C3334"/>
    <w:rsid w:val="005C3BC6"/>
    <w:rsid w:val="005C487E"/>
    <w:rsid w:val="005C4D86"/>
    <w:rsid w:val="005C62EC"/>
    <w:rsid w:val="005C664E"/>
    <w:rsid w:val="005D0931"/>
    <w:rsid w:val="005D17C9"/>
    <w:rsid w:val="005D5A46"/>
    <w:rsid w:val="005D7A1F"/>
    <w:rsid w:val="005E09EF"/>
    <w:rsid w:val="005E5735"/>
    <w:rsid w:val="005E7C56"/>
    <w:rsid w:val="005F11C8"/>
    <w:rsid w:val="005F2967"/>
    <w:rsid w:val="005F371C"/>
    <w:rsid w:val="005F646A"/>
    <w:rsid w:val="005F6A2E"/>
    <w:rsid w:val="005F7DC1"/>
    <w:rsid w:val="006016DF"/>
    <w:rsid w:val="00602AF2"/>
    <w:rsid w:val="00606217"/>
    <w:rsid w:val="00610530"/>
    <w:rsid w:val="00610B21"/>
    <w:rsid w:val="006159B2"/>
    <w:rsid w:val="00615C18"/>
    <w:rsid w:val="00616DE1"/>
    <w:rsid w:val="00616E22"/>
    <w:rsid w:val="00621AE5"/>
    <w:rsid w:val="00622159"/>
    <w:rsid w:val="0062352B"/>
    <w:rsid w:val="006245A1"/>
    <w:rsid w:val="00625549"/>
    <w:rsid w:val="00631781"/>
    <w:rsid w:val="00632DAB"/>
    <w:rsid w:val="006348A1"/>
    <w:rsid w:val="006360D6"/>
    <w:rsid w:val="00642462"/>
    <w:rsid w:val="006435D5"/>
    <w:rsid w:val="00643B19"/>
    <w:rsid w:val="00644E35"/>
    <w:rsid w:val="00645CD1"/>
    <w:rsid w:val="00647A0C"/>
    <w:rsid w:val="0065095F"/>
    <w:rsid w:val="0065111C"/>
    <w:rsid w:val="006514E9"/>
    <w:rsid w:val="00652749"/>
    <w:rsid w:val="0065379E"/>
    <w:rsid w:val="00654A9F"/>
    <w:rsid w:val="006570A3"/>
    <w:rsid w:val="006611A4"/>
    <w:rsid w:val="00664BAB"/>
    <w:rsid w:val="00665E07"/>
    <w:rsid w:val="006664CA"/>
    <w:rsid w:val="0066779F"/>
    <w:rsid w:val="00672291"/>
    <w:rsid w:val="006726B9"/>
    <w:rsid w:val="006828A5"/>
    <w:rsid w:val="00682AFF"/>
    <w:rsid w:val="00682E66"/>
    <w:rsid w:val="00686793"/>
    <w:rsid w:val="00691B6E"/>
    <w:rsid w:val="00694005"/>
    <w:rsid w:val="00694A6B"/>
    <w:rsid w:val="0069634E"/>
    <w:rsid w:val="00697A82"/>
    <w:rsid w:val="006A198B"/>
    <w:rsid w:val="006A509E"/>
    <w:rsid w:val="006A5F70"/>
    <w:rsid w:val="006B3417"/>
    <w:rsid w:val="006B4C5F"/>
    <w:rsid w:val="006C1726"/>
    <w:rsid w:val="006C4485"/>
    <w:rsid w:val="006C6698"/>
    <w:rsid w:val="006D10AE"/>
    <w:rsid w:val="006D788E"/>
    <w:rsid w:val="006E2499"/>
    <w:rsid w:val="006E3D12"/>
    <w:rsid w:val="006E7460"/>
    <w:rsid w:val="006E75C9"/>
    <w:rsid w:val="006F0E48"/>
    <w:rsid w:val="006F3175"/>
    <w:rsid w:val="006F5E12"/>
    <w:rsid w:val="0070370F"/>
    <w:rsid w:val="00705195"/>
    <w:rsid w:val="00705A0D"/>
    <w:rsid w:val="00705CAF"/>
    <w:rsid w:val="007132F6"/>
    <w:rsid w:val="007149ED"/>
    <w:rsid w:val="00717E79"/>
    <w:rsid w:val="00722849"/>
    <w:rsid w:val="0072321D"/>
    <w:rsid w:val="00723B50"/>
    <w:rsid w:val="00723C2C"/>
    <w:rsid w:val="007249FE"/>
    <w:rsid w:val="00730190"/>
    <w:rsid w:val="00730C4A"/>
    <w:rsid w:val="0073182B"/>
    <w:rsid w:val="00732941"/>
    <w:rsid w:val="007340D2"/>
    <w:rsid w:val="007342BB"/>
    <w:rsid w:val="00735DDC"/>
    <w:rsid w:val="007363FC"/>
    <w:rsid w:val="00740B22"/>
    <w:rsid w:val="0074264F"/>
    <w:rsid w:val="007427DD"/>
    <w:rsid w:val="00742DC6"/>
    <w:rsid w:val="0074387C"/>
    <w:rsid w:val="00744688"/>
    <w:rsid w:val="00746093"/>
    <w:rsid w:val="00747C7C"/>
    <w:rsid w:val="00750624"/>
    <w:rsid w:val="00751088"/>
    <w:rsid w:val="00752536"/>
    <w:rsid w:val="007535F6"/>
    <w:rsid w:val="00755FA3"/>
    <w:rsid w:val="00756389"/>
    <w:rsid w:val="00756D3F"/>
    <w:rsid w:val="007678E3"/>
    <w:rsid w:val="007717A9"/>
    <w:rsid w:val="007720E1"/>
    <w:rsid w:val="007742A3"/>
    <w:rsid w:val="00774FEB"/>
    <w:rsid w:val="0077560E"/>
    <w:rsid w:val="0077762D"/>
    <w:rsid w:val="007849F7"/>
    <w:rsid w:val="00784D3C"/>
    <w:rsid w:val="00792725"/>
    <w:rsid w:val="00795588"/>
    <w:rsid w:val="007A46A5"/>
    <w:rsid w:val="007C13F4"/>
    <w:rsid w:val="007C20BE"/>
    <w:rsid w:val="007C2E2D"/>
    <w:rsid w:val="007C2FA0"/>
    <w:rsid w:val="007C6FCE"/>
    <w:rsid w:val="007D63C8"/>
    <w:rsid w:val="007D6B56"/>
    <w:rsid w:val="007E17AD"/>
    <w:rsid w:val="007F0D40"/>
    <w:rsid w:val="007F1B3B"/>
    <w:rsid w:val="007F26F9"/>
    <w:rsid w:val="007F2CBF"/>
    <w:rsid w:val="007F548C"/>
    <w:rsid w:val="007F7670"/>
    <w:rsid w:val="00803015"/>
    <w:rsid w:val="008039F6"/>
    <w:rsid w:val="008042DF"/>
    <w:rsid w:val="00804CAE"/>
    <w:rsid w:val="008075D3"/>
    <w:rsid w:val="008076EE"/>
    <w:rsid w:val="00810D9F"/>
    <w:rsid w:val="00815A60"/>
    <w:rsid w:val="00816865"/>
    <w:rsid w:val="00817709"/>
    <w:rsid w:val="00820FD3"/>
    <w:rsid w:val="00832F91"/>
    <w:rsid w:val="00843217"/>
    <w:rsid w:val="008435CC"/>
    <w:rsid w:val="00851E43"/>
    <w:rsid w:val="00852879"/>
    <w:rsid w:val="00855040"/>
    <w:rsid w:val="00857003"/>
    <w:rsid w:val="0085799C"/>
    <w:rsid w:val="008635CF"/>
    <w:rsid w:val="00864850"/>
    <w:rsid w:val="00870C20"/>
    <w:rsid w:val="00871440"/>
    <w:rsid w:val="00871DAC"/>
    <w:rsid w:val="0087566D"/>
    <w:rsid w:val="00875EDC"/>
    <w:rsid w:val="00876969"/>
    <w:rsid w:val="00881EE4"/>
    <w:rsid w:val="008841FA"/>
    <w:rsid w:val="008857A7"/>
    <w:rsid w:val="0089197D"/>
    <w:rsid w:val="00895E06"/>
    <w:rsid w:val="008A0AB8"/>
    <w:rsid w:val="008A41E2"/>
    <w:rsid w:val="008A44B2"/>
    <w:rsid w:val="008A6461"/>
    <w:rsid w:val="008B434E"/>
    <w:rsid w:val="008B5698"/>
    <w:rsid w:val="008C0374"/>
    <w:rsid w:val="008C2220"/>
    <w:rsid w:val="008C350F"/>
    <w:rsid w:val="008C3EE4"/>
    <w:rsid w:val="008C4140"/>
    <w:rsid w:val="008C4CE1"/>
    <w:rsid w:val="008C4E11"/>
    <w:rsid w:val="008C613C"/>
    <w:rsid w:val="008D24C7"/>
    <w:rsid w:val="008D3333"/>
    <w:rsid w:val="008D4226"/>
    <w:rsid w:val="008D7349"/>
    <w:rsid w:val="008E10C9"/>
    <w:rsid w:val="008E4B57"/>
    <w:rsid w:val="008F0E37"/>
    <w:rsid w:val="008F1554"/>
    <w:rsid w:val="008F21BD"/>
    <w:rsid w:val="008F354E"/>
    <w:rsid w:val="008F6C59"/>
    <w:rsid w:val="008F7D5D"/>
    <w:rsid w:val="00902C14"/>
    <w:rsid w:val="00903163"/>
    <w:rsid w:val="009052FD"/>
    <w:rsid w:val="00910516"/>
    <w:rsid w:val="009125DE"/>
    <w:rsid w:val="00914873"/>
    <w:rsid w:val="009168B3"/>
    <w:rsid w:val="0092320E"/>
    <w:rsid w:val="00927E8F"/>
    <w:rsid w:val="0093626A"/>
    <w:rsid w:val="00942C73"/>
    <w:rsid w:val="0094520D"/>
    <w:rsid w:val="00946067"/>
    <w:rsid w:val="0094659C"/>
    <w:rsid w:val="00946DC7"/>
    <w:rsid w:val="00951630"/>
    <w:rsid w:val="00952D1B"/>
    <w:rsid w:val="00954069"/>
    <w:rsid w:val="0095770A"/>
    <w:rsid w:val="00962241"/>
    <w:rsid w:val="0096477A"/>
    <w:rsid w:val="0096765F"/>
    <w:rsid w:val="009701D5"/>
    <w:rsid w:val="0097776C"/>
    <w:rsid w:val="00980CB8"/>
    <w:rsid w:val="00982678"/>
    <w:rsid w:val="009832F2"/>
    <w:rsid w:val="0098335F"/>
    <w:rsid w:val="009849BA"/>
    <w:rsid w:val="00984C35"/>
    <w:rsid w:val="00986B64"/>
    <w:rsid w:val="00992492"/>
    <w:rsid w:val="009953AD"/>
    <w:rsid w:val="009974AD"/>
    <w:rsid w:val="009A1A2C"/>
    <w:rsid w:val="009A21AB"/>
    <w:rsid w:val="009A64C0"/>
    <w:rsid w:val="009A6563"/>
    <w:rsid w:val="009A6CCC"/>
    <w:rsid w:val="009A7A02"/>
    <w:rsid w:val="009B097E"/>
    <w:rsid w:val="009B14DD"/>
    <w:rsid w:val="009B183D"/>
    <w:rsid w:val="009B2239"/>
    <w:rsid w:val="009B28F7"/>
    <w:rsid w:val="009B59BB"/>
    <w:rsid w:val="009B7AF9"/>
    <w:rsid w:val="009C10AE"/>
    <w:rsid w:val="009C2153"/>
    <w:rsid w:val="009C2BCD"/>
    <w:rsid w:val="009C7D31"/>
    <w:rsid w:val="009C7FEC"/>
    <w:rsid w:val="009D1AF6"/>
    <w:rsid w:val="009D5056"/>
    <w:rsid w:val="009E6F5A"/>
    <w:rsid w:val="009E7171"/>
    <w:rsid w:val="009E7457"/>
    <w:rsid w:val="009F45BF"/>
    <w:rsid w:val="00A00BB5"/>
    <w:rsid w:val="00A01599"/>
    <w:rsid w:val="00A02550"/>
    <w:rsid w:val="00A05214"/>
    <w:rsid w:val="00A11CD2"/>
    <w:rsid w:val="00A12C9E"/>
    <w:rsid w:val="00A14727"/>
    <w:rsid w:val="00A163B5"/>
    <w:rsid w:val="00A204BF"/>
    <w:rsid w:val="00A22075"/>
    <w:rsid w:val="00A23A80"/>
    <w:rsid w:val="00A24C43"/>
    <w:rsid w:val="00A27CD5"/>
    <w:rsid w:val="00A30790"/>
    <w:rsid w:val="00A32837"/>
    <w:rsid w:val="00A35B22"/>
    <w:rsid w:val="00A37592"/>
    <w:rsid w:val="00A37C75"/>
    <w:rsid w:val="00A403AD"/>
    <w:rsid w:val="00A40702"/>
    <w:rsid w:val="00A40C6F"/>
    <w:rsid w:val="00A42245"/>
    <w:rsid w:val="00A44898"/>
    <w:rsid w:val="00A44B40"/>
    <w:rsid w:val="00A46E36"/>
    <w:rsid w:val="00A50AC0"/>
    <w:rsid w:val="00A5474B"/>
    <w:rsid w:val="00A62716"/>
    <w:rsid w:val="00A64AB1"/>
    <w:rsid w:val="00A64FC1"/>
    <w:rsid w:val="00A654B3"/>
    <w:rsid w:val="00A66EF4"/>
    <w:rsid w:val="00A673B8"/>
    <w:rsid w:val="00A71C4F"/>
    <w:rsid w:val="00A722AA"/>
    <w:rsid w:val="00A72F0E"/>
    <w:rsid w:val="00A8181B"/>
    <w:rsid w:val="00A83081"/>
    <w:rsid w:val="00A8379B"/>
    <w:rsid w:val="00A85B12"/>
    <w:rsid w:val="00A87B14"/>
    <w:rsid w:val="00A91207"/>
    <w:rsid w:val="00A961BE"/>
    <w:rsid w:val="00AA46EC"/>
    <w:rsid w:val="00AA6450"/>
    <w:rsid w:val="00AA6B69"/>
    <w:rsid w:val="00AB222D"/>
    <w:rsid w:val="00AB281C"/>
    <w:rsid w:val="00AB2950"/>
    <w:rsid w:val="00AB3B33"/>
    <w:rsid w:val="00AC11B0"/>
    <w:rsid w:val="00AC16A6"/>
    <w:rsid w:val="00AC2E12"/>
    <w:rsid w:val="00AC5D44"/>
    <w:rsid w:val="00AC67D9"/>
    <w:rsid w:val="00AD0113"/>
    <w:rsid w:val="00AD286A"/>
    <w:rsid w:val="00AD2CF8"/>
    <w:rsid w:val="00AD30EA"/>
    <w:rsid w:val="00AD4C87"/>
    <w:rsid w:val="00AD64BC"/>
    <w:rsid w:val="00AE0CF6"/>
    <w:rsid w:val="00AE2A7E"/>
    <w:rsid w:val="00AE3F27"/>
    <w:rsid w:val="00AE623A"/>
    <w:rsid w:val="00AE67BB"/>
    <w:rsid w:val="00AF0035"/>
    <w:rsid w:val="00AF03BB"/>
    <w:rsid w:val="00AF04B9"/>
    <w:rsid w:val="00AF1818"/>
    <w:rsid w:val="00AF3946"/>
    <w:rsid w:val="00AF50CF"/>
    <w:rsid w:val="00AF5D40"/>
    <w:rsid w:val="00B00F8F"/>
    <w:rsid w:val="00B0328F"/>
    <w:rsid w:val="00B03B2E"/>
    <w:rsid w:val="00B03D80"/>
    <w:rsid w:val="00B04D02"/>
    <w:rsid w:val="00B06D61"/>
    <w:rsid w:val="00B10E45"/>
    <w:rsid w:val="00B147AF"/>
    <w:rsid w:val="00B15BA4"/>
    <w:rsid w:val="00B21193"/>
    <w:rsid w:val="00B2587D"/>
    <w:rsid w:val="00B25EEB"/>
    <w:rsid w:val="00B35183"/>
    <w:rsid w:val="00B36E57"/>
    <w:rsid w:val="00B37C27"/>
    <w:rsid w:val="00B418DF"/>
    <w:rsid w:val="00B42C3C"/>
    <w:rsid w:val="00B432AA"/>
    <w:rsid w:val="00B433D3"/>
    <w:rsid w:val="00B47890"/>
    <w:rsid w:val="00B54B8D"/>
    <w:rsid w:val="00B57246"/>
    <w:rsid w:val="00B62975"/>
    <w:rsid w:val="00B654DC"/>
    <w:rsid w:val="00B722D1"/>
    <w:rsid w:val="00B75A00"/>
    <w:rsid w:val="00B76183"/>
    <w:rsid w:val="00B81C31"/>
    <w:rsid w:val="00B9025F"/>
    <w:rsid w:val="00B92670"/>
    <w:rsid w:val="00B9347D"/>
    <w:rsid w:val="00B9382E"/>
    <w:rsid w:val="00B960C5"/>
    <w:rsid w:val="00BA19E5"/>
    <w:rsid w:val="00BA4678"/>
    <w:rsid w:val="00BA5130"/>
    <w:rsid w:val="00BB0039"/>
    <w:rsid w:val="00BB15FF"/>
    <w:rsid w:val="00BB264F"/>
    <w:rsid w:val="00BB277D"/>
    <w:rsid w:val="00BC5EDA"/>
    <w:rsid w:val="00BC696D"/>
    <w:rsid w:val="00BD080F"/>
    <w:rsid w:val="00BD12E3"/>
    <w:rsid w:val="00BD44A5"/>
    <w:rsid w:val="00BD4785"/>
    <w:rsid w:val="00BD4A0E"/>
    <w:rsid w:val="00BE24A4"/>
    <w:rsid w:val="00BE38FE"/>
    <w:rsid w:val="00BE4998"/>
    <w:rsid w:val="00BE768C"/>
    <w:rsid w:val="00BE7854"/>
    <w:rsid w:val="00BF2E12"/>
    <w:rsid w:val="00BF3137"/>
    <w:rsid w:val="00BF3ED5"/>
    <w:rsid w:val="00BF44EC"/>
    <w:rsid w:val="00BF5856"/>
    <w:rsid w:val="00BF6CAD"/>
    <w:rsid w:val="00BF765D"/>
    <w:rsid w:val="00C01B9A"/>
    <w:rsid w:val="00C0279C"/>
    <w:rsid w:val="00C044D1"/>
    <w:rsid w:val="00C0608C"/>
    <w:rsid w:val="00C0712F"/>
    <w:rsid w:val="00C1401F"/>
    <w:rsid w:val="00C156CD"/>
    <w:rsid w:val="00C21ADB"/>
    <w:rsid w:val="00C2286E"/>
    <w:rsid w:val="00C24E91"/>
    <w:rsid w:val="00C25845"/>
    <w:rsid w:val="00C3112F"/>
    <w:rsid w:val="00C3245D"/>
    <w:rsid w:val="00C3286A"/>
    <w:rsid w:val="00C3391B"/>
    <w:rsid w:val="00C34FD3"/>
    <w:rsid w:val="00C37F66"/>
    <w:rsid w:val="00C41387"/>
    <w:rsid w:val="00C42DA5"/>
    <w:rsid w:val="00C44019"/>
    <w:rsid w:val="00C4495B"/>
    <w:rsid w:val="00C47448"/>
    <w:rsid w:val="00C52B4D"/>
    <w:rsid w:val="00C531DD"/>
    <w:rsid w:val="00C5430E"/>
    <w:rsid w:val="00C5478F"/>
    <w:rsid w:val="00C54E96"/>
    <w:rsid w:val="00C614B0"/>
    <w:rsid w:val="00C62FA9"/>
    <w:rsid w:val="00C6747F"/>
    <w:rsid w:val="00C73E30"/>
    <w:rsid w:val="00C80B07"/>
    <w:rsid w:val="00C822ED"/>
    <w:rsid w:val="00C83612"/>
    <w:rsid w:val="00C8445E"/>
    <w:rsid w:val="00C85469"/>
    <w:rsid w:val="00C900CE"/>
    <w:rsid w:val="00C94D9E"/>
    <w:rsid w:val="00C95269"/>
    <w:rsid w:val="00CA3FD8"/>
    <w:rsid w:val="00CA7943"/>
    <w:rsid w:val="00CB343F"/>
    <w:rsid w:val="00CB3B8E"/>
    <w:rsid w:val="00CB78BC"/>
    <w:rsid w:val="00CB7EDA"/>
    <w:rsid w:val="00CC118F"/>
    <w:rsid w:val="00CC332D"/>
    <w:rsid w:val="00CC4147"/>
    <w:rsid w:val="00CC54EB"/>
    <w:rsid w:val="00CC6BCB"/>
    <w:rsid w:val="00CD07F7"/>
    <w:rsid w:val="00CD0B30"/>
    <w:rsid w:val="00CD108C"/>
    <w:rsid w:val="00CD236F"/>
    <w:rsid w:val="00CD43E7"/>
    <w:rsid w:val="00CD7AFB"/>
    <w:rsid w:val="00CE26BC"/>
    <w:rsid w:val="00CE2C54"/>
    <w:rsid w:val="00CE2C61"/>
    <w:rsid w:val="00CE32E1"/>
    <w:rsid w:val="00CE3D09"/>
    <w:rsid w:val="00CF1BD5"/>
    <w:rsid w:val="00CF48C1"/>
    <w:rsid w:val="00D02600"/>
    <w:rsid w:val="00D03777"/>
    <w:rsid w:val="00D04935"/>
    <w:rsid w:val="00D142C3"/>
    <w:rsid w:val="00D15313"/>
    <w:rsid w:val="00D157E3"/>
    <w:rsid w:val="00D160A1"/>
    <w:rsid w:val="00D21FFF"/>
    <w:rsid w:val="00D2237C"/>
    <w:rsid w:val="00D23B25"/>
    <w:rsid w:val="00D25321"/>
    <w:rsid w:val="00D32510"/>
    <w:rsid w:val="00D32DB6"/>
    <w:rsid w:val="00D34E17"/>
    <w:rsid w:val="00D35FD7"/>
    <w:rsid w:val="00D41BF5"/>
    <w:rsid w:val="00D4758A"/>
    <w:rsid w:val="00D47964"/>
    <w:rsid w:val="00D5059F"/>
    <w:rsid w:val="00D5314F"/>
    <w:rsid w:val="00D572A9"/>
    <w:rsid w:val="00D63EBB"/>
    <w:rsid w:val="00D65924"/>
    <w:rsid w:val="00D67BEB"/>
    <w:rsid w:val="00D72C2B"/>
    <w:rsid w:val="00D765EA"/>
    <w:rsid w:val="00D773E3"/>
    <w:rsid w:val="00D80EE0"/>
    <w:rsid w:val="00D86DD1"/>
    <w:rsid w:val="00D91B24"/>
    <w:rsid w:val="00D952A3"/>
    <w:rsid w:val="00DA0E70"/>
    <w:rsid w:val="00DA1CC8"/>
    <w:rsid w:val="00DA2B74"/>
    <w:rsid w:val="00DA5602"/>
    <w:rsid w:val="00DA5762"/>
    <w:rsid w:val="00DA62CD"/>
    <w:rsid w:val="00DA6A61"/>
    <w:rsid w:val="00DA73A9"/>
    <w:rsid w:val="00DB0734"/>
    <w:rsid w:val="00DB0CC0"/>
    <w:rsid w:val="00DB3590"/>
    <w:rsid w:val="00DB4ED0"/>
    <w:rsid w:val="00DB53FE"/>
    <w:rsid w:val="00DC027A"/>
    <w:rsid w:val="00DC033A"/>
    <w:rsid w:val="00DC0376"/>
    <w:rsid w:val="00DC0E40"/>
    <w:rsid w:val="00DD2321"/>
    <w:rsid w:val="00DD32AE"/>
    <w:rsid w:val="00DD4B44"/>
    <w:rsid w:val="00DE1565"/>
    <w:rsid w:val="00DE1B37"/>
    <w:rsid w:val="00DE33F2"/>
    <w:rsid w:val="00DE4EE5"/>
    <w:rsid w:val="00DE5D84"/>
    <w:rsid w:val="00DE6A52"/>
    <w:rsid w:val="00DE7052"/>
    <w:rsid w:val="00DE73D8"/>
    <w:rsid w:val="00DF013C"/>
    <w:rsid w:val="00DF0727"/>
    <w:rsid w:val="00DF0961"/>
    <w:rsid w:val="00DF0FD8"/>
    <w:rsid w:val="00DF3E6A"/>
    <w:rsid w:val="00DF4515"/>
    <w:rsid w:val="00DF4628"/>
    <w:rsid w:val="00DF488F"/>
    <w:rsid w:val="00DF668A"/>
    <w:rsid w:val="00DF7E84"/>
    <w:rsid w:val="00E03B7A"/>
    <w:rsid w:val="00E03E08"/>
    <w:rsid w:val="00E04998"/>
    <w:rsid w:val="00E11951"/>
    <w:rsid w:val="00E2004A"/>
    <w:rsid w:val="00E243BC"/>
    <w:rsid w:val="00E2487F"/>
    <w:rsid w:val="00E268A9"/>
    <w:rsid w:val="00E3263A"/>
    <w:rsid w:val="00E34276"/>
    <w:rsid w:val="00E34BF0"/>
    <w:rsid w:val="00E40ECF"/>
    <w:rsid w:val="00E46922"/>
    <w:rsid w:val="00E56CF8"/>
    <w:rsid w:val="00E600D6"/>
    <w:rsid w:val="00E615CD"/>
    <w:rsid w:val="00E62DBE"/>
    <w:rsid w:val="00E805C0"/>
    <w:rsid w:val="00E809FB"/>
    <w:rsid w:val="00E8121E"/>
    <w:rsid w:val="00E85B05"/>
    <w:rsid w:val="00E91ED8"/>
    <w:rsid w:val="00E975BC"/>
    <w:rsid w:val="00EA49E5"/>
    <w:rsid w:val="00EA503C"/>
    <w:rsid w:val="00EA5CD0"/>
    <w:rsid w:val="00EB17C6"/>
    <w:rsid w:val="00EB5C26"/>
    <w:rsid w:val="00EC0556"/>
    <w:rsid w:val="00EC06FD"/>
    <w:rsid w:val="00EC0E49"/>
    <w:rsid w:val="00EC2B4B"/>
    <w:rsid w:val="00EC30DD"/>
    <w:rsid w:val="00EC3E3C"/>
    <w:rsid w:val="00EC5976"/>
    <w:rsid w:val="00EC7097"/>
    <w:rsid w:val="00EC74AD"/>
    <w:rsid w:val="00ED3173"/>
    <w:rsid w:val="00ED34DA"/>
    <w:rsid w:val="00ED4DBF"/>
    <w:rsid w:val="00ED59A4"/>
    <w:rsid w:val="00EE1EB4"/>
    <w:rsid w:val="00EE60A3"/>
    <w:rsid w:val="00EF2476"/>
    <w:rsid w:val="00EF54FA"/>
    <w:rsid w:val="00EF592B"/>
    <w:rsid w:val="00F018A6"/>
    <w:rsid w:val="00F01F2A"/>
    <w:rsid w:val="00F04C3E"/>
    <w:rsid w:val="00F07970"/>
    <w:rsid w:val="00F07D95"/>
    <w:rsid w:val="00F14D54"/>
    <w:rsid w:val="00F1600C"/>
    <w:rsid w:val="00F16B58"/>
    <w:rsid w:val="00F17A2C"/>
    <w:rsid w:val="00F24B6A"/>
    <w:rsid w:val="00F24D2E"/>
    <w:rsid w:val="00F24F42"/>
    <w:rsid w:val="00F31377"/>
    <w:rsid w:val="00F31AAD"/>
    <w:rsid w:val="00F32033"/>
    <w:rsid w:val="00F33578"/>
    <w:rsid w:val="00F3413C"/>
    <w:rsid w:val="00F36579"/>
    <w:rsid w:val="00F37938"/>
    <w:rsid w:val="00F40C88"/>
    <w:rsid w:val="00F41BA0"/>
    <w:rsid w:val="00F47443"/>
    <w:rsid w:val="00F503DE"/>
    <w:rsid w:val="00F5146B"/>
    <w:rsid w:val="00F52882"/>
    <w:rsid w:val="00F60FA3"/>
    <w:rsid w:val="00F6310D"/>
    <w:rsid w:val="00F64197"/>
    <w:rsid w:val="00F64AE8"/>
    <w:rsid w:val="00F658FA"/>
    <w:rsid w:val="00F73B8C"/>
    <w:rsid w:val="00F741A3"/>
    <w:rsid w:val="00F75724"/>
    <w:rsid w:val="00F86EA1"/>
    <w:rsid w:val="00F9391A"/>
    <w:rsid w:val="00F953CC"/>
    <w:rsid w:val="00F968E2"/>
    <w:rsid w:val="00F96A3E"/>
    <w:rsid w:val="00FA0817"/>
    <w:rsid w:val="00FA0F5D"/>
    <w:rsid w:val="00FA180B"/>
    <w:rsid w:val="00FA1A5F"/>
    <w:rsid w:val="00FA4E11"/>
    <w:rsid w:val="00FA7213"/>
    <w:rsid w:val="00FA7C9D"/>
    <w:rsid w:val="00FB0C6C"/>
    <w:rsid w:val="00FB4918"/>
    <w:rsid w:val="00FB50E8"/>
    <w:rsid w:val="00FB5AD6"/>
    <w:rsid w:val="00FB7C87"/>
    <w:rsid w:val="00FC0465"/>
    <w:rsid w:val="00FC1651"/>
    <w:rsid w:val="00FC3F9E"/>
    <w:rsid w:val="00FD29C1"/>
    <w:rsid w:val="00FE032C"/>
    <w:rsid w:val="00FE1B9F"/>
    <w:rsid w:val="00FF15E3"/>
    <w:rsid w:val="00FF4814"/>
    <w:rsid w:val="00FF4A47"/>
    <w:rsid w:val="00FF53AC"/>
    <w:rsid w:val="00FF5A21"/>
    <w:rsid w:val="019C4B20"/>
    <w:rsid w:val="04380260"/>
    <w:rsid w:val="054B0D36"/>
    <w:rsid w:val="0E2A3DFD"/>
    <w:rsid w:val="14690C2E"/>
    <w:rsid w:val="14ED1FA1"/>
    <w:rsid w:val="15EE4A2C"/>
    <w:rsid w:val="1C413A69"/>
    <w:rsid w:val="1CDB2263"/>
    <w:rsid w:val="1D0806B4"/>
    <w:rsid w:val="1FD55EE5"/>
    <w:rsid w:val="227206DD"/>
    <w:rsid w:val="25B77795"/>
    <w:rsid w:val="264C40F2"/>
    <w:rsid w:val="28A644D9"/>
    <w:rsid w:val="291C6258"/>
    <w:rsid w:val="2B5B5A37"/>
    <w:rsid w:val="341F59D2"/>
    <w:rsid w:val="34472996"/>
    <w:rsid w:val="35766676"/>
    <w:rsid w:val="481C72B7"/>
    <w:rsid w:val="4C185DE5"/>
    <w:rsid w:val="4CA065C6"/>
    <w:rsid w:val="514E4E2E"/>
    <w:rsid w:val="546E7DA2"/>
    <w:rsid w:val="5D182F56"/>
    <w:rsid w:val="5E2C3D29"/>
    <w:rsid w:val="645D0073"/>
    <w:rsid w:val="6746713E"/>
    <w:rsid w:val="6BD65968"/>
    <w:rsid w:val="6C146FD5"/>
    <w:rsid w:val="6CFF50BF"/>
    <w:rsid w:val="6D1434FB"/>
    <w:rsid w:val="6F4F053D"/>
    <w:rsid w:val="7F156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styleId="3">
    <w:name w:val="heading 1"/>
    <w:basedOn w:val="1"/>
    <w:next w:val="1"/>
    <w:link w:val="24"/>
    <w:qFormat/>
    <w:uiPriority w:val="0"/>
    <w:pPr>
      <w:spacing w:line="560" w:lineRule="exact"/>
      <w:ind w:firstLine="200" w:firstLineChars="200"/>
      <w:outlineLvl w:val="0"/>
    </w:pPr>
    <w:rPr>
      <w:rFonts w:ascii="黑体" w:hAnsi="黑体" w:eastAsia="黑体" w:cs="仿宋_GB2312"/>
      <w:sz w:val="32"/>
      <w:szCs w:val="32"/>
    </w:rPr>
  </w:style>
  <w:style w:type="paragraph" w:styleId="4">
    <w:name w:val="heading 2"/>
    <w:basedOn w:val="1"/>
    <w:next w:val="1"/>
    <w:link w:val="45"/>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5"/>
    <w:semiHidden/>
    <w:unhideWhenUsed/>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2">
    <w:name w:val="Plain Text"/>
    <w:next w:val="1"/>
    <w:qFormat/>
    <w:uiPriority w:val="0"/>
    <w:pPr>
      <w:widowControl w:val="0"/>
      <w:spacing w:after="160" w:line="278" w:lineRule="auto"/>
      <w:jc w:val="both"/>
    </w:pPr>
    <w:rPr>
      <w:rFonts w:ascii="宋体" w:hAnsi="Courier New" w:eastAsia="宋体" w:cs="Times New Roman"/>
      <w:kern w:val="2"/>
      <w:sz w:val="21"/>
      <w:lang w:val="en-US" w:eastAsia="zh-CN" w:bidi="ar-SA"/>
    </w:rPr>
  </w:style>
  <w:style w:type="paragraph" w:styleId="6">
    <w:name w:val="Normal Indent"/>
    <w:basedOn w:val="1"/>
    <w:qFormat/>
    <w:uiPriority w:val="0"/>
    <w:pPr>
      <w:spacing w:line="560" w:lineRule="exact"/>
      <w:ind w:firstLine="880" w:firstLineChars="200"/>
    </w:pPr>
    <w:rPr>
      <w:rFonts w:ascii="Times New Roman" w:hAnsi="Times New Roman" w:eastAsia="仿宋_GB2312"/>
      <w:sz w:val="32"/>
      <w:szCs w:val="22"/>
    </w:rPr>
  </w:style>
  <w:style w:type="paragraph" w:styleId="7">
    <w:name w:val="annotation text"/>
    <w:basedOn w:val="1"/>
    <w:link w:val="49"/>
    <w:qFormat/>
    <w:uiPriority w:val="0"/>
    <w:pPr>
      <w:spacing w:line="560" w:lineRule="exact"/>
    </w:pPr>
    <w:rPr>
      <w:rFonts w:eastAsia="仿宋_GB2312"/>
      <w:sz w:val="32"/>
      <w:szCs w:val="32"/>
    </w:rPr>
  </w:style>
  <w:style w:type="paragraph" w:styleId="8">
    <w:name w:val="Body Text"/>
    <w:basedOn w:val="1"/>
    <w:next w:val="9"/>
    <w:qFormat/>
    <w:uiPriority w:val="0"/>
    <w:pPr>
      <w:spacing w:line="480" w:lineRule="auto"/>
      <w:jc w:val="center"/>
    </w:pPr>
    <w:rPr>
      <w:rFonts w:ascii="宋体"/>
      <w:b/>
      <w:sz w:val="72"/>
      <w:szCs w:val="20"/>
    </w:rPr>
  </w:style>
  <w:style w:type="paragraph" w:customStyle="1" w:styleId="9">
    <w:name w:val="目录 11"/>
    <w:next w:val="1"/>
    <w:qFormat/>
    <w:uiPriority w:val="0"/>
    <w:pPr>
      <w:wordWrap w:val="0"/>
      <w:spacing w:after="160" w:line="278" w:lineRule="auto"/>
      <w:jc w:val="both"/>
    </w:pPr>
    <w:rPr>
      <w:rFonts w:ascii="Times New Roman" w:hAnsi="Times New Roman" w:eastAsia="宋体" w:cs="Times New Roman"/>
      <w:sz w:val="21"/>
      <w:szCs w:val="22"/>
      <w:lang w:val="en-US" w:eastAsia="zh-CN" w:bidi="ar-SA"/>
    </w:rPr>
  </w:style>
  <w:style w:type="paragraph" w:styleId="10">
    <w:name w:val="toc 3"/>
    <w:basedOn w:val="1"/>
    <w:next w:val="1"/>
    <w:qFormat/>
    <w:uiPriority w:val="39"/>
    <w:pPr>
      <w:ind w:left="840" w:leftChars="400"/>
    </w:pPr>
  </w:style>
  <w:style w:type="paragraph" w:styleId="11">
    <w:name w:val="Date"/>
    <w:basedOn w:val="1"/>
    <w:next w:val="1"/>
    <w:link w:val="37"/>
    <w:qFormat/>
    <w:uiPriority w:val="0"/>
    <w:pPr>
      <w:ind w:left="100" w:leftChars="2500"/>
    </w:pPr>
  </w:style>
  <w:style w:type="paragraph" w:styleId="12">
    <w:name w:val="footer"/>
    <w:basedOn w:val="1"/>
    <w:link w:val="43"/>
    <w:qFormat/>
    <w:uiPriority w:val="0"/>
    <w:pPr>
      <w:tabs>
        <w:tab w:val="center" w:pos="4153"/>
        <w:tab w:val="right" w:pos="8306"/>
      </w:tabs>
      <w:snapToGrid w:val="0"/>
      <w:jc w:val="left"/>
    </w:pPr>
    <w:rPr>
      <w:sz w:val="18"/>
    </w:rPr>
  </w:style>
  <w:style w:type="paragraph" w:styleId="13">
    <w:name w:val="header"/>
    <w:basedOn w:val="1"/>
    <w:link w:val="4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39"/>
    <w:pPr>
      <w:tabs>
        <w:tab w:val="right" w:leader="dot" w:pos="8835"/>
      </w:tabs>
    </w:pPr>
    <w:rPr>
      <w:rFonts w:ascii="黑体" w:hAnsi="黑体" w:eastAsia="黑体"/>
      <w:sz w:val="32"/>
      <w:szCs w:val="40"/>
    </w:rPr>
  </w:style>
  <w:style w:type="paragraph" w:styleId="15">
    <w:name w:val="toc 2"/>
    <w:basedOn w:val="1"/>
    <w:next w:val="1"/>
    <w:qFormat/>
    <w:uiPriority w:val="39"/>
    <w:pPr>
      <w:tabs>
        <w:tab w:val="right" w:leader="dot" w:pos="8835"/>
      </w:tabs>
      <w:ind w:left="420" w:leftChars="200"/>
      <w:jc w:val="left"/>
    </w:pPr>
  </w:style>
  <w:style w:type="paragraph" w:styleId="16">
    <w:name w:val="Normal (Web)"/>
    <w:basedOn w:val="1"/>
    <w:unhideWhenUsed/>
    <w:uiPriority w:val="99"/>
    <w:pPr>
      <w:widowControl/>
      <w:spacing w:before="100" w:beforeAutospacing="1" w:after="100" w:afterAutospacing="1"/>
      <w:jc w:val="left"/>
    </w:pPr>
    <w:rPr>
      <w:rFonts w:ascii="宋体" w:hAnsi="宋体" w:cs="宋体"/>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Hyperlink"/>
    <w:basedOn w:val="19"/>
    <w:unhideWhenUsed/>
    <w:qFormat/>
    <w:uiPriority w:val="99"/>
    <w:rPr>
      <w:color w:val="467886" w:themeColor="hyperlink"/>
      <w:u w:val="single"/>
      <w14:textFill>
        <w14:solidFill>
          <w14:schemeClr w14:val="hlink"/>
        </w14:solidFill>
      </w14:textFill>
    </w:rPr>
  </w:style>
  <w:style w:type="character" w:styleId="22">
    <w:name w:val="annotation reference"/>
    <w:basedOn w:val="19"/>
    <w:qFormat/>
    <w:uiPriority w:val="0"/>
    <w:rPr>
      <w:sz w:val="21"/>
      <w:szCs w:val="21"/>
    </w:rPr>
  </w:style>
  <w:style w:type="paragraph" w:styleId="23">
    <w:name w:val="List Paragraph"/>
    <w:basedOn w:val="1"/>
    <w:qFormat/>
    <w:uiPriority w:val="34"/>
    <w:pPr>
      <w:ind w:firstLine="420" w:firstLineChars="200"/>
    </w:pPr>
  </w:style>
  <w:style w:type="character" w:customStyle="1" w:styleId="24">
    <w:name w:val="标题 1 字符"/>
    <w:link w:val="3"/>
    <w:qFormat/>
    <w:uiPriority w:val="0"/>
    <w:rPr>
      <w:rFonts w:ascii="黑体" w:hAnsi="黑体" w:eastAsia="黑体" w:cs="仿宋_GB2312"/>
      <w:kern w:val="2"/>
      <w:sz w:val="32"/>
      <w:szCs w:val="32"/>
    </w:rPr>
  </w:style>
  <w:style w:type="character" w:customStyle="1" w:styleId="25">
    <w:name w:val="标题 3 字符"/>
    <w:link w:val="5"/>
    <w:semiHidden/>
    <w:uiPriority w:val="0"/>
    <w:rPr>
      <w:b/>
      <w:bCs/>
      <w:kern w:val="2"/>
      <w:sz w:val="32"/>
      <w:szCs w:val="32"/>
    </w:rPr>
  </w:style>
  <w:style w:type="paragraph" w:customStyle="1" w:styleId="26">
    <w:name w:val="Y第一章"/>
    <w:basedOn w:val="1"/>
    <w:link w:val="27"/>
    <w:qFormat/>
    <w:uiPriority w:val="0"/>
    <w:pPr>
      <w:pageBreakBefore/>
      <w:spacing w:line="680" w:lineRule="exact"/>
      <w:jc w:val="center"/>
      <w:outlineLvl w:val="0"/>
    </w:pPr>
    <w:rPr>
      <w:rFonts w:ascii="方正小标宋简体" w:hAnsi="方正小标宋简体" w:eastAsia="方正小标宋简体" w:cs="方正小标宋简体"/>
      <w:sz w:val="36"/>
      <w:szCs w:val="36"/>
    </w:rPr>
  </w:style>
  <w:style w:type="character" w:customStyle="1" w:styleId="27">
    <w:name w:val="Y第一章 字符"/>
    <w:basedOn w:val="19"/>
    <w:link w:val="26"/>
    <w:qFormat/>
    <w:uiPriority w:val="0"/>
    <w:rPr>
      <w:rFonts w:ascii="方正小标宋简体" w:hAnsi="方正小标宋简体" w:eastAsia="方正小标宋简体" w:cs="方正小标宋简体"/>
      <w:kern w:val="2"/>
      <w:sz w:val="36"/>
      <w:szCs w:val="36"/>
    </w:rPr>
  </w:style>
  <w:style w:type="paragraph" w:customStyle="1" w:styleId="28">
    <w:name w:val="Y样式一"/>
    <w:basedOn w:val="1"/>
    <w:link w:val="29"/>
    <w:qFormat/>
    <w:uiPriority w:val="0"/>
    <w:pPr>
      <w:numPr>
        <w:ilvl w:val="0"/>
        <w:numId w:val="1"/>
      </w:numPr>
      <w:spacing w:line="600" w:lineRule="exact"/>
      <w:ind w:left="0" w:firstLine="0"/>
      <w:jc w:val="center"/>
      <w:outlineLvl w:val="0"/>
    </w:pPr>
    <w:rPr>
      <w:rFonts w:ascii="黑体" w:hAnsi="黑体" w:eastAsia="黑体" w:cs="黑体"/>
      <w:sz w:val="32"/>
      <w:szCs w:val="32"/>
    </w:rPr>
  </w:style>
  <w:style w:type="character" w:customStyle="1" w:styleId="29">
    <w:name w:val="Y样式一 字符"/>
    <w:basedOn w:val="19"/>
    <w:link w:val="28"/>
    <w:qFormat/>
    <w:uiPriority w:val="0"/>
    <w:rPr>
      <w:rFonts w:ascii="黑体" w:hAnsi="黑体" w:eastAsia="黑体" w:cs="黑体"/>
      <w:kern w:val="2"/>
      <w:sz w:val="32"/>
      <w:szCs w:val="32"/>
    </w:rPr>
  </w:style>
  <w:style w:type="paragraph" w:customStyle="1" w:styleId="30">
    <w:name w:val="Y正文"/>
    <w:link w:val="35"/>
    <w:qFormat/>
    <w:uiPriority w:val="0"/>
    <w:pPr>
      <w:spacing w:after="160" w:line="600" w:lineRule="exact"/>
      <w:ind w:firstLine="640" w:firstLineChars="200"/>
      <w:jc w:val="both"/>
    </w:pPr>
    <w:rPr>
      <w:rFonts w:ascii="仿宋_GB2312" w:hAnsi="仿宋_GB2312" w:eastAsia="仿宋_GB2312" w:cs="仿宋_GB2312"/>
      <w:kern w:val="2"/>
      <w:sz w:val="32"/>
      <w:szCs w:val="32"/>
      <w:lang w:val="en-US" w:eastAsia="zh-CN" w:bidi="ar-SA"/>
    </w:rPr>
  </w:style>
  <w:style w:type="paragraph" w:customStyle="1" w:styleId="31">
    <w:name w:val="Y样式（一）"/>
    <w:basedOn w:val="1"/>
    <w:next w:val="32"/>
    <w:link w:val="33"/>
    <w:qFormat/>
    <w:uiPriority w:val="0"/>
    <w:pPr>
      <w:numPr>
        <w:ilvl w:val="0"/>
        <w:numId w:val="2"/>
      </w:numPr>
      <w:spacing w:line="600" w:lineRule="exact"/>
      <w:ind w:left="0" w:firstLine="640" w:firstLineChars="200"/>
      <w:jc w:val="left"/>
      <w:outlineLvl w:val="1"/>
    </w:pPr>
    <w:rPr>
      <w:rFonts w:ascii="楷体_GB2312" w:hAnsi="楷体_GB2312" w:eastAsia="楷体_GB2312" w:cs="楷体_GB2312"/>
      <w:b/>
      <w:sz w:val="32"/>
      <w:szCs w:val="32"/>
    </w:rPr>
  </w:style>
  <w:style w:type="paragraph" w:customStyle="1" w:styleId="32">
    <w:name w:val="Y样式1."/>
    <w:basedOn w:val="1"/>
    <w:next w:val="30"/>
    <w:qFormat/>
    <w:uiPriority w:val="0"/>
    <w:pPr>
      <w:numPr>
        <w:ilvl w:val="0"/>
        <w:numId w:val="3"/>
      </w:numPr>
      <w:tabs>
        <w:tab w:val="left" w:pos="993"/>
      </w:tabs>
      <w:spacing w:line="600" w:lineRule="exact"/>
      <w:jc w:val="left"/>
      <w:outlineLvl w:val="2"/>
    </w:pPr>
    <w:rPr>
      <w:rFonts w:ascii="仿宋_GB2312" w:hAnsi="仿宋_GB2312" w:eastAsia="仿宋_GB2312" w:cs="仿宋_GB2312"/>
      <w:b/>
      <w:bCs/>
      <w:sz w:val="32"/>
      <w:szCs w:val="32"/>
    </w:rPr>
  </w:style>
  <w:style w:type="character" w:customStyle="1" w:styleId="33">
    <w:name w:val="Y样式（一） 字符"/>
    <w:basedOn w:val="19"/>
    <w:link w:val="31"/>
    <w:qFormat/>
    <w:uiPriority w:val="0"/>
    <w:rPr>
      <w:rFonts w:ascii="楷体_GB2312" w:hAnsi="楷体_GB2312" w:eastAsia="楷体_GB2312" w:cs="楷体_GB2312"/>
      <w:b/>
      <w:kern w:val="2"/>
      <w:sz w:val="32"/>
      <w:szCs w:val="32"/>
    </w:rPr>
  </w:style>
  <w:style w:type="paragraph" w:customStyle="1" w:styleId="34">
    <w:name w:val="Y标题1."/>
    <w:qFormat/>
    <w:uiPriority w:val="0"/>
    <w:pPr>
      <w:numPr>
        <w:ilvl w:val="0"/>
        <w:numId w:val="4"/>
      </w:numPr>
      <w:spacing w:before="50" w:beforeLines="50" w:after="160" w:line="560" w:lineRule="exact"/>
      <w:ind w:left="431" w:hanging="442"/>
      <w:outlineLvl w:val="2"/>
    </w:pPr>
    <w:rPr>
      <w:rFonts w:ascii="楷体_GB2312" w:hAnsi="楷体_GB2312" w:eastAsia="楷体_GB2312" w:cs="楷体_GB2312"/>
      <w:kern w:val="2"/>
      <w:sz w:val="32"/>
      <w:szCs w:val="32"/>
      <w:lang w:val="en-US" w:eastAsia="zh-CN" w:bidi="ar-SA"/>
    </w:rPr>
  </w:style>
  <w:style w:type="character" w:customStyle="1" w:styleId="35">
    <w:name w:val="Y正文 Char"/>
    <w:basedOn w:val="19"/>
    <w:link w:val="30"/>
    <w:qFormat/>
    <w:uiPriority w:val="0"/>
    <w:rPr>
      <w:rFonts w:ascii="仿宋_GB2312" w:hAnsi="仿宋_GB2312" w:eastAsia="仿宋_GB2312" w:cs="仿宋_GB2312"/>
      <w:kern w:val="2"/>
      <w:sz w:val="32"/>
      <w:szCs w:val="32"/>
    </w:rPr>
  </w:style>
  <w:style w:type="character" w:customStyle="1" w:styleId="36">
    <w:name w:val="NormalCharacter"/>
    <w:uiPriority w:val="0"/>
  </w:style>
  <w:style w:type="character" w:customStyle="1" w:styleId="37">
    <w:name w:val="日期 字符"/>
    <w:basedOn w:val="19"/>
    <w:link w:val="11"/>
    <w:uiPriority w:val="0"/>
    <w:rPr>
      <w:kern w:val="2"/>
      <w:sz w:val="21"/>
      <w:szCs w:val="24"/>
    </w:rPr>
  </w:style>
  <w:style w:type="paragraph" w:customStyle="1" w:styleId="38">
    <w:name w:val="Y标题一"/>
    <w:uiPriority w:val="0"/>
    <w:pPr>
      <w:spacing w:before="50" w:beforeLines="50" w:after="50" w:afterLines="50" w:line="680" w:lineRule="exact"/>
      <w:outlineLvl w:val="0"/>
    </w:pPr>
    <w:rPr>
      <w:rFonts w:ascii="方正小标宋简体" w:hAnsi="方正小标宋简体" w:eastAsia="方正小标宋简体" w:cs="方正小标宋简体"/>
      <w:kern w:val="2"/>
      <w:sz w:val="36"/>
      <w:szCs w:val="36"/>
      <w:lang w:val="en-US" w:eastAsia="zh-CN" w:bidi="ar-SA"/>
    </w:rPr>
  </w:style>
  <w:style w:type="paragraph" w:customStyle="1" w:styleId="39">
    <w:name w:val="Y标题（一）"/>
    <w:uiPriority w:val="0"/>
    <w:pPr>
      <w:spacing w:before="50" w:beforeLines="50" w:after="50" w:afterLines="50" w:line="680" w:lineRule="exact"/>
      <w:outlineLvl w:val="1"/>
    </w:pPr>
    <w:rPr>
      <w:rFonts w:ascii="黑体" w:hAnsi="黑体" w:eastAsia="黑体" w:cs="黑体"/>
      <w:kern w:val="2"/>
      <w:sz w:val="32"/>
      <w:szCs w:val="32"/>
      <w:lang w:val="en-US" w:eastAsia="zh-CN" w:bidi="ar-SA"/>
    </w:rPr>
  </w:style>
  <w:style w:type="paragraph" w:customStyle="1" w:styleId="40">
    <w:name w:val="ds-markdown-paragraph"/>
    <w:basedOn w:val="1"/>
    <w:qFormat/>
    <w:uiPriority w:val="0"/>
    <w:pPr>
      <w:widowControl/>
      <w:spacing w:before="100" w:beforeAutospacing="1" w:after="100" w:afterAutospacing="1"/>
      <w:jc w:val="left"/>
    </w:pPr>
    <w:rPr>
      <w:rFonts w:ascii="宋体" w:hAnsi="宋体" w:cs="宋体"/>
      <w:kern w:val="0"/>
      <w:sz w:val="24"/>
    </w:rPr>
  </w:style>
  <w:style w:type="paragraph" w:styleId="41">
    <w:name w:val="Quote"/>
    <w:basedOn w:val="1"/>
    <w:next w:val="1"/>
    <w:link w:val="42"/>
    <w:qFormat/>
    <w:uiPriority w:val="29"/>
    <w:pPr>
      <w:spacing w:before="160"/>
      <w:jc w:val="center"/>
    </w:pPr>
    <w:rPr>
      <w:rFonts w:asciiTheme="minorHAnsi" w:hAnsiTheme="minorHAnsi" w:eastAsiaTheme="minorEastAsia" w:cstheme="minorBidi"/>
      <w:i/>
      <w:iCs/>
      <w:color w:val="404040" w:themeColor="text1" w:themeTint="BF"/>
      <w:szCs w:val="22"/>
      <w14:textFill>
        <w14:solidFill>
          <w14:schemeClr w14:val="tx1">
            <w14:lumMod w14:val="75000"/>
            <w14:lumOff w14:val="25000"/>
          </w14:schemeClr>
        </w14:solidFill>
      </w14:textFill>
      <w14:ligatures w14:val="standardContextual"/>
    </w:rPr>
  </w:style>
  <w:style w:type="character" w:customStyle="1" w:styleId="42">
    <w:name w:val="引用 字符"/>
    <w:basedOn w:val="19"/>
    <w:link w:val="41"/>
    <w:qFormat/>
    <w:uiPriority w:val="29"/>
    <w:rPr>
      <w:rFonts w:asciiTheme="minorHAnsi" w:hAnsiTheme="minorHAnsi" w:eastAsiaTheme="minorEastAsia" w:cstheme="minorBidi"/>
      <w:i/>
      <w:iCs/>
      <w:color w:val="404040" w:themeColor="text1" w:themeTint="BF"/>
      <w:kern w:val="2"/>
      <w:sz w:val="21"/>
      <w:szCs w:val="22"/>
      <w14:textFill>
        <w14:solidFill>
          <w14:schemeClr w14:val="tx1">
            <w14:lumMod w14:val="75000"/>
            <w14:lumOff w14:val="25000"/>
          </w14:schemeClr>
        </w14:solidFill>
      </w14:textFill>
      <w14:ligatures w14:val="standardContextual"/>
    </w:rPr>
  </w:style>
  <w:style w:type="character" w:customStyle="1" w:styleId="43">
    <w:name w:val="页脚 字符"/>
    <w:basedOn w:val="19"/>
    <w:link w:val="12"/>
    <w:qFormat/>
    <w:uiPriority w:val="0"/>
    <w:rPr>
      <w:kern w:val="2"/>
      <w:sz w:val="18"/>
      <w:szCs w:val="24"/>
    </w:rPr>
  </w:style>
  <w:style w:type="character" w:customStyle="1" w:styleId="44">
    <w:name w:val="页眉 字符"/>
    <w:basedOn w:val="19"/>
    <w:link w:val="13"/>
    <w:qFormat/>
    <w:uiPriority w:val="99"/>
    <w:rPr>
      <w:kern w:val="2"/>
      <w:sz w:val="18"/>
      <w:szCs w:val="24"/>
    </w:rPr>
  </w:style>
  <w:style w:type="character" w:customStyle="1" w:styleId="45">
    <w:name w:val="标题 2 字符"/>
    <w:basedOn w:val="19"/>
    <w:link w:val="4"/>
    <w:semiHidden/>
    <w:qFormat/>
    <w:uiPriority w:val="0"/>
    <w:rPr>
      <w:rFonts w:asciiTheme="majorHAnsi" w:hAnsiTheme="majorHAnsi" w:eastAsiaTheme="majorEastAsia" w:cstheme="majorBidi"/>
      <w:b/>
      <w:bCs/>
      <w:kern w:val="2"/>
      <w:sz w:val="32"/>
      <w:szCs w:val="32"/>
    </w:rPr>
  </w:style>
  <w:style w:type="paragraph" w:customStyle="1" w:styleId="46">
    <w:name w:val="Y样式第一章"/>
    <w:next w:val="1"/>
    <w:qFormat/>
    <w:uiPriority w:val="0"/>
    <w:pPr>
      <w:pageBreakBefore/>
      <w:spacing w:after="326" w:afterLines="100" w:line="278" w:lineRule="auto"/>
      <w:ind w:left="4679"/>
      <w:jc w:val="center"/>
      <w:outlineLvl w:val="0"/>
    </w:pPr>
    <w:rPr>
      <w:rFonts w:ascii="Calibri" w:hAnsi="Calibri" w:eastAsia="黑体" w:cs="Times New Roman"/>
      <w:b/>
      <w:kern w:val="2"/>
      <w:sz w:val="32"/>
      <w:szCs w:val="30"/>
      <w:lang w:val="en-US" w:eastAsia="zh-CN" w:bidi="ar-SA"/>
    </w:rPr>
  </w:style>
  <w:style w:type="paragraph" w:customStyle="1" w:styleId="47">
    <w:name w:val="Y样式1.1"/>
    <w:basedOn w:val="1"/>
    <w:qFormat/>
    <w:uiPriority w:val="0"/>
    <w:pPr>
      <w:tabs>
        <w:tab w:val="left" w:pos="567"/>
      </w:tabs>
      <w:spacing w:line="360" w:lineRule="auto"/>
      <w:outlineLvl w:val="2"/>
    </w:pPr>
    <w:rPr>
      <w:b/>
      <w:sz w:val="32"/>
    </w:rPr>
  </w:style>
  <w:style w:type="paragraph" w:customStyle="1" w:styleId="48">
    <w:name w:val="Y样式1.1.1"/>
    <w:basedOn w:val="47"/>
    <w:qFormat/>
    <w:uiPriority w:val="0"/>
    <w:pPr>
      <w:tabs>
        <w:tab w:val="clear" w:pos="567"/>
      </w:tabs>
      <w:outlineLvl w:val="3"/>
    </w:pPr>
  </w:style>
  <w:style w:type="character" w:customStyle="1" w:styleId="49">
    <w:name w:val="批注文字 字符"/>
    <w:basedOn w:val="19"/>
    <w:link w:val="7"/>
    <w:qFormat/>
    <w:uiPriority w:val="0"/>
    <w:rPr>
      <w:rFonts w:eastAsia="仿宋_GB2312"/>
      <w:kern w:val="2"/>
      <w:sz w:val="32"/>
      <w:szCs w:val="32"/>
    </w:rPr>
  </w:style>
  <w:style w:type="paragraph" w:customStyle="1" w:styleId="50">
    <w:name w:val="修订1"/>
    <w:hidden/>
    <w:unhideWhenUsed/>
    <w:qFormat/>
    <w:uiPriority w:val="99"/>
    <w:pPr>
      <w:spacing w:after="160" w:line="278" w:lineRule="auto"/>
    </w:pPr>
    <w:rPr>
      <w:rFonts w:ascii="Calibri" w:hAnsi="Calibri" w:eastAsia="宋体" w:cs="Times New Roman"/>
      <w:kern w:val="2"/>
      <w:sz w:val="21"/>
      <w:szCs w:val="24"/>
      <w:lang w:val="en-US" w:eastAsia="zh-CN" w:bidi="ar-SA"/>
    </w:rPr>
  </w:style>
  <w:style w:type="paragraph" w:customStyle="1" w:styleId="51">
    <w:name w:val="Revision"/>
    <w:hidden/>
    <w:unhideWhenUsed/>
    <w:qFormat/>
    <w:uiPriority w:val="99"/>
    <w:pPr>
      <w:spacing w:after="0" w:line="240" w:lineRule="auto"/>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4657</Words>
  <Characters>4704</Characters>
  <Lines>224</Lines>
  <Paragraphs>146</Paragraphs>
  <TotalTime>75</TotalTime>
  <ScaleCrop>false</ScaleCrop>
  <LinksUpToDate>false</LinksUpToDate>
  <CharactersWithSpaces>9215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2026-07-08T02:32:00Z</dcterms:created>
  <dc:creator>小星星</dc:creator>
  <cp:lastModifiedBy>鱼丸</cp:lastModifiedBy>
  <cp:lastPrinted>2026-06-29T16:59:00Z</cp:lastPrinted>
  <dcterms:modified xsi:type="dcterms:W3CDTF">2026-07-08T07:54:38Z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3E062F6220D54691977A0F7A5E3CD1F8</vt:lpwstr>
  </property>
</Properties>
</file>