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keepNext w:val="0"/>
        <w:keepLines w:val="0"/>
        <w:pageBreakBefore w:val="0"/>
        <w:kinsoku/>
        <w:overflowPunct/>
        <w:topLinePunct w:val="0"/>
        <w:bidi w:val="0"/>
        <w:spacing w:line="600" w:lineRule="exact"/>
        <w:ind w:left="0"/>
        <w:textAlignment w:val="auto"/>
        <w:rPr>
          <w:rFonts w:hint="default" w:ascii="仿宋_GB2312" w:eastAsia="仿宋_GB2312"/>
          <w:b/>
          <w:color w:val="000000"/>
          <w:sz w:val="44"/>
          <w:szCs w:val="44"/>
          <w:lang w:val="en-US" w:eastAsia="zh-CN"/>
        </w:rPr>
      </w:pPr>
    </w:p>
    <w:p>
      <w:pPr>
        <w:pStyle w:val="27"/>
        <w:keepNext w:val="0"/>
        <w:keepLines w:val="0"/>
        <w:pageBreakBefore w:val="0"/>
        <w:kinsoku/>
        <w:wordWrap/>
        <w:overflowPunct/>
        <w:topLinePunct w:val="0"/>
        <w:autoSpaceDE/>
        <w:autoSpaceDN/>
        <w:bidi w:val="0"/>
        <w:snapToGrid w:val="0"/>
        <w:spacing w:line="600" w:lineRule="exact"/>
        <w:ind w:left="0"/>
        <w:jc w:val="center"/>
        <w:textAlignment w:val="auto"/>
        <w:rPr>
          <w:rFonts w:hint="eastAsia" w:ascii="方正小标宋简体" w:eastAsia="方正小标宋简体"/>
          <w:color w:val="000000"/>
          <w:sz w:val="44"/>
          <w:szCs w:val="44"/>
          <w:highlight w:val="none"/>
        </w:rPr>
      </w:pPr>
      <w:r>
        <w:rPr>
          <w:rFonts w:hint="eastAsia" w:ascii="方正小标宋简体" w:eastAsia="方正小标宋简体"/>
          <w:color w:val="000000"/>
          <w:sz w:val="44"/>
          <w:szCs w:val="44"/>
          <w:highlight w:val="none"/>
          <w:lang w:val="zh-CN"/>
        </w:rPr>
        <w:t>关于西城区20</w:t>
      </w:r>
      <w:r>
        <w:rPr>
          <w:rFonts w:hint="eastAsia" w:ascii="方正小标宋简体" w:eastAsia="方正小标宋简体"/>
          <w:color w:val="000000"/>
          <w:sz w:val="44"/>
          <w:szCs w:val="44"/>
          <w:highlight w:val="none"/>
        </w:rPr>
        <w:t>2</w:t>
      </w:r>
      <w:r>
        <w:rPr>
          <w:rFonts w:hint="eastAsia" w:ascii="方正小标宋简体" w:eastAsia="方正小标宋简体"/>
          <w:color w:val="000000"/>
          <w:sz w:val="44"/>
          <w:szCs w:val="44"/>
          <w:highlight w:val="none"/>
          <w:lang w:val="en-US" w:eastAsia="zh-CN"/>
        </w:rPr>
        <w:t>5</w:t>
      </w:r>
      <w:r>
        <w:rPr>
          <w:rFonts w:hint="eastAsia" w:ascii="方正小标宋简体" w:eastAsia="方正小标宋简体"/>
          <w:color w:val="000000"/>
          <w:sz w:val="44"/>
          <w:szCs w:val="44"/>
          <w:highlight w:val="none"/>
          <w:lang w:val="zh-CN"/>
        </w:rPr>
        <w:t>年</w:t>
      </w:r>
      <w:r>
        <w:rPr>
          <w:rFonts w:hint="eastAsia" w:ascii="方正小标宋简体" w:eastAsia="方正小标宋简体"/>
          <w:color w:val="000000"/>
          <w:sz w:val="44"/>
          <w:szCs w:val="44"/>
          <w:highlight w:val="none"/>
        </w:rPr>
        <w:t>度</w:t>
      </w:r>
      <w:r>
        <w:rPr>
          <w:rFonts w:hint="eastAsia" w:ascii="方正小标宋简体" w:eastAsia="方正小标宋简体"/>
          <w:color w:val="000000"/>
          <w:sz w:val="44"/>
          <w:szCs w:val="44"/>
          <w:highlight w:val="none"/>
          <w:lang w:val="zh-CN"/>
        </w:rPr>
        <w:t>预算执行和</w:t>
      </w:r>
    </w:p>
    <w:p>
      <w:pPr>
        <w:pStyle w:val="27"/>
        <w:keepNext w:val="0"/>
        <w:keepLines w:val="0"/>
        <w:pageBreakBefore w:val="0"/>
        <w:kinsoku/>
        <w:wordWrap/>
        <w:overflowPunct/>
        <w:topLinePunct w:val="0"/>
        <w:autoSpaceDE/>
        <w:autoSpaceDN/>
        <w:bidi w:val="0"/>
        <w:snapToGrid w:val="0"/>
        <w:spacing w:line="600" w:lineRule="exact"/>
        <w:ind w:left="0"/>
        <w:jc w:val="center"/>
        <w:textAlignment w:val="auto"/>
        <w:rPr>
          <w:rFonts w:hint="eastAsia" w:ascii="方正小标宋简体" w:eastAsia="方正小标宋简体"/>
          <w:color w:val="000000"/>
          <w:sz w:val="44"/>
          <w:szCs w:val="44"/>
          <w:highlight w:val="none"/>
          <w:lang w:val="zh-CN"/>
        </w:rPr>
      </w:pPr>
      <w:r>
        <w:rPr>
          <w:rFonts w:hint="eastAsia" w:ascii="方正小标宋简体" w:eastAsia="方正小标宋简体"/>
          <w:color w:val="000000"/>
          <w:sz w:val="44"/>
          <w:szCs w:val="44"/>
          <w:highlight w:val="none"/>
          <w:lang w:val="zh-CN"/>
        </w:rPr>
        <w:t>其他财政收支</w:t>
      </w:r>
      <w:r>
        <w:rPr>
          <w:rFonts w:hint="eastAsia" w:ascii="方正小标宋简体" w:eastAsia="方正小标宋简体"/>
          <w:color w:val="000000"/>
          <w:sz w:val="44"/>
          <w:szCs w:val="44"/>
          <w:highlight w:val="none"/>
          <w:lang w:val="zh-CN" w:eastAsia="zh-CN"/>
        </w:rPr>
        <w:t>的</w:t>
      </w:r>
      <w:r>
        <w:rPr>
          <w:rFonts w:hint="eastAsia" w:ascii="方正小标宋简体" w:eastAsia="方正小标宋简体"/>
          <w:color w:val="000000"/>
          <w:sz w:val="44"/>
          <w:szCs w:val="44"/>
          <w:highlight w:val="none"/>
          <w:lang w:val="zh-CN"/>
        </w:rPr>
        <w:t>审计工作报告</w:t>
      </w:r>
    </w:p>
    <w:p>
      <w:pPr>
        <w:pStyle w:val="2"/>
        <w:keepNext w:val="0"/>
        <w:keepLines w:val="0"/>
        <w:pageBreakBefore w:val="0"/>
        <w:kinsoku/>
        <w:overflowPunct/>
        <w:topLinePunct w:val="0"/>
        <w:bidi w:val="0"/>
        <w:spacing w:line="600" w:lineRule="exact"/>
        <w:rPr>
          <w:rFonts w:hint="eastAsia"/>
          <w:lang w:val="zh-CN"/>
        </w:rPr>
      </w:pPr>
    </w:p>
    <w:p>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left="0" w:right="0" w:firstLine="640" w:firstLineChars="200"/>
        <w:textAlignment w:val="auto"/>
        <w:outlineLvl w:val="9"/>
        <w:rPr>
          <w:rFonts w:hint="default"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zh-CN" w:eastAsia="zh-CN"/>
        </w:rPr>
        <w:t>全区各部门</w:t>
      </w:r>
      <w:r>
        <w:rPr>
          <w:rFonts w:hint="eastAsia" w:ascii="仿宋_GB2312" w:hAnsi="仿宋_GB2312" w:eastAsia="仿宋_GB2312" w:cs="仿宋_GB2312"/>
          <w:b w:val="0"/>
          <w:bCs w:val="0"/>
          <w:color w:val="auto"/>
          <w:sz w:val="32"/>
          <w:szCs w:val="32"/>
          <w:highlight w:val="none"/>
          <w:u w:val="none"/>
          <w:lang w:val="en-US" w:eastAsia="zh-CN"/>
        </w:rPr>
        <w:t>、各街道坚决落实市区工作要求，牢牢把握高质量发展首要任务，</w:t>
      </w:r>
      <w:r>
        <w:rPr>
          <w:rFonts w:hint="eastAsia" w:ascii="仿宋_GB2312" w:hAnsi="仿宋_GB2312" w:eastAsia="仿宋_GB2312" w:cs="仿宋_GB2312"/>
          <w:color w:val="auto"/>
          <w:sz w:val="32"/>
          <w:szCs w:val="32"/>
          <w:highlight w:val="none"/>
          <w:u w:val="none"/>
        </w:rPr>
        <w:t>持续赋能区域经济提质增效，切实增进民生福祉、提升群众生活品质。</w:t>
      </w:r>
      <w:r>
        <w:rPr>
          <w:rFonts w:hint="eastAsia" w:ascii="仿宋_GB2312" w:hAnsi="仿宋_GB2312" w:eastAsia="仿宋_GB2312" w:cs="仿宋_GB2312"/>
          <w:color w:val="auto"/>
          <w:sz w:val="32"/>
          <w:szCs w:val="32"/>
          <w:highlight w:val="none"/>
          <w:u w:val="none"/>
          <w:lang w:eastAsia="zh-CN"/>
        </w:rPr>
        <w:t>总体看，全区持续深化财政改革，严格落实习惯过紧日子要求，推动资源统筹、配置优化，收入保持平稳，支出保障有力，</w:t>
      </w:r>
      <w:r>
        <w:rPr>
          <w:rFonts w:hint="eastAsia" w:ascii="仿宋_GB2312" w:hAnsi="仿宋_GB2312" w:eastAsia="仿宋_GB2312" w:cs="仿宋_GB2312"/>
          <w:color w:val="auto"/>
          <w:sz w:val="32"/>
          <w:szCs w:val="32"/>
          <w:highlight w:val="none"/>
          <w:u w:val="none"/>
          <w:lang w:val="en-US" w:eastAsia="zh-CN"/>
        </w:rPr>
        <w:t>2025年度区级</w:t>
      </w:r>
      <w:r>
        <w:rPr>
          <w:rFonts w:hint="eastAsia" w:ascii="仿宋_GB2312" w:hAnsi="仿宋_GB2312" w:eastAsia="仿宋_GB2312" w:cs="仿宋_GB2312"/>
          <w:b w:val="0"/>
          <w:bCs w:val="0"/>
          <w:color w:val="auto"/>
          <w:sz w:val="32"/>
          <w:szCs w:val="32"/>
          <w:highlight w:val="none"/>
          <w:u w:val="none"/>
          <w:lang w:val="zh-CN"/>
        </w:rPr>
        <w:t>预算执行和其他财政收支情况</w:t>
      </w:r>
      <w:r>
        <w:rPr>
          <w:rFonts w:hint="eastAsia" w:ascii="仿宋_GB2312" w:hAnsi="仿宋_GB2312" w:eastAsia="仿宋_GB2312" w:cs="仿宋_GB2312"/>
          <w:b w:val="0"/>
          <w:bCs w:val="0"/>
          <w:color w:val="auto"/>
          <w:sz w:val="32"/>
          <w:szCs w:val="32"/>
          <w:highlight w:val="none"/>
          <w:u w:val="none"/>
          <w:lang w:val="zh-CN" w:eastAsia="zh-CN"/>
        </w:rPr>
        <w:t>总体良好</w:t>
      </w:r>
      <w:r>
        <w:rPr>
          <w:rFonts w:hint="eastAsia" w:ascii="仿宋_GB2312" w:hAnsi="仿宋_GB2312" w:eastAsia="仿宋_GB2312" w:cs="仿宋_GB2312"/>
          <w:b w:val="0"/>
          <w:bCs w:val="0"/>
          <w:color w:val="auto"/>
          <w:sz w:val="32"/>
          <w:szCs w:val="32"/>
          <w:highlight w:val="none"/>
          <w:u w:val="none"/>
          <w:lang w:val="zh-CN"/>
        </w:rPr>
        <w:t>。</w:t>
      </w:r>
    </w:p>
    <w:p>
      <w:pPr>
        <w:pStyle w:val="28"/>
        <w:keepNext w:val="0"/>
        <w:keepLines w:val="0"/>
        <w:pageBreakBefore w:val="0"/>
        <w:kinsoku/>
        <w:overflowPunct/>
        <w:topLinePunct w:val="0"/>
        <w:autoSpaceDE/>
        <w:autoSpaceDN/>
        <w:bidi w:val="0"/>
        <w:spacing w:line="600" w:lineRule="exact"/>
        <w:ind w:left="0" w:firstLine="640" w:firstLineChars="200"/>
        <w:textAlignment w:val="auto"/>
        <w:outlineLvl w:val="0"/>
        <w:rPr>
          <w:rFonts w:hint="eastAsia"/>
          <w:sz w:val="32"/>
          <w:szCs w:val="32"/>
          <w:highlight w:val="none"/>
          <w:lang w:val="zh-CN"/>
        </w:rPr>
      </w:pPr>
      <w:r>
        <w:rPr>
          <w:rFonts w:hint="eastAsia"/>
          <w:sz w:val="32"/>
          <w:szCs w:val="32"/>
          <w:highlight w:val="none"/>
          <w:lang w:val="zh-CN" w:eastAsia="zh-CN"/>
        </w:rPr>
        <w:t>一、</w:t>
      </w:r>
      <w:r>
        <w:rPr>
          <w:rFonts w:hint="eastAsia"/>
          <w:sz w:val="32"/>
          <w:szCs w:val="32"/>
          <w:highlight w:val="none"/>
          <w:lang w:val="zh-CN"/>
        </w:rPr>
        <w:t>区本级财政管理审计情况</w:t>
      </w:r>
    </w:p>
    <w:p>
      <w:pPr>
        <w:keepNext w:val="0"/>
        <w:keepLines w:val="0"/>
        <w:pageBreakBefore w:val="0"/>
        <w:widowControl w:val="0"/>
        <w:kinsoku/>
        <w:wordWrap/>
        <w:overflowPunct/>
        <w:topLinePunct w:val="0"/>
        <w:autoSpaceDE/>
        <w:autoSpaceDN/>
        <w:bidi w:val="0"/>
        <w:spacing w:line="600" w:lineRule="exact"/>
        <w:ind w:firstLine="640" w:firstLineChars="200"/>
        <w:rPr>
          <w:rFonts w:hint="eastAsia" w:ascii="仿宋_GB2312" w:hAnsi="仿宋_GB2312" w:eastAsia="仿宋_GB2312" w:cs="仿宋_GB2312"/>
          <w:color w:val="auto"/>
          <w:sz w:val="32"/>
          <w:szCs w:val="32"/>
          <w:highlight w:val="none"/>
          <w:lang w:val="en-US" w:eastAsia="zh-CN" w:bidi="ar"/>
        </w:rPr>
      </w:pPr>
      <w:r>
        <w:rPr>
          <w:rFonts w:hint="eastAsia" w:ascii="仿宋_GB2312" w:hAnsi="仿宋_GB2312" w:eastAsia="仿宋_GB2312" w:cs="仿宋_GB2312"/>
          <w:color w:val="auto"/>
          <w:sz w:val="32"/>
          <w:szCs w:val="32"/>
          <w:lang w:bidi="ar"/>
        </w:rPr>
        <w:t>2025年</w:t>
      </w:r>
      <w:r>
        <w:rPr>
          <w:rFonts w:hint="eastAsia" w:ascii="仿宋_GB2312" w:hAnsi="仿宋_GB2312" w:eastAsia="仿宋_GB2312" w:cs="仿宋_GB2312"/>
          <w:color w:val="auto"/>
          <w:sz w:val="32"/>
          <w:szCs w:val="32"/>
          <w:lang w:val="en-US" w:eastAsia="zh-CN" w:bidi="ar"/>
        </w:rPr>
        <w:t>区级</w:t>
      </w:r>
      <w:r>
        <w:rPr>
          <w:rFonts w:hint="eastAsia" w:ascii="仿宋_GB2312" w:hAnsi="仿宋_GB2312" w:eastAsia="仿宋_GB2312" w:cs="仿宋_GB2312"/>
          <w:color w:val="auto"/>
          <w:sz w:val="32"/>
          <w:szCs w:val="32"/>
          <w:lang w:bidi="ar"/>
        </w:rPr>
        <w:t>一般公共预算收入</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lang w:bidi="ar"/>
        </w:rPr>
        <w:t>437.99亿元，</w:t>
      </w:r>
      <w:r>
        <w:rPr>
          <w:rFonts w:hint="eastAsia" w:ascii="仿宋_GB2312" w:hAnsi="仿宋_GB2312" w:eastAsia="仿宋_GB2312" w:cs="仿宋_GB2312"/>
          <w:color w:val="auto"/>
          <w:sz w:val="32"/>
          <w:szCs w:val="32"/>
          <w:highlight w:val="none"/>
          <w:lang w:bidi="ar"/>
        </w:rPr>
        <w:t>支出</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highlight w:val="none"/>
          <w:lang w:bidi="ar"/>
        </w:rPr>
        <w:t>420.73亿元</w:t>
      </w:r>
      <w:r>
        <w:rPr>
          <w:rFonts w:hint="eastAsia" w:ascii="仿宋_GB2312" w:hAnsi="仿宋_GB2312" w:eastAsia="仿宋_GB2312" w:cs="仿宋_GB2312"/>
          <w:color w:val="auto"/>
          <w:sz w:val="32"/>
          <w:szCs w:val="32"/>
          <w:highlight w:val="none"/>
          <w:lang w:val="en-US" w:eastAsia="zh-CN" w:bidi="ar"/>
        </w:rPr>
        <w:t>。</w:t>
      </w:r>
      <w:r>
        <w:rPr>
          <w:rFonts w:hint="eastAsia" w:ascii="仿宋_GB2312" w:hAnsi="仿宋_GB2312" w:eastAsia="仿宋_GB2312" w:cs="仿宋_GB2312"/>
          <w:color w:val="auto"/>
          <w:sz w:val="32"/>
          <w:szCs w:val="32"/>
          <w:highlight w:val="none"/>
          <w:lang w:bidi="ar"/>
        </w:rPr>
        <w:t>政府性基金预算收入</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highlight w:val="none"/>
          <w:lang w:bidi="ar"/>
        </w:rPr>
        <w:t>5.88亿元，支出</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highlight w:val="none"/>
          <w:lang w:bidi="ar"/>
        </w:rPr>
        <w:t>10.19亿元</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国有资本经营预算收入</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highlight w:val="none"/>
          <w:lang w:bidi="ar"/>
        </w:rPr>
        <w:t>6330万元，支出</w:t>
      </w:r>
      <w:r>
        <w:rPr>
          <w:rFonts w:hint="eastAsia" w:ascii="仿宋_GB2312" w:hAnsi="仿宋_GB2312" w:eastAsia="仿宋_GB2312" w:cs="仿宋_GB2312"/>
          <w:color w:val="auto"/>
          <w:sz w:val="32"/>
          <w:szCs w:val="32"/>
          <w:lang w:eastAsia="zh-CN" w:bidi="ar"/>
        </w:rPr>
        <w:t>总量</w:t>
      </w:r>
      <w:r>
        <w:rPr>
          <w:rFonts w:hint="eastAsia" w:ascii="仿宋_GB2312" w:hAnsi="仿宋_GB2312" w:eastAsia="仿宋_GB2312" w:cs="仿宋_GB2312"/>
          <w:color w:val="auto"/>
          <w:sz w:val="32"/>
          <w:szCs w:val="32"/>
          <w:highlight w:val="none"/>
          <w:lang w:bidi="ar"/>
        </w:rPr>
        <w:t>3337万元。</w:t>
      </w:r>
      <w:r>
        <w:rPr>
          <w:rFonts w:hint="eastAsia" w:ascii="仿宋_GB2312" w:hAnsi="仿宋_GB2312" w:eastAsia="仿宋_GB2312" w:cs="仿宋_GB2312"/>
          <w:color w:val="auto"/>
          <w:sz w:val="32"/>
          <w:szCs w:val="32"/>
          <w:highlight w:val="none"/>
          <w:lang w:eastAsia="zh-CN" w:bidi="ar"/>
        </w:rPr>
        <w:t>重点审计了</w:t>
      </w:r>
      <w:r>
        <w:rPr>
          <w:rFonts w:hint="eastAsia" w:ascii="仿宋_GB2312" w:hAnsi="仿宋_GB2312" w:eastAsia="仿宋_GB2312" w:cs="仿宋_GB2312"/>
          <w:color w:val="auto"/>
          <w:sz w:val="32"/>
          <w:szCs w:val="32"/>
          <w:highlight w:val="none"/>
          <w:lang w:bidi="ar"/>
        </w:rPr>
        <w:t>收</w:t>
      </w:r>
      <w:r>
        <w:rPr>
          <w:rFonts w:hint="eastAsia" w:ascii="仿宋_GB2312" w:hAnsi="仿宋_GB2312" w:eastAsia="仿宋_GB2312" w:cs="仿宋_GB2312"/>
          <w:color w:val="auto"/>
          <w:sz w:val="32"/>
          <w:szCs w:val="32"/>
          <w:highlight w:val="none"/>
          <w:lang w:eastAsia="zh-CN" w:bidi="ar"/>
        </w:rPr>
        <w:t>支</w:t>
      </w:r>
      <w:r>
        <w:rPr>
          <w:rFonts w:hint="eastAsia" w:ascii="仿宋_GB2312" w:hAnsi="仿宋_GB2312" w:eastAsia="仿宋_GB2312" w:cs="仿宋_GB2312"/>
          <w:color w:val="auto"/>
          <w:sz w:val="32"/>
          <w:szCs w:val="32"/>
          <w:highlight w:val="none"/>
          <w:lang w:bidi="ar"/>
        </w:rPr>
        <w:t>执行</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决算草案编制</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地方政府债务管理</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bidi="ar"/>
        </w:rPr>
        <w:t>国库管理</w:t>
      </w:r>
      <w:r>
        <w:rPr>
          <w:rFonts w:hint="eastAsia" w:ascii="仿宋_GB2312" w:hAnsi="仿宋_GB2312" w:eastAsia="仿宋_GB2312" w:cs="仿宋_GB2312"/>
          <w:color w:val="auto"/>
          <w:sz w:val="32"/>
          <w:szCs w:val="32"/>
          <w:highlight w:val="none"/>
          <w:lang w:eastAsia="zh-CN" w:bidi="ar"/>
        </w:rPr>
        <w:t>等</w:t>
      </w:r>
      <w:r>
        <w:rPr>
          <w:rFonts w:hint="eastAsia" w:ascii="仿宋_GB2312" w:hAnsi="仿宋_GB2312" w:eastAsia="仿宋_GB2312" w:cs="仿宋_GB2312"/>
          <w:color w:val="auto"/>
          <w:sz w:val="32"/>
          <w:szCs w:val="32"/>
          <w:highlight w:val="none"/>
          <w:lang w:bidi="ar"/>
        </w:rPr>
        <w:t>情况</w:t>
      </w:r>
      <w:r>
        <w:rPr>
          <w:rFonts w:hint="eastAsia" w:ascii="仿宋_GB2312" w:hAnsi="仿宋_GB2312" w:eastAsia="仿宋_GB2312" w:cs="仿宋_GB2312"/>
          <w:color w:val="auto"/>
          <w:sz w:val="32"/>
          <w:szCs w:val="32"/>
          <w:highlight w:val="none"/>
          <w:lang w:eastAsia="zh-CN" w:bidi="ar"/>
        </w:rPr>
        <w:t>。审计发现的主要问题有：</w:t>
      </w:r>
    </w:p>
    <w:p>
      <w:pPr>
        <w:keepNext w:val="0"/>
        <w:keepLines w:val="0"/>
        <w:pageBreakBefore w:val="0"/>
        <w:widowControl w:val="0"/>
        <w:numPr>
          <w:ilvl w:val="0"/>
          <w:numId w:val="0"/>
        </w:numPr>
        <w:tabs>
          <w:tab w:val="left" w:pos="6570"/>
        </w:tabs>
        <w:kinsoku/>
        <w:wordWrap/>
        <w:overflowPunct/>
        <w:topLinePunct w:val="0"/>
        <w:autoSpaceDE/>
        <w:autoSpaceDN/>
        <w:bidi w:val="0"/>
        <w:spacing w:line="600" w:lineRule="exact"/>
        <w:ind w:firstLine="640" w:firstLineChars="200"/>
        <w:rPr>
          <w:rFonts w:hint="eastAsia" w:ascii="楷体_GB2312" w:hAnsi="楷体_GB2312" w:eastAsia="楷体_GB2312" w:cs="楷体_GB2312"/>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（一）预算分配和执行管理仍然存在薄弱环节</w:t>
      </w:r>
    </w:p>
    <w:p>
      <w:pPr>
        <w:keepNext w:val="0"/>
        <w:keepLines w:val="0"/>
        <w:pageBreakBefore w:val="0"/>
        <w:widowControl w:val="0"/>
        <w:tabs>
          <w:tab w:val="left" w:pos="6570"/>
        </w:tabs>
        <w:kinsoku/>
        <w:wordWrap/>
        <w:overflowPunct/>
        <w:topLinePunct w:val="0"/>
        <w:autoSpaceDE/>
        <w:autoSpaceDN/>
        <w:bidi w:val="0"/>
        <w:spacing w:line="600" w:lineRule="exact"/>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eastAsia="zh-CN"/>
        </w:rPr>
        <w:t>一是追加项目预算安排不合理。</w:t>
      </w:r>
      <w:r>
        <w:rPr>
          <w:rFonts w:hint="eastAsia" w:ascii="仿宋_GB2312" w:hAnsi="仿宋_GB2312" w:eastAsia="仿宋_GB2312" w:cs="仿宋_GB2312"/>
          <w:color w:val="auto"/>
          <w:sz w:val="32"/>
          <w:szCs w:val="32"/>
          <w:lang w:val="en-US" w:eastAsia="zh-CN"/>
        </w:rPr>
        <w:t>2025年全区</w:t>
      </w:r>
      <w:r>
        <w:rPr>
          <w:rFonts w:hint="eastAsia" w:ascii="仿宋_GB2312" w:hAnsi="仿宋_GB2312" w:eastAsia="仿宋_GB2312" w:cs="仿宋_GB2312"/>
          <w:color w:val="auto"/>
          <w:sz w:val="32"/>
          <w:szCs w:val="32"/>
        </w:rPr>
        <w:t>43个追加项目预算执行率</w:t>
      </w:r>
      <w:r>
        <w:rPr>
          <w:rFonts w:hint="eastAsia" w:ascii="仿宋_GB2312" w:hAnsi="仿宋_GB2312" w:eastAsia="仿宋_GB2312" w:cs="仿宋_GB2312"/>
          <w:color w:val="auto"/>
          <w:sz w:val="32"/>
          <w:szCs w:val="32"/>
          <w:lang w:val="en-US" w:eastAsia="zh-CN"/>
        </w:rPr>
        <w:t>低于50%</w:t>
      </w:r>
      <w:r>
        <w:rPr>
          <w:rFonts w:hint="eastAsia" w:ascii="仿宋_GB2312" w:hAnsi="仿宋_GB2312" w:eastAsia="仿宋_GB2312" w:cs="仿宋_GB2312"/>
          <w:color w:val="auto"/>
          <w:sz w:val="32"/>
          <w:szCs w:val="32"/>
        </w:rPr>
        <w:t>，其中26个项目</w:t>
      </w:r>
      <w:r>
        <w:rPr>
          <w:rFonts w:hint="eastAsia" w:ascii="仿宋_GB2312" w:hAnsi="仿宋_GB2312" w:eastAsia="仿宋_GB2312" w:cs="仿宋_GB2312"/>
          <w:color w:val="auto"/>
          <w:sz w:val="32"/>
          <w:szCs w:val="32"/>
          <w:lang w:val="en-US" w:eastAsia="zh-CN"/>
        </w:rPr>
        <w:t>预算</w:t>
      </w:r>
      <w:r>
        <w:rPr>
          <w:rFonts w:hint="eastAsia" w:ascii="仿宋_GB2312" w:hAnsi="仿宋_GB2312" w:eastAsia="仿宋_GB2312" w:cs="仿宋_GB2312"/>
          <w:color w:val="auto"/>
          <w:sz w:val="32"/>
          <w:szCs w:val="32"/>
        </w:rPr>
        <w:t>执行率为0</w:t>
      </w:r>
      <w:r>
        <w:rPr>
          <w:rFonts w:hint="eastAsia" w:ascii="仿宋_GB2312" w:hAnsi="仿宋_GB2312" w:eastAsia="仿宋_GB2312" w:cs="仿宋_GB2312"/>
          <w:color w:val="auto"/>
          <w:sz w:val="32"/>
          <w:szCs w:val="32"/>
          <w:lang w:eastAsia="zh-CN"/>
        </w:rPr>
        <w:t>。</w:t>
      </w:r>
    </w:p>
    <w:p>
      <w:pPr>
        <w:pStyle w:val="9"/>
        <w:keepNext w:val="0"/>
        <w:keepLines w:val="0"/>
        <w:pageBreakBefore w:val="0"/>
        <w:widowControl/>
        <w:kinsoku/>
        <w:overflowPunct/>
        <w:topLinePunct w:val="0"/>
        <w:autoSpaceDE/>
        <w:autoSpaceDN/>
        <w:bidi w:val="0"/>
        <w:adjustRightInd w:val="0"/>
        <w:spacing w:line="600" w:lineRule="exact"/>
        <w:ind w:left="0"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kern w:val="2"/>
          <w:sz w:val="32"/>
          <w:szCs w:val="32"/>
          <w:highlight w:val="none"/>
          <w:lang w:val="en-US" w:eastAsia="zh-CN" w:bidi="ar-SA"/>
        </w:rPr>
        <w:t>二是</w:t>
      </w:r>
      <w:r>
        <w:rPr>
          <w:rFonts w:hint="eastAsia" w:ascii="仿宋_GB2312" w:hAnsi="仿宋_GB2312" w:eastAsia="仿宋_GB2312" w:cs="仿宋_GB2312"/>
          <w:b/>
          <w:bCs/>
          <w:sz w:val="32"/>
          <w:szCs w:val="32"/>
          <w:highlight w:val="none"/>
          <w:lang w:eastAsia="zh-CN"/>
        </w:rPr>
        <w:t>延续性项目预算管理不科学。</w:t>
      </w:r>
      <w:r>
        <w:rPr>
          <w:rFonts w:hint="eastAsia" w:ascii="仿宋_GB2312" w:hAnsi="仿宋_GB2312" w:eastAsia="仿宋_GB2312" w:cs="仿宋_GB2312"/>
          <w:color w:val="auto"/>
          <w:sz w:val="32"/>
          <w:szCs w:val="32"/>
          <w:lang w:val="en-US" w:eastAsia="zh-CN"/>
        </w:rPr>
        <w:t>2023年至2025年，全区</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val="en-US" w:eastAsia="zh-CN"/>
        </w:rPr>
        <w:t>延续性</w:t>
      </w:r>
      <w:r>
        <w:rPr>
          <w:rFonts w:hint="eastAsia" w:ascii="仿宋_GB2312" w:hAnsi="仿宋_GB2312" w:eastAsia="仿宋_GB2312" w:cs="仿宋_GB2312"/>
          <w:color w:val="auto"/>
          <w:sz w:val="32"/>
          <w:szCs w:val="32"/>
        </w:rPr>
        <w:t>项目连续三年预算执行率低于50%</w:t>
      </w:r>
      <w:r>
        <w:rPr>
          <w:rFonts w:hint="eastAsia" w:ascii="仿宋_GB2312" w:hAnsi="仿宋_GB2312" w:eastAsia="仿宋_GB2312" w:cs="仿宋_GB2312"/>
          <w:color w:val="auto"/>
          <w:sz w:val="32"/>
          <w:szCs w:val="32"/>
          <w:lang w:eastAsia="zh-CN"/>
        </w:rPr>
        <w:t>。</w:t>
      </w:r>
    </w:p>
    <w:p>
      <w:pPr>
        <w:keepNext w:val="0"/>
        <w:keepLines w:val="0"/>
        <w:pageBreakBefore w:val="0"/>
        <w:widowControl w:val="0"/>
        <w:tabs>
          <w:tab w:val="left" w:pos="6570"/>
        </w:tabs>
        <w:kinsoku/>
        <w:wordWrap/>
        <w:overflowPunct/>
        <w:topLinePunct w:val="0"/>
        <w:autoSpaceDE/>
        <w:autoSpaceDN/>
        <w:bidi w:val="0"/>
        <w:spacing w:line="600" w:lineRule="exact"/>
        <w:ind w:firstLine="643" w:firstLineChars="200"/>
        <w:rPr>
          <w:rFonts w:hint="eastAsia" w:ascii="仿宋_GB2312" w:hAnsi="仿宋_GB2312" w:eastAsia="仿宋_GB2312" w:cs="仿宋_GB2312"/>
          <w:b/>
          <w:bCs/>
          <w:kern w:val="2"/>
          <w:sz w:val="32"/>
          <w:szCs w:val="32"/>
          <w:highlight w:val="yellow"/>
          <w:lang w:val="en-US" w:eastAsia="zh-CN" w:bidi="ar-SA"/>
        </w:rPr>
      </w:pPr>
      <w:r>
        <w:rPr>
          <w:rFonts w:hint="eastAsia" w:ascii="仿宋_GB2312" w:hAnsi="仿宋_GB2312" w:eastAsia="仿宋_GB2312" w:cs="仿宋_GB2312"/>
          <w:b/>
          <w:bCs/>
          <w:kern w:val="2"/>
          <w:sz w:val="32"/>
          <w:szCs w:val="32"/>
          <w:highlight w:val="none"/>
          <w:lang w:val="en-US" w:eastAsia="zh-CN" w:bidi="ar-SA"/>
        </w:rPr>
        <w:t>三是未严格控制代编预算规模。</w:t>
      </w:r>
      <w:r>
        <w:rPr>
          <w:rFonts w:hint="eastAsia" w:ascii="仿宋_GB2312" w:hAnsi="仿宋_GB2312" w:eastAsia="仿宋_GB2312" w:cs="仿宋_GB2312"/>
          <w:color w:val="auto"/>
          <w:sz w:val="32"/>
          <w:szCs w:val="32"/>
          <w:lang w:val="en-US" w:eastAsia="zh-CN"/>
        </w:rPr>
        <w:t>8个项目预算未细化至相关部门编报</w:t>
      </w:r>
      <w:r>
        <w:rPr>
          <w:rFonts w:hint="eastAsia" w:ascii="仿宋_GB2312" w:hAnsi="仿宋_GB2312" w:eastAsia="仿宋_GB2312" w:cs="仿宋_GB2312"/>
          <w:color w:val="auto"/>
          <w:sz w:val="32"/>
          <w:szCs w:val="32"/>
          <w:lang w:eastAsia="zh-CN"/>
        </w:rPr>
        <w:t>。</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textAlignment w:val="auto"/>
        <w:rPr>
          <w:rFonts w:hint="eastAsia" w:ascii="楷体_GB2312" w:hAnsi="楷体_GB2312" w:eastAsia="楷体_GB2312" w:cs="楷体_GB2312"/>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（二）财政管理中的其他问题</w:t>
      </w:r>
    </w:p>
    <w:p>
      <w:pPr>
        <w:pStyle w:val="10"/>
        <w:keepNext w:val="0"/>
        <w:keepLines w:val="0"/>
        <w:pageBreakBefore w:val="0"/>
        <w:widowControl/>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kern w:val="2"/>
          <w:sz w:val="32"/>
          <w:szCs w:val="32"/>
          <w:highlight w:val="none"/>
          <w:lang w:val="en-US" w:eastAsia="zh-CN" w:bidi="ar-SA"/>
        </w:rPr>
        <w:t>一是街道共性项目整合管理不到位。</w:t>
      </w:r>
      <w:r>
        <w:rPr>
          <w:rFonts w:hint="eastAsia" w:ascii="仿宋_GB2312" w:hAnsi="仿宋_GB2312" w:eastAsia="仿宋_GB2312" w:cs="仿宋_GB2312"/>
          <w:color w:val="auto"/>
          <w:sz w:val="32"/>
          <w:szCs w:val="32"/>
          <w:highlight w:val="none"/>
        </w:rPr>
        <w:t>预算安排15个街道安保服务类项目49个，应急保障类项目36个，同一街道内部多个科室</w:t>
      </w:r>
      <w:r>
        <w:rPr>
          <w:rFonts w:hint="eastAsia" w:ascii="仿宋_GB2312" w:hAnsi="仿宋_GB2312" w:eastAsia="仿宋_GB2312" w:cs="仿宋_GB2312"/>
          <w:color w:val="auto"/>
          <w:sz w:val="32"/>
          <w:szCs w:val="32"/>
          <w:highlight w:val="none"/>
          <w:lang w:eastAsia="zh-CN"/>
        </w:rPr>
        <w:t>分散</w:t>
      </w:r>
      <w:r>
        <w:rPr>
          <w:rFonts w:hint="eastAsia" w:ascii="仿宋_GB2312" w:hAnsi="仿宋_GB2312" w:eastAsia="仿宋_GB2312" w:cs="仿宋_GB2312"/>
          <w:color w:val="auto"/>
          <w:sz w:val="32"/>
          <w:szCs w:val="32"/>
          <w:highlight w:val="none"/>
        </w:rPr>
        <w:t>申报</w:t>
      </w:r>
      <w:r>
        <w:rPr>
          <w:rFonts w:hint="eastAsia" w:ascii="仿宋_GB2312" w:hAnsi="仿宋_GB2312" w:eastAsia="仿宋_GB2312" w:cs="仿宋_GB2312"/>
          <w:color w:val="auto"/>
          <w:sz w:val="32"/>
          <w:szCs w:val="32"/>
          <w:highlight w:val="none"/>
          <w:lang w:eastAsia="zh-CN"/>
        </w:rPr>
        <w:t>同类</w:t>
      </w:r>
      <w:r>
        <w:rPr>
          <w:rFonts w:hint="eastAsia" w:ascii="仿宋_GB2312" w:hAnsi="仿宋_GB2312" w:eastAsia="仿宋_GB2312" w:cs="仿宋_GB2312"/>
          <w:color w:val="auto"/>
          <w:sz w:val="32"/>
          <w:szCs w:val="32"/>
          <w:highlight w:val="none"/>
        </w:rPr>
        <w:t>经费，在项目功能上存在重合</w:t>
      </w:r>
      <w:r>
        <w:rPr>
          <w:rFonts w:hint="eastAsia" w:ascii="仿宋_GB2312" w:hAnsi="仿宋_GB2312" w:eastAsia="仿宋_GB2312" w:cs="仿宋_GB2312"/>
          <w:color w:val="auto"/>
          <w:sz w:val="32"/>
          <w:szCs w:val="32"/>
          <w:highlight w:val="none"/>
          <w:lang w:eastAsia="zh-CN"/>
        </w:rPr>
        <w:t>。</w:t>
      </w:r>
    </w:p>
    <w:p>
      <w:pPr>
        <w:pStyle w:val="10"/>
        <w:keepNext w:val="0"/>
        <w:keepLines w:val="0"/>
        <w:pageBreakBefore w:val="0"/>
        <w:widowControl/>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bCs/>
          <w:kern w:val="2"/>
          <w:sz w:val="32"/>
          <w:szCs w:val="32"/>
          <w:highlight w:val="none"/>
          <w:lang w:val="en-US" w:eastAsia="zh-CN" w:bidi="ar-SA"/>
        </w:rPr>
        <w:t>二是未完成新增政府债券绩效目标。</w:t>
      </w:r>
      <w:r>
        <w:rPr>
          <w:rFonts w:hint="eastAsia" w:ascii="仿宋_GB2312" w:hAnsi="仿宋_GB2312" w:eastAsia="仿宋_GB2312" w:cs="仿宋_GB2312"/>
          <w:color w:val="auto"/>
          <w:sz w:val="32"/>
          <w:szCs w:val="32"/>
          <w:highlight w:val="none"/>
        </w:rPr>
        <w:t>2025年收到</w:t>
      </w:r>
      <w:r>
        <w:rPr>
          <w:rFonts w:hint="eastAsia" w:ascii="仿宋_GB2312" w:hAnsi="仿宋_GB2312" w:eastAsia="仿宋_GB2312" w:cs="仿宋_GB2312"/>
          <w:color w:val="auto"/>
          <w:sz w:val="32"/>
          <w:szCs w:val="32"/>
          <w:highlight w:val="none"/>
          <w:lang w:val="en-US" w:eastAsia="zh-CN"/>
        </w:rPr>
        <w:t>市级</w:t>
      </w:r>
      <w:r>
        <w:rPr>
          <w:rFonts w:hint="eastAsia" w:ascii="仿宋_GB2312" w:hAnsi="仿宋_GB2312" w:eastAsia="仿宋_GB2312" w:cs="仿宋_GB2312"/>
          <w:color w:val="auto"/>
          <w:sz w:val="32"/>
          <w:szCs w:val="32"/>
          <w:highlight w:val="none"/>
        </w:rPr>
        <w:t>地方政府</w:t>
      </w:r>
      <w:r>
        <w:rPr>
          <w:rFonts w:hint="eastAsia" w:ascii="仿宋_GB2312" w:hAnsi="仿宋_GB2312" w:eastAsia="仿宋_GB2312" w:cs="仿宋_GB2312"/>
          <w:color w:val="auto"/>
          <w:sz w:val="32"/>
          <w:szCs w:val="32"/>
          <w:lang w:eastAsia="zh-CN"/>
        </w:rPr>
        <w:t>专项债券</w:t>
      </w:r>
      <w:r>
        <w:rPr>
          <w:rFonts w:hint="eastAsia" w:ascii="仿宋_GB2312" w:hAnsi="仿宋_GB2312" w:eastAsia="仿宋_GB2312" w:cs="仿宋_GB2312"/>
          <w:color w:val="auto"/>
          <w:sz w:val="32"/>
          <w:szCs w:val="32"/>
        </w:rPr>
        <w:t>资金用于改造工程项目</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当年</w:t>
      </w:r>
      <w:r>
        <w:rPr>
          <w:rFonts w:hint="eastAsia" w:ascii="仿宋_GB2312" w:hAnsi="仿宋_GB2312" w:eastAsia="仿宋_GB2312" w:cs="仿宋_GB2312"/>
          <w:color w:val="auto"/>
          <w:sz w:val="32"/>
          <w:szCs w:val="32"/>
        </w:rPr>
        <w:t>累计支出</w:t>
      </w:r>
      <w:r>
        <w:rPr>
          <w:rFonts w:hint="eastAsia" w:ascii="仿宋_GB2312" w:hAnsi="仿宋_GB2312" w:eastAsia="仿宋_GB2312" w:cs="仿宋_GB2312"/>
          <w:color w:val="auto"/>
          <w:sz w:val="32"/>
          <w:szCs w:val="32"/>
          <w:lang w:eastAsia="zh-CN"/>
        </w:rPr>
        <w:t>未达到“</w:t>
      </w:r>
      <w:r>
        <w:rPr>
          <w:rFonts w:hint="eastAsia" w:ascii="仿宋_GB2312" w:hAnsi="仿宋_GB2312" w:eastAsia="仿宋_GB2312" w:cs="仿宋_GB2312"/>
          <w:color w:val="auto"/>
          <w:sz w:val="32"/>
          <w:szCs w:val="32"/>
        </w:rPr>
        <w:t>新增政府债券资金支出进度100%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的要求。</w:t>
      </w:r>
    </w:p>
    <w:p>
      <w:pPr>
        <w:pStyle w:val="10"/>
        <w:keepNext w:val="0"/>
        <w:keepLines w:val="0"/>
        <w:pageBreakBefore w:val="0"/>
        <w:widowControl/>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kern w:val="2"/>
          <w:sz w:val="32"/>
          <w:szCs w:val="32"/>
          <w:highlight w:val="none"/>
          <w:lang w:val="en-US" w:eastAsia="zh-CN" w:bidi="ar-SA"/>
        </w:rPr>
        <w:t>三是对部分单位资金支付监管不严。</w:t>
      </w:r>
      <w:r>
        <w:rPr>
          <w:rFonts w:hint="eastAsia" w:ascii="仿宋_GB2312" w:hAnsi="仿宋_GB2312" w:eastAsia="仿宋_GB2312" w:cs="仿宋_GB2312"/>
          <w:color w:val="auto"/>
          <w:sz w:val="32"/>
          <w:szCs w:val="32"/>
          <w:highlight w:val="none"/>
          <w:lang w:val="en-US" w:eastAsia="zh-CN"/>
        </w:rPr>
        <w:t>12个单位从本单位零余额账户向本单位实有资金账户划转资金，相关事项不属于可自行归垫的范围。</w:t>
      </w:r>
    </w:p>
    <w:p>
      <w:pPr>
        <w:pStyle w:val="27"/>
        <w:keepNext w:val="0"/>
        <w:keepLines w:val="0"/>
        <w:pageBreakBefore w:val="0"/>
        <w:widowControl w:val="0"/>
        <w:kinsoku/>
        <w:wordWrap/>
        <w:overflowPunct/>
        <w:topLinePunct w:val="0"/>
        <w:autoSpaceDE/>
        <w:autoSpaceDN/>
        <w:bidi w:val="0"/>
        <w:adjustRightInd/>
        <w:snapToGrid w:val="0"/>
        <w:spacing w:beforeAutospacing="0" w:afterAutospacing="0" w:line="600" w:lineRule="exact"/>
        <w:ind w:left="0" w:leftChars="0" w:right="0" w:rightChars="0" w:firstLine="640" w:firstLineChars="200"/>
        <w:jc w:val="both"/>
        <w:textAlignment w:val="auto"/>
        <w:outlineLvl w:val="0"/>
        <w:rPr>
          <w:rFonts w:hint="eastAsia" w:ascii="宋体" w:hAnsi="宋体" w:eastAsia="黑体" w:cs="黑体"/>
          <w:b w:val="0"/>
          <w:bCs/>
          <w:color w:val="auto"/>
          <w:sz w:val="32"/>
          <w:szCs w:val="32"/>
          <w:highlight w:val="none"/>
          <w:u w:val="none"/>
          <w:lang w:val="zh-CN"/>
        </w:rPr>
      </w:pPr>
      <w:r>
        <w:rPr>
          <w:rFonts w:hint="eastAsia" w:ascii="宋体" w:hAnsi="宋体" w:eastAsia="黑体" w:cs="黑体"/>
          <w:b w:val="0"/>
          <w:bCs/>
          <w:color w:val="auto"/>
          <w:sz w:val="32"/>
          <w:szCs w:val="32"/>
          <w:highlight w:val="none"/>
          <w:u w:val="none"/>
          <w:lang w:val="en-US" w:eastAsia="zh-CN"/>
        </w:rPr>
        <w:t>二、</w:t>
      </w:r>
      <w:r>
        <w:rPr>
          <w:rFonts w:hint="eastAsia" w:ascii="宋体" w:hAnsi="宋体" w:eastAsia="黑体" w:cs="黑体"/>
          <w:b w:val="0"/>
          <w:bCs/>
          <w:color w:val="auto"/>
          <w:sz w:val="32"/>
          <w:szCs w:val="32"/>
          <w:highlight w:val="none"/>
          <w:u w:val="none"/>
          <w:lang w:val="zh-CN"/>
        </w:rPr>
        <w:t>区级部门预算执行审计情况</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对12个部门开展预算执行审计，重点关注预算编制、预算执行、项目绩效、政府采购等情况。从审计情况看，相关单位能够认真履行主体责任，持续加强预算管理，预算执行情况总体较好。审计发现的主要问题有：</w:t>
      </w:r>
    </w:p>
    <w:p>
      <w:pPr>
        <w:pStyle w:val="5"/>
        <w:keepNext w:val="0"/>
        <w:keepLines w:val="0"/>
        <w:pageBreakBefore w:val="0"/>
        <w:widowControl w:val="0"/>
        <w:numPr>
          <w:ilvl w:val="0"/>
          <w:numId w:val="1"/>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kern w:val="0"/>
          <w:sz w:val="32"/>
          <w:szCs w:val="32"/>
          <w:lang w:val="en-US" w:eastAsia="zh-CN" w:bidi="ar-SA"/>
        </w:rPr>
      </w:pPr>
      <w:r>
        <w:rPr>
          <w:rFonts w:hint="eastAsia" w:ascii="楷体_GB2312" w:hAnsi="楷体_GB2312" w:eastAsia="楷体_GB2312" w:cs="楷体_GB2312"/>
          <w:kern w:val="0"/>
          <w:sz w:val="32"/>
          <w:szCs w:val="32"/>
          <w:lang w:val="en-US" w:eastAsia="zh-CN" w:bidi="ar-SA"/>
        </w:rPr>
        <w:t>部门预决算编制和执行不严格</w:t>
      </w:r>
    </w:p>
    <w:p>
      <w:pPr>
        <w:pStyle w:val="5"/>
        <w:keepNext w:val="0"/>
        <w:keepLines w:val="0"/>
        <w:pageBreakBefore w:val="0"/>
        <w:widowControl w:val="0"/>
        <w:numPr>
          <w:ilvl w:val="-1"/>
          <w:numId w:val="0"/>
        </w:numPr>
        <w:kinsoku/>
        <w:wordWrap/>
        <w:overflowPunct/>
        <w:topLinePunct w:val="0"/>
        <w:autoSpaceDE/>
        <w:autoSpaceDN/>
        <w:bidi w:val="0"/>
        <w:adjustRightInd/>
        <w:spacing w:line="600" w:lineRule="exact"/>
        <w:ind w:firstLine="643" w:firstLineChars="200"/>
        <w:textAlignment w:val="auto"/>
        <w:rPr>
          <w:rFonts w:hint="eastAsia" w:ascii="仿宋_GB2312" w:hAnsi="仿宋_GB2312" w:cs="仿宋_GB2312"/>
          <w:b w:val="0"/>
          <w:bCs w:val="0"/>
          <w:color w:val="404040"/>
          <w:kern w:val="2"/>
          <w:sz w:val="32"/>
          <w:szCs w:val="32"/>
          <w:lang w:val="en-US" w:eastAsia="zh-CN" w:bidi="ar-SA"/>
        </w:rPr>
      </w:pPr>
      <w:r>
        <w:rPr>
          <w:rFonts w:hint="eastAsia" w:ascii="仿宋_GB2312" w:hAnsi="仿宋_GB2312" w:cs="仿宋_GB2312"/>
          <w:b/>
          <w:bCs/>
          <w:color w:val="404040"/>
          <w:kern w:val="2"/>
          <w:sz w:val="32"/>
          <w:szCs w:val="32"/>
          <w:highlight w:val="none"/>
          <w:lang w:val="en-US" w:eastAsia="zh-CN" w:bidi="ar-SA"/>
        </w:rPr>
        <w:t>一是预算编制不科学。</w:t>
      </w:r>
      <w:r>
        <w:rPr>
          <w:rFonts w:hint="eastAsia" w:ascii="仿宋_GB2312" w:hAnsi="仿宋_GB2312" w:eastAsia="仿宋_GB2312" w:cs="仿宋_GB2312"/>
          <w:b w:val="0"/>
          <w:bCs w:val="0"/>
          <w:color w:val="404040"/>
          <w:kern w:val="2"/>
          <w:sz w:val="32"/>
          <w:szCs w:val="32"/>
          <w:lang w:val="en-US" w:eastAsia="zh-CN" w:bidi="ar-SA"/>
        </w:rPr>
        <w:t>18个项目预算编制不细化</w:t>
      </w:r>
      <w:r>
        <w:rPr>
          <w:rFonts w:hint="eastAsia" w:ascii="仿宋_GB2312" w:hAnsi="仿宋_GB2312" w:cs="仿宋_GB2312"/>
          <w:b w:val="0"/>
          <w:bCs w:val="0"/>
          <w:color w:val="404040"/>
          <w:kern w:val="2"/>
          <w:sz w:val="32"/>
          <w:szCs w:val="32"/>
          <w:lang w:val="en-US" w:eastAsia="zh-CN" w:bidi="ar-SA"/>
        </w:rPr>
        <w:t>、不准确</w:t>
      </w:r>
      <w:r>
        <w:rPr>
          <w:rFonts w:hint="eastAsia" w:ascii="仿宋_GB2312" w:hAnsi="仿宋_GB2312" w:eastAsia="仿宋_GB2312" w:cs="仿宋_GB2312"/>
          <w:b w:val="0"/>
          <w:bCs w:val="0"/>
          <w:color w:val="404040"/>
          <w:kern w:val="2"/>
          <w:sz w:val="32"/>
          <w:szCs w:val="32"/>
          <w:lang w:val="en-US" w:eastAsia="zh-CN" w:bidi="ar-SA"/>
        </w:rPr>
        <w:t>,如13个项目应为年初预算</w:t>
      </w:r>
      <w:r>
        <w:rPr>
          <w:rFonts w:hint="eastAsia" w:ascii="仿宋_GB2312" w:hAnsi="仿宋_GB2312" w:cs="仿宋_GB2312"/>
          <w:b w:val="0"/>
          <w:bCs w:val="0"/>
          <w:color w:val="404040"/>
          <w:kern w:val="2"/>
          <w:sz w:val="32"/>
          <w:szCs w:val="32"/>
          <w:lang w:val="en-US" w:eastAsia="zh-CN" w:bidi="ar-SA"/>
        </w:rPr>
        <w:t>编制</w:t>
      </w:r>
      <w:r>
        <w:rPr>
          <w:rFonts w:hint="eastAsia" w:ascii="仿宋_GB2312" w:hAnsi="仿宋_GB2312" w:eastAsia="仿宋_GB2312" w:cs="仿宋_GB2312"/>
          <w:b w:val="0"/>
          <w:bCs w:val="0"/>
          <w:color w:val="404040"/>
          <w:kern w:val="2"/>
          <w:sz w:val="32"/>
          <w:szCs w:val="32"/>
          <w:lang w:val="en-US" w:eastAsia="zh-CN" w:bidi="ar-SA"/>
        </w:rPr>
        <w:t>项目，未列入年初预算申报</w:t>
      </w:r>
      <w:r>
        <w:rPr>
          <w:rFonts w:hint="eastAsia" w:ascii="仿宋_GB2312" w:hAnsi="仿宋_GB2312" w:cs="仿宋_GB2312"/>
          <w:b w:val="0"/>
          <w:bCs w:val="0"/>
          <w:color w:val="404040"/>
          <w:kern w:val="2"/>
          <w:sz w:val="32"/>
          <w:szCs w:val="32"/>
          <w:lang w:val="en-US" w:eastAsia="zh-CN" w:bidi="ar-SA"/>
        </w:rPr>
        <w:t>；个别单位</w:t>
      </w:r>
      <w:r>
        <w:rPr>
          <w:rFonts w:hint="eastAsia" w:ascii="仿宋_GB2312" w:hAnsi="仿宋_GB2312" w:eastAsia="仿宋_GB2312" w:cs="仿宋_GB2312"/>
          <w:b w:val="0"/>
          <w:bCs w:val="0"/>
          <w:color w:val="404040"/>
          <w:kern w:val="2"/>
          <w:sz w:val="32"/>
          <w:szCs w:val="32"/>
          <w:lang w:val="en-US" w:eastAsia="zh-CN" w:bidi="ar-SA"/>
        </w:rPr>
        <w:t>2025年新增两个项目，未按要求选取至少一个进行事前绩效评估。</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eastAsia="仿宋_GB2312" w:cs="仿宋_GB2312"/>
          <w:b/>
          <w:bCs/>
          <w:color w:val="404040"/>
          <w:kern w:val="2"/>
          <w:sz w:val="32"/>
          <w:szCs w:val="32"/>
          <w:lang w:val="en-US" w:eastAsia="zh-CN" w:bidi="ar-SA"/>
        </w:rPr>
        <w:t>二是预算执行和绩效管理不规范</w:t>
      </w:r>
      <w:r>
        <w:rPr>
          <w:rFonts w:hint="eastAsia" w:ascii="仿宋_GB2312" w:hAnsi="仿宋_GB2312" w:cs="仿宋_GB2312"/>
          <w:b/>
          <w:bCs/>
          <w:color w:val="404040"/>
          <w:kern w:val="2"/>
          <w:sz w:val="32"/>
          <w:szCs w:val="32"/>
          <w:lang w:val="en-US" w:eastAsia="zh-CN" w:bidi="ar-SA"/>
        </w:rPr>
        <w:t>。</w:t>
      </w:r>
      <w:r>
        <w:rPr>
          <w:rFonts w:hint="eastAsia" w:ascii="仿宋_GB2312" w:hAnsi="仿宋_GB2312" w:eastAsia="仿宋_GB2312" w:cs="仿宋_GB2312"/>
          <w:b w:val="0"/>
          <w:bCs w:val="0"/>
          <w:color w:val="404040"/>
          <w:kern w:val="2"/>
          <w:sz w:val="32"/>
          <w:szCs w:val="32"/>
          <w:lang w:val="en-US" w:eastAsia="zh-CN" w:bidi="ar-SA"/>
        </w:rPr>
        <w:t>3个项目预算执行率低</w:t>
      </w:r>
      <w:r>
        <w:rPr>
          <w:rFonts w:hint="eastAsia" w:ascii="仿宋_GB2312" w:hAnsi="仿宋_GB2312" w:cs="仿宋_GB2312"/>
          <w:b w:val="0"/>
          <w:bCs w:val="0"/>
          <w:color w:val="404040"/>
          <w:kern w:val="2"/>
          <w:sz w:val="32"/>
          <w:szCs w:val="32"/>
          <w:lang w:val="en-US" w:eastAsia="zh-CN" w:bidi="ar-SA"/>
        </w:rPr>
        <w:t>；</w:t>
      </w:r>
      <w:r>
        <w:rPr>
          <w:rFonts w:hint="eastAsia" w:ascii="仿宋_GB2312" w:hAnsi="仿宋_GB2312" w:eastAsia="仿宋_GB2312" w:cs="仿宋_GB2312"/>
          <w:b w:val="0"/>
          <w:bCs w:val="0"/>
          <w:color w:val="404040"/>
          <w:kern w:val="2"/>
          <w:sz w:val="32"/>
          <w:szCs w:val="32"/>
          <w:lang w:val="en-US" w:eastAsia="zh-CN" w:bidi="ar-SA"/>
        </w:rPr>
        <w:t>9个项目未严格按照预算批复内容执行</w:t>
      </w:r>
      <w:r>
        <w:rPr>
          <w:rFonts w:hint="eastAsia" w:ascii="仿宋_GB2312" w:hAnsi="仿宋_GB2312" w:cs="仿宋_GB2312"/>
          <w:b w:val="0"/>
          <w:bCs w:val="0"/>
          <w:color w:val="404040"/>
          <w:kern w:val="2"/>
          <w:sz w:val="32"/>
          <w:szCs w:val="32"/>
          <w:lang w:val="en-US" w:eastAsia="zh-CN" w:bidi="ar-SA"/>
        </w:rPr>
        <w:t>；</w:t>
      </w:r>
      <w:r>
        <w:rPr>
          <w:rFonts w:hint="eastAsia" w:ascii="仿宋_GB2312" w:hAnsi="仿宋_GB2312" w:cs="仿宋_GB2312"/>
          <w:sz w:val="32"/>
          <w:szCs w:val="32"/>
          <w:highlight w:val="none"/>
          <w:lang w:val="en-US" w:eastAsia="zh-CN"/>
        </w:rPr>
        <w:t>2个项目未及时开展，造成绩效目标未实现。</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3" w:firstLineChars="200"/>
        <w:textAlignment w:val="auto"/>
        <w:rPr>
          <w:rFonts w:hint="eastAsia" w:ascii="仿宋_GB2312" w:hAnsi="仿宋_GB2312" w:eastAsia="仿宋_GB2312" w:cs="仿宋_GB2312"/>
          <w:b w:val="0"/>
          <w:bCs w:val="0"/>
          <w:color w:val="404040"/>
          <w:kern w:val="2"/>
          <w:sz w:val="32"/>
          <w:szCs w:val="32"/>
          <w:lang w:val="en-US" w:eastAsia="zh-CN" w:bidi="ar-SA"/>
        </w:rPr>
      </w:pPr>
      <w:r>
        <w:rPr>
          <w:rFonts w:hint="eastAsia" w:ascii="仿宋_GB2312" w:hAnsi="仿宋_GB2312" w:cs="仿宋_GB2312"/>
          <w:b/>
          <w:bCs/>
          <w:color w:val="404040"/>
          <w:kern w:val="2"/>
          <w:sz w:val="32"/>
          <w:szCs w:val="32"/>
          <w:lang w:val="en-US" w:eastAsia="zh-CN" w:bidi="ar-SA"/>
        </w:rPr>
        <w:t>三是决算草案编制不准确。</w:t>
      </w:r>
      <w:r>
        <w:rPr>
          <w:rFonts w:hint="eastAsia" w:ascii="仿宋_GB2312" w:hAnsi="仿宋_GB2312" w:cs="仿宋_GB2312"/>
          <w:b w:val="0"/>
          <w:bCs w:val="0"/>
          <w:color w:val="404040"/>
          <w:kern w:val="2"/>
          <w:sz w:val="32"/>
          <w:szCs w:val="32"/>
          <w:lang w:val="en-US" w:eastAsia="zh-CN" w:bidi="ar-SA"/>
        </w:rPr>
        <w:t>部分单位决算报表中差旅费、培训费等明细项填报不准确</w:t>
      </w:r>
      <w:r>
        <w:rPr>
          <w:rFonts w:hint="eastAsia" w:ascii="仿宋_GB2312" w:hAnsi="楷体"/>
          <w:bCs/>
          <w:sz w:val="32"/>
          <w:szCs w:val="32"/>
          <w:highlight w:val="none"/>
          <w:lang w:eastAsia="zh-CN"/>
        </w:rPr>
        <w:t>。</w:t>
      </w:r>
    </w:p>
    <w:p>
      <w:pPr>
        <w:pStyle w:val="5"/>
        <w:keepNext w:val="0"/>
        <w:keepLines w:val="0"/>
        <w:pageBreakBefore w:val="0"/>
        <w:widowControl w:val="0"/>
        <w:numPr>
          <w:ilvl w:val="-1"/>
          <w:numId w:val="0"/>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（二）资金使用效益不高</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部分单位存在</w:t>
      </w:r>
      <w:r>
        <w:rPr>
          <w:rFonts w:hint="eastAsia" w:ascii="仿宋_GB2312" w:hAnsi="仿宋_GB2312" w:eastAsia="仿宋_GB2312" w:cs="仿宋_GB2312"/>
          <w:sz w:val="32"/>
          <w:szCs w:val="32"/>
          <w:highlight w:val="none"/>
          <w:lang w:val="en-US" w:eastAsia="zh-CN"/>
        </w:rPr>
        <w:t>以前年度结余资金未及时上缴区财政</w:t>
      </w:r>
      <w:r>
        <w:rPr>
          <w:rFonts w:hint="eastAsia" w:ascii="仿宋_GB2312" w:hAnsi="仿宋_GB2312" w:cs="仿宋_GB2312"/>
          <w:sz w:val="32"/>
          <w:szCs w:val="32"/>
          <w:highlight w:val="none"/>
          <w:lang w:val="en-US" w:eastAsia="zh-CN"/>
        </w:rPr>
        <w:t>，年报设计制作</w:t>
      </w:r>
      <w:r>
        <w:rPr>
          <w:rFonts w:hint="eastAsia" w:ascii="仿宋_GB2312" w:hAnsi="仿宋_GB2312" w:eastAsia="仿宋_GB2312" w:cs="仿宋_GB2312"/>
          <w:sz w:val="32"/>
          <w:szCs w:val="32"/>
          <w:highlight w:val="none"/>
          <w:lang w:val="en-US" w:eastAsia="zh-CN"/>
        </w:rPr>
        <w:t>资金未充分发挥效益</w:t>
      </w:r>
      <w:r>
        <w:rPr>
          <w:rFonts w:hint="eastAsia" w:ascii="仿宋_GB2312" w:hAnsi="仿宋_GB2312" w:cs="仿宋_GB2312"/>
          <w:sz w:val="32"/>
          <w:szCs w:val="32"/>
          <w:highlight w:val="none"/>
          <w:lang w:val="en-US" w:eastAsia="zh-CN"/>
        </w:rPr>
        <w:t>，</w:t>
      </w:r>
      <w:r>
        <w:rPr>
          <w:rFonts w:hint="eastAsia" w:ascii="仿宋_GB2312" w:hAnsi="仿宋_GB2312" w:cs="仿宋_GB2312"/>
          <w:sz w:val="32"/>
          <w:szCs w:val="32"/>
          <w:lang w:val="en-US" w:eastAsia="zh-CN"/>
        </w:rPr>
        <w:t>科研项目结余经费未统筹安</w:t>
      </w:r>
      <w:r>
        <w:rPr>
          <w:rFonts w:hint="eastAsia" w:ascii="仿宋_GB2312" w:hAnsi="仿宋_GB2312" w:cs="仿宋_GB2312"/>
          <w:sz w:val="32"/>
          <w:szCs w:val="32"/>
          <w:highlight w:val="none"/>
          <w:lang w:val="en-US" w:eastAsia="zh-CN"/>
        </w:rPr>
        <w:t>排的问题。</w:t>
      </w:r>
    </w:p>
    <w:p>
      <w:pPr>
        <w:pStyle w:val="5"/>
        <w:keepNext w:val="0"/>
        <w:keepLines w:val="0"/>
        <w:pageBreakBefore w:val="0"/>
        <w:widowControl w:val="0"/>
        <w:numPr>
          <w:ilvl w:val="-1"/>
          <w:numId w:val="0"/>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（三）政府购买服务或委托外包事项管理不规范</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lang w:val="en-US" w:eastAsia="zh-CN"/>
        </w:rPr>
        <w:t>4个项目超范围实施政府购买服务</w:t>
      </w:r>
      <w:r>
        <w:rPr>
          <w:rFonts w:hint="eastAsia" w:ascii="仿宋_GB2312" w:hAnsi="仿宋_GB2312" w:cs="仿宋_GB2312"/>
          <w:sz w:val="32"/>
          <w:szCs w:val="32"/>
          <w:highlight w:val="none"/>
          <w:lang w:val="en-US" w:eastAsia="zh-CN"/>
        </w:rPr>
        <w:t>，如将应由单位自身履行的监督管理责任外包给第三方；</w:t>
      </w:r>
      <w:r>
        <w:rPr>
          <w:rFonts w:hint="eastAsia" w:ascii="仿宋_GB2312" w:hAnsi="仿宋_GB2312" w:cs="仿宋_GB2312"/>
          <w:sz w:val="32"/>
          <w:szCs w:val="32"/>
          <w:lang w:val="en-US" w:eastAsia="zh-CN"/>
        </w:rPr>
        <w:t>将个别项目委托外包给</w:t>
      </w:r>
      <w:r>
        <w:rPr>
          <w:rFonts w:hint="eastAsia" w:ascii="仿宋_GB2312" w:hAnsi="仿宋_GB2312" w:cs="仿宋_GB2312"/>
          <w:sz w:val="32"/>
          <w:szCs w:val="32"/>
          <w:highlight w:val="none"/>
          <w:lang w:val="en-US" w:eastAsia="zh-CN"/>
        </w:rPr>
        <w:t>无相关资质企业；</w:t>
      </w:r>
      <w:r>
        <w:rPr>
          <w:rFonts w:hint="eastAsia" w:ascii="仿宋_GB2312" w:hAnsi="仿宋_GB2312" w:cs="仿宋_GB2312"/>
          <w:sz w:val="32"/>
          <w:szCs w:val="32"/>
          <w:lang w:val="en-US" w:eastAsia="zh-CN"/>
        </w:rPr>
        <w:t>个别单位</w:t>
      </w:r>
      <w:r>
        <w:rPr>
          <w:rFonts w:hint="eastAsia" w:ascii="仿宋_GB2312" w:hAnsi="仿宋_GB2312" w:cs="仿宋_GB2312"/>
          <w:sz w:val="32"/>
          <w:szCs w:val="32"/>
          <w:highlight w:val="none"/>
          <w:lang w:val="en-US" w:eastAsia="zh-CN"/>
        </w:rPr>
        <w:t>合同履约监管不到位，乙方未按合同约定配备服务人员。</w:t>
      </w:r>
    </w:p>
    <w:p>
      <w:pPr>
        <w:pStyle w:val="5"/>
        <w:keepNext w:val="0"/>
        <w:keepLines w:val="0"/>
        <w:pageBreakBefore w:val="0"/>
        <w:widowControl w:val="0"/>
        <w:numPr>
          <w:ilvl w:val="-1"/>
          <w:numId w:val="0"/>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（四）内控制度制定、执行不严谨</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部分单位存在</w:t>
      </w:r>
      <w:r>
        <w:rPr>
          <w:rFonts w:hint="eastAsia" w:ascii="仿宋_GB2312" w:hAnsi="仿宋_GB2312" w:cs="仿宋_GB2312"/>
          <w:sz w:val="32"/>
          <w:szCs w:val="32"/>
          <w:lang w:val="en-US" w:eastAsia="zh-CN"/>
        </w:rPr>
        <w:t>预决算公开主体责任约定与</w:t>
      </w:r>
      <w:r>
        <w:rPr>
          <w:rFonts w:hint="eastAsia" w:ascii="仿宋_GB2312" w:hAnsi="仿宋_GB2312" w:cs="仿宋_GB2312"/>
          <w:sz w:val="32"/>
          <w:szCs w:val="32"/>
          <w:highlight w:val="none"/>
          <w:lang w:val="en-US" w:eastAsia="zh-CN"/>
        </w:rPr>
        <w:t>上级文件条款不符，</w:t>
      </w:r>
      <w:r>
        <w:rPr>
          <w:rFonts w:hint="eastAsia" w:ascii="仿宋_GB2312" w:hAnsi="仿宋_GB2312" w:cs="仿宋_GB2312"/>
          <w:sz w:val="32"/>
          <w:szCs w:val="32"/>
          <w:lang w:val="en-US" w:eastAsia="zh-CN"/>
        </w:rPr>
        <w:t>内控制度间对零星采购方式规定不一致，</w:t>
      </w:r>
      <w:r>
        <w:rPr>
          <w:rFonts w:hint="eastAsia" w:ascii="仿宋_GB2312" w:hAnsi="仿宋_GB2312" w:cs="仿宋_GB2312"/>
          <w:sz w:val="32"/>
          <w:szCs w:val="32"/>
          <w:highlight w:val="none"/>
          <w:lang w:val="en-US" w:eastAsia="zh-CN"/>
        </w:rPr>
        <w:t>30万元以下采购无内控约束等问题。</w:t>
      </w:r>
    </w:p>
    <w:p>
      <w:pPr>
        <w:pStyle w:val="5"/>
        <w:keepNext w:val="0"/>
        <w:keepLines w:val="0"/>
        <w:pageBreakBefore w:val="0"/>
        <w:widowControl w:val="0"/>
        <w:numPr>
          <w:ilvl w:val="-1"/>
          <w:numId w:val="0"/>
        </w:numPr>
        <w:kinsoku/>
        <w:wordWrap/>
        <w:overflowPunct/>
        <w:topLinePunct w:val="0"/>
        <w:autoSpaceDE/>
        <w:autoSpaceDN/>
        <w:bidi w:val="0"/>
        <w:adjustRightInd/>
        <w:spacing w:line="60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（五）采购管理仍需加强</w:t>
      </w:r>
    </w:p>
    <w:p>
      <w:pPr>
        <w:pStyle w:val="5"/>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部分单位</w:t>
      </w:r>
      <w:r>
        <w:rPr>
          <w:rFonts w:hint="eastAsia" w:ascii="仿宋_GB2312" w:hAnsi="仿宋_GB2312" w:cs="仿宋_GB2312"/>
          <w:sz w:val="32"/>
          <w:szCs w:val="32"/>
          <w:lang w:val="en-US" w:eastAsia="zh-CN"/>
        </w:rPr>
        <w:t>存在比选程</w:t>
      </w:r>
      <w:r>
        <w:rPr>
          <w:rFonts w:hint="eastAsia" w:ascii="仿宋_GB2312" w:hAnsi="仿宋_GB2312" w:cs="仿宋_GB2312"/>
          <w:sz w:val="32"/>
          <w:szCs w:val="32"/>
          <w:highlight w:val="none"/>
          <w:lang w:val="en-US" w:eastAsia="zh-CN"/>
        </w:rPr>
        <w:t>序不合规，文件柜等物品购置未履行政</w:t>
      </w:r>
      <w:r>
        <w:rPr>
          <w:rFonts w:hint="eastAsia" w:ascii="仿宋_GB2312" w:hAnsi="仿宋_GB2312" w:cs="仿宋_GB2312"/>
          <w:sz w:val="32"/>
          <w:szCs w:val="32"/>
          <w:lang w:val="en-US" w:eastAsia="zh-CN"/>
        </w:rPr>
        <w:t>府采购程序</w:t>
      </w:r>
      <w:r>
        <w:rPr>
          <w:rFonts w:hint="eastAsia" w:ascii="仿宋_GB2312" w:hAnsi="仿宋_GB2312" w:cs="仿宋_GB2312"/>
          <w:sz w:val="32"/>
          <w:szCs w:val="32"/>
          <w:highlight w:val="none"/>
          <w:lang w:val="en-US" w:eastAsia="zh-CN"/>
        </w:rPr>
        <w:t>，未按合同约定分次付款，</w:t>
      </w:r>
      <w:r>
        <w:rPr>
          <w:rFonts w:hint="eastAsia" w:ascii="仿宋_GB2312" w:hAnsi="仿宋_GB2312" w:cs="仿宋_GB2312"/>
          <w:sz w:val="32"/>
          <w:szCs w:val="32"/>
          <w:lang w:val="en-US" w:eastAsia="zh-CN"/>
        </w:rPr>
        <w:t>个别异地培训地点未按规定选择当地政府采购会议定点场所的问题。</w:t>
      </w:r>
    </w:p>
    <w:p>
      <w:pPr>
        <w:pStyle w:val="27"/>
        <w:keepNext w:val="0"/>
        <w:keepLines w:val="0"/>
        <w:pageBreakBefore w:val="0"/>
        <w:widowControl w:val="0"/>
        <w:kinsoku/>
        <w:wordWrap/>
        <w:overflowPunct/>
        <w:topLinePunct w:val="0"/>
        <w:autoSpaceDE/>
        <w:autoSpaceDN/>
        <w:bidi w:val="0"/>
        <w:adjustRightInd/>
        <w:snapToGrid w:val="0"/>
        <w:spacing w:beforeAutospacing="0" w:afterAutospacing="0" w:line="600" w:lineRule="exact"/>
        <w:ind w:left="0" w:leftChars="0" w:right="0" w:rightChars="0" w:firstLine="640" w:firstLineChars="200"/>
        <w:jc w:val="both"/>
        <w:textAlignment w:val="auto"/>
        <w:outlineLvl w:val="0"/>
        <w:rPr>
          <w:rFonts w:hint="eastAsia" w:ascii="宋体" w:hAnsi="宋体" w:eastAsia="黑体" w:cs="黑体"/>
          <w:b w:val="0"/>
          <w:bCs/>
          <w:color w:val="auto"/>
          <w:sz w:val="32"/>
          <w:szCs w:val="32"/>
          <w:highlight w:val="none"/>
          <w:u w:val="none"/>
          <w:lang w:val="zh-CN" w:eastAsia="zh-CN"/>
        </w:rPr>
      </w:pPr>
      <w:r>
        <w:rPr>
          <w:rFonts w:hint="eastAsia" w:eastAsia="黑体" w:cs="黑体"/>
          <w:b w:val="0"/>
          <w:bCs/>
          <w:color w:val="auto"/>
          <w:sz w:val="32"/>
          <w:szCs w:val="32"/>
          <w:highlight w:val="none"/>
          <w:u w:val="none"/>
          <w:lang w:val="zh-CN" w:eastAsia="zh-CN"/>
        </w:rPr>
        <w:t>三</w:t>
      </w:r>
      <w:r>
        <w:rPr>
          <w:rFonts w:hint="eastAsia" w:ascii="宋体" w:hAnsi="宋体" w:eastAsia="黑体" w:cs="黑体"/>
          <w:b w:val="0"/>
          <w:bCs/>
          <w:color w:val="auto"/>
          <w:sz w:val="32"/>
          <w:szCs w:val="32"/>
          <w:highlight w:val="none"/>
          <w:u w:val="none"/>
          <w:lang w:val="zh-CN" w:eastAsia="zh-CN"/>
        </w:rPr>
        <w:t>、重</w:t>
      </w:r>
      <w:r>
        <w:rPr>
          <w:rFonts w:hint="eastAsia" w:eastAsia="黑体" w:cs="黑体"/>
          <w:b w:val="0"/>
          <w:bCs/>
          <w:color w:val="auto"/>
          <w:sz w:val="32"/>
          <w:szCs w:val="32"/>
          <w:highlight w:val="none"/>
          <w:u w:val="none"/>
          <w:lang w:val="zh-CN" w:eastAsia="zh-CN"/>
        </w:rPr>
        <w:t>点领域及民生资金</w:t>
      </w:r>
      <w:r>
        <w:rPr>
          <w:rFonts w:hint="eastAsia" w:ascii="宋体" w:hAnsi="宋体" w:eastAsia="黑体" w:cs="黑体"/>
          <w:b w:val="0"/>
          <w:bCs/>
          <w:color w:val="auto"/>
          <w:sz w:val="32"/>
          <w:szCs w:val="32"/>
          <w:highlight w:val="none"/>
          <w:u w:val="none"/>
          <w:lang w:val="zh-CN" w:eastAsia="zh-CN"/>
        </w:rPr>
        <w:t>审计情况</w:t>
      </w:r>
    </w:p>
    <w:p>
      <w:pPr>
        <w:pStyle w:val="27"/>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left="0" w:leftChars="0" w:right="0" w:rightChars="0" w:firstLine="640" w:firstLineChars="200"/>
        <w:jc w:val="both"/>
        <w:textAlignment w:val="auto"/>
        <w:rPr>
          <w:rFonts w:hint="eastAsia" w:ascii="仿宋_GB2312" w:hAnsi="仿宋_GB2312" w:eastAsia="仿宋_GB2312" w:cs="Calibri"/>
          <w:kern w:val="0"/>
          <w:sz w:val="32"/>
          <w:szCs w:val="32"/>
          <w:highlight w:val="none"/>
          <w:lang w:val="en-US" w:eastAsia="zh-CN" w:bidi="ar-SA"/>
        </w:rPr>
      </w:pPr>
      <w:r>
        <w:rPr>
          <w:rFonts w:hint="eastAsia" w:ascii="仿宋_GB2312" w:hAnsi="仿宋_GB2312" w:eastAsia="仿宋_GB2312" w:cs="Calibri"/>
          <w:kern w:val="0"/>
          <w:sz w:val="32"/>
          <w:szCs w:val="32"/>
          <w:highlight w:val="none"/>
          <w:lang w:val="en-US" w:eastAsia="zh-CN" w:bidi="ar-SA"/>
        </w:rPr>
        <w:t>聚焦环境整治、基层医疗卫生、绿化养护等重点领域、重点资金、重点项目开展专项审计，重点关注惠民政策落实、资金使用合规性、项目绩效等情况。</w:t>
      </w:r>
    </w:p>
    <w:p>
      <w:pPr>
        <w:keepNext w:val="0"/>
        <w:keepLines w:val="0"/>
        <w:pageBreakBefore w:val="0"/>
        <w:widowControl w:val="0"/>
        <w:numPr>
          <w:ilvl w:val="0"/>
          <w:numId w:val="2"/>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600" w:lineRule="exact"/>
        <w:ind w:left="0" w:leftChars="0" w:right="0" w:rightChars="0"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街区绿化养护资金管理及使用审计情况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b w:val="0"/>
          <w:bCs w:val="0"/>
          <w:i w:val="0"/>
          <w:iCs w:val="0"/>
          <w:kern w:val="2"/>
          <w:sz w:val="32"/>
          <w:szCs w:val="32"/>
          <w:highlight w:val="none"/>
          <w:lang w:val="en-US" w:eastAsia="zh-CN" w:bidi="ar-SA"/>
        </w:rPr>
      </w:pPr>
      <w:r>
        <w:rPr>
          <w:rFonts w:hint="eastAsia" w:ascii="仿宋_GB2312" w:eastAsia="仿宋_GB2312"/>
          <w:color w:val="000000"/>
          <w:sz w:val="32"/>
          <w:szCs w:val="32"/>
          <w:highlight w:val="none"/>
          <w:lang w:val="en-US" w:eastAsia="zh-CN"/>
        </w:rPr>
        <w:t>重点审计了</w:t>
      </w:r>
      <w:r>
        <w:rPr>
          <w:rFonts w:hint="eastAsia" w:ascii="仿宋_GB2312" w:hAnsi="Times New Roman" w:eastAsia="仿宋_GB2312"/>
          <w:color w:val="000000"/>
          <w:sz w:val="32"/>
          <w:szCs w:val="32"/>
          <w:highlight w:val="none"/>
          <w:lang w:eastAsia="zh-CN"/>
        </w:rPr>
        <w:t>资金主管部门、业务主管部门和项目实施</w:t>
      </w:r>
      <w:r>
        <w:rPr>
          <w:rFonts w:hint="eastAsia" w:ascii="仿宋_GB2312" w:eastAsia="仿宋_GB2312"/>
          <w:color w:val="000000"/>
          <w:sz w:val="32"/>
          <w:szCs w:val="32"/>
          <w:highlight w:val="none"/>
          <w:lang w:eastAsia="zh-CN"/>
        </w:rPr>
        <w:t>主体</w:t>
      </w:r>
      <w:r>
        <w:rPr>
          <w:rFonts w:hint="eastAsia" w:ascii="仿宋_GB2312" w:eastAsia="仿宋_GB2312"/>
          <w:color w:val="000000"/>
          <w:sz w:val="32"/>
          <w:szCs w:val="32"/>
          <w:highlight w:val="none"/>
          <w:lang w:val="en-US" w:eastAsia="zh-CN"/>
        </w:rPr>
        <w:t>等9个单位</w:t>
      </w:r>
      <w:r>
        <w:rPr>
          <w:rFonts w:hint="eastAsia" w:ascii="仿宋_GB2312" w:hAnsi="Times New Roman" w:eastAsia="仿宋_GB2312"/>
          <w:color w:val="000000"/>
          <w:sz w:val="32"/>
          <w:szCs w:val="32"/>
          <w:highlight w:val="none"/>
          <w:lang w:eastAsia="zh-CN"/>
        </w:rPr>
        <w:t>政策任务落实、</w:t>
      </w:r>
      <w:r>
        <w:rPr>
          <w:rFonts w:hint="eastAsia" w:ascii="仿宋_GB2312" w:hAnsi="Times New Roman" w:eastAsia="仿宋_GB2312"/>
          <w:color w:val="000000"/>
          <w:sz w:val="32"/>
          <w:szCs w:val="32"/>
          <w:highlight w:val="none"/>
          <w:lang w:val="en-US" w:eastAsia="zh-CN"/>
        </w:rPr>
        <w:t>资金管理使用</w:t>
      </w:r>
      <w:r>
        <w:rPr>
          <w:rFonts w:hint="eastAsia" w:ascii="仿宋_GB2312" w:hAnsi="Times New Roman" w:eastAsia="仿宋_GB2312"/>
          <w:color w:val="000000"/>
          <w:sz w:val="32"/>
          <w:szCs w:val="32"/>
          <w:highlight w:val="none"/>
          <w:lang w:eastAsia="zh-CN"/>
        </w:rPr>
        <w:t>等内容</w:t>
      </w:r>
      <w:r>
        <w:rPr>
          <w:rFonts w:hint="eastAsia" w:ascii="仿宋_GB2312" w:hAnsi="Times New Roman" w:eastAsia="仿宋_GB2312"/>
          <w:color w:val="000000"/>
          <w:sz w:val="32"/>
          <w:szCs w:val="32"/>
          <w:highlight w:val="none"/>
          <w:lang w:val="en-US" w:eastAsia="zh-CN"/>
        </w:rPr>
        <w:t>。</w:t>
      </w:r>
      <w:r>
        <w:rPr>
          <w:rFonts w:hint="eastAsia" w:ascii="仿宋_GB2312" w:hAnsi="Times New Roman" w:eastAsia="仿宋_GB2312"/>
          <w:color w:val="000000"/>
          <w:sz w:val="32"/>
          <w:szCs w:val="32"/>
          <w:highlight w:val="none"/>
          <w:lang w:eastAsia="zh-CN"/>
        </w:rPr>
        <w:t>发现存在</w:t>
      </w:r>
      <w:r>
        <w:rPr>
          <w:rFonts w:hint="eastAsia" w:ascii="仿宋_GB2312" w:eastAsia="仿宋_GB2312" w:cs="Times New Roman"/>
          <w:color w:val="auto"/>
          <w:sz w:val="32"/>
          <w:szCs w:val="32"/>
          <w:highlight w:val="none"/>
          <w:lang w:eastAsia="zh-CN"/>
        </w:rPr>
        <w:t>以下</w:t>
      </w:r>
      <w:r>
        <w:rPr>
          <w:rFonts w:hint="eastAsia" w:ascii="仿宋_GB2312" w:hAnsi="Times New Roman" w:eastAsia="仿宋_GB2312" w:cs="Times New Roman"/>
          <w:color w:val="auto"/>
          <w:sz w:val="32"/>
          <w:szCs w:val="32"/>
          <w:highlight w:val="none"/>
          <w:lang w:eastAsia="zh-CN"/>
        </w:rPr>
        <w:t>主要问题：</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kern w:val="2"/>
          <w:sz w:val="32"/>
          <w:szCs w:val="32"/>
          <w:highlight w:val="none"/>
          <w:lang w:val="en-US" w:eastAsia="zh-CN" w:bidi="ar-SA"/>
        </w:rPr>
        <w:t>绿化养护基础数据不实</w:t>
      </w:r>
      <w:r>
        <w:rPr>
          <w:rFonts w:hint="eastAsia" w:ascii="仿宋_GB2312" w:hAnsi="仿宋_GB2312" w:eastAsia="仿宋_GB2312" w:cs="仿宋_GB2312"/>
          <w:bCs/>
          <w:kern w:val="2"/>
          <w:sz w:val="32"/>
          <w:szCs w:val="32"/>
          <w:highlight w:val="none"/>
          <w:lang w:val="en-US" w:eastAsia="zh-CN" w:bidi="ar-SA"/>
        </w:rPr>
        <w:t>，</w:t>
      </w:r>
      <w:r>
        <w:rPr>
          <w:rFonts w:hint="eastAsia" w:ascii="仿宋_GB2312" w:hAnsi="Times New Roman" w:eastAsia="仿宋_GB2312" w:cs="Times New Roman"/>
          <w:color w:val="000000"/>
          <w:sz w:val="32"/>
          <w:szCs w:val="32"/>
          <w:highlight w:val="none"/>
          <w:lang w:val="en-US" w:eastAsia="zh-CN"/>
        </w:rPr>
        <w:t>部分点位</w:t>
      </w:r>
      <w:r>
        <w:rPr>
          <w:rFonts w:hint="eastAsia" w:ascii="仿宋_GB2312" w:hAnsi="仿宋_GB2312" w:eastAsia="仿宋_GB2312" w:cs="仿宋_GB2312"/>
          <w:b w:val="0"/>
          <w:bCs w:val="0"/>
          <w:i w:val="0"/>
          <w:iCs w:val="0"/>
          <w:kern w:val="2"/>
          <w:sz w:val="32"/>
          <w:szCs w:val="32"/>
          <w:highlight w:val="none"/>
          <w:lang w:val="en-US" w:eastAsia="zh-CN" w:bidi="ar-SA"/>
        </w:rPr>
        <w:t>申</w:t>
      </w:r>
      <w:r>
        <w:rPr>
          <w:rFonts w:hint="eastAsia" w:ascii="仿宋_GB2312" w:hAnsi="Times New Roman" w:eastAsia="仿宋_GB2312" w:cs="Times New Roman"/>
          <w:color w:val="000000"/>
          <w:sz w:val="32"/>
          <w:szCs w:val="32"/>
          <w:highlight w:val="none"/>
          <w:lang w:val="en-US" w:eastAsia="zh-CN"/>
        </w:rPr>
        <w:t>报的绿化养护面积不准确</w:t>
      </w:r>
      <w:r>
        <w:rPr>
          <w:rFonts w:hint="eastAsia" w:ascii="仿宋_GB2312" w:eastAsia="仿宋_GB2312" w:cs="Times New Roman"/>
          <w:color w:val="00000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二是</w:t>
      </w:r>
      <w:r>
        <w:rPr>
          <w:rFonts w:hint="eastAsia" w:ascii="仿宋_GB2312" w:hAnsi="Times New Roman" w:eastAsia="仿宋_GB2312"/>
          <w:color w:val="000000"/>
          <w:sz w:val="32"/>
          <w:szCs w:val="32"/>
          <w:highlight w:val="none"/>
          <w:lang w:val="en-US" w:eastAsia="zh-CN"/>
        </w:rPr>
        <w:t>绿化养护</w:t>
      </w:r>
      <w:bookmarkStart w:id="3" w:name="_GoBack"/>
      <w:bookmarkEnd w:id="3"/>
      <w:r>
        <w:rPr>
          <w:rFonts w:hint="eastAsia" w:ascii="仿宋_GB2312" w:hAnsi="Times New Roman" w:eastAsia="仿宋_GB2312"/>
          <w:color w:val="000000"/>
          <w:sz w:val="32"/>
          <w:szCs w:val="32"/>
          <w:highlight w:val="none"/>
          <w:lang w:val="en-US" w:eastAsia="zh-CN"/>
        </w:rPr>
        <w:t>作业管理不规范</w:t>
      </w:r>
      <w:r>
        <w:rPr>
          <w:rFonts w:hint="eastAsia" w:ascii="仿宋_GB2312" w:eastAsia="仿宋_GB2312"/>
          <w:color w:val="000000"/>
          <w:sz w:val="32"/>
          <w:szCs w:val="32"/>
          <w:highlight w:val="none"/>
          <w:lang w:val="en-US" w:eastAsia="zh-CN"/>
        </w:rPr>
        <w:t>。存在</w:t>
      </w:r>
      <w:r>
        <w:rPr>
          <w:rFonts w:hint="eastAsia" w:ascii="仿宋_GB2312" w:hAnsi="仿宋_GB2312" w:eastAsia="仿宋_GB2312" w:cs="仿宋_GB2312"/>
          <w:sz w:val="32"/>
          <w:szCs w:val="32"/>
          <w:lang w:val="en-US" w:eastAsia="zh-CN"/>
        </w:rPr>
        <w:t>未经许可或许可逾期砍伐树木</w:t>
      </w:r>
      <w:r>
        <w:rPr>
          <w:rFonts w:hint="eastAsia" w:ascii="仿宋_GB2312" w:hAnsi="仿宋_GB2312" w:eastAsia="仿宋_GB2312" w:cs="仿宋_GB2312"/>
          <w:b w:val="0"/>
          <w:bCs w:val="0"/>
          <w:i w:val="0"/>
          <w:iCs w:val="0"/>
          <w:kern w:val="2"/>
          <w:sz w:val="32"/>
          <w:szCs w:val="32"/>
          <w:highlight w:val="none"/>
          <w:lang w:val="en-US" w:eastAsia="zh-CN" w:bidi="ar-SA"/>
        </w:rPr>
        <w:t>；树木补植地点及情况无法确认或砍伐后未进行补植等问题。</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i w:val="0"/>
          <w:iCs w:val="0"/>
          <w:kern w:val="2"/>
          <w:sz w:val="32"/>
          <w:szCs w:val="32"/>
          <w:highlight w:val="none"/>
          <w:lang w:val="en-US" w:eastAsia="zh-CN" w:bidi="ar-SA"/>
        </w:rPr>
        <w:t>未按实际需求采购药品，导致库存药品过期。</w:t>
      </w:r>
      <w:r>
        <w:rPr>
          <w:rFonts w:hint="eastAsia" w:ascii="仿宋_GB2312" w:hAnsi="仿宋_GB2312" w:eastAsia="仿宋_GB2312" w:cs="仿宋_GB2312"/>
          <w:b/>
          <w:bCs/>
          <w:i w:val="0"/>
          <w:iCs w:val="0"/>
          <w:kern w:val="2"/>
          <w:sz w:val="32"/>
          <w:szCs w:val="32"/>
          <w:highlight w:val="none"/>
          <w:lang w:val="en-US" w:eastAsia="zh-CN" w:bidi="ar-SA"/>
        </w:rPr>
        <w:t>四是</w:t>
      </w:r>
      <w:r>
        <w:rPr>
          <w:rFonts w:hint="eastAsia" w:ascii="仿宋_GB2312" w:hAnsi="仿宋_GB2312" w:eastAsia="仿宋_GB2312" w:cs="仿宋_GB2312"/>
          <w:b w:val="0"/>
          <w:bCs w:val="0"/>
          <w:i w:val="0"/>
          <w:iCs w:val="0"/>
          <w:kern w:val="2"/>
          <w:sz w:val="32"/>
          <w:szCs w:val="32"/>
          <w:highlight w:val="none"/>
          <w:lang w:val="en-US" w:eastAsia="zh-CN" w:bidi="ar-SA"/>
        </w:rPr>
        <w:t>采购管理不严格。</w:t>
      </w:r>
      <w:r>
        <w:rPr>
          <w:rFonts w:hint="eastAsia" w:ascii="仿宋_GB2312" w:hAnsi="仿宋_GB2312" w:eastAsia="仿宋_GB2312" w:cs="仿宋_GB2312"/>
          <w:kern w:val="2"/>
          <w:sz w:val="32"/>
          <w:szCs w:val="32"/>
          <w:highlight w:val="none"/>
          <w:lang w:val="en-US" w:eastAsia="zh-CN" w:bidi="ar-SA"/>
        </w:rPr>
        <w:t>3个项目已达公开招标标准，未履行公开招标程序等</w:t>
      </w:r>
      <w:r>
        <w:rPr>
          <w:rFonts w:hint="eastAsia" w:ascii="仿宋_GB2312" w:hAnsi="仿宋_GB2312" w:eastAsia="仿宋_GB2312" w:cs="仿宋_GB2312"/>
          <w:b w:val="0"/>
          <w:bCs w:val="0"/>
          <w:i w:val="0"/>
          <w:iCs w:val="0"/>
          <w:kern w:val="2"/>
          <w:sz w:val="32"/>
          <w:szCs w:val="32"/>
          <w:highlight w:val="none"/>
          <w:lang w:val="en-US" w:eastAsia="zh-CN" w:bidi="ar-SA"/>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600" w:lineRule="exact"/>
        <w:ind w:left="0" w:leftChars="0" w:right="0" w:rightChars="0"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（二）信息化项目管理审计情况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right="0" w:rightChars="0"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eastAsia="仿宋_GB2312"/>
          <w:sz w:val="32"/>
          <w:szCs w:val="32"/>
          <w:highlight w:val="none"/>
        </w:rPr>
        <w:t>重点审计了</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个单</w:t>
      </w:r>
      <w:r>
        <w:rPr>
          <w:rFonts w:hint="eastAsia" w:ascii="仿宋_GB2312" w:hAnsi="Times New Roman" w:eastAsia="仿宋_GB2312" w:cs="Times New Roman"/>
          <w:sz w:val="32"/>
          <w:szCs w:val="32"/>
          <w:highlight w:val="none"/>
        </w:rPr>
        <w:t>位</w:t>
      </w:r>
      <w:r>
        <w:rPr>
          <w:rFonts w:hint="eastAsia" w:ascii="仿宋_GB2312" w:hAnsi="Times New Roman" w:eastAsia="仿宋_GB2312" w:cs="Times New Roman"/>
          <w:sz w:val="32"/>
          <w:szCs w:val="32"/>
          <w:highlight w:val="none"/>
          <w:lang w:val="en-US" w:eastAsia="zh-CN"/>
        </w:rPr>
        <w:t>信息化项目建设管理、</w:t>
      </w:r>
      <w:r>
        <w:rPr>
          <w:rFonts w:hint="eastAsia" w:ascii="仿宋_GB2312" w:hAnsi="Times New Roman" w:eastAsia="仿宋_GB2312" w:cs="Times New Roman"/>
          <w:sz w:val="32"/>
          <w:szCs w:val="32"/>
          <w:highlight w:val="none"/>
          <w:lang w:eastAsia="zh-CN"/>
        </w:rPr>
        <w:t>应用绩效、网络和信息安全等事项</w:t>
      </w:r>
      <w:r>
        <w:rPr>
          <w:rFonts w:hint="eastAsia" w:ascii="仿宋_GB2312" w:eastAsia="仿宋_GB2312"/>
          <w:sz w:val="32"/>
          <w:szCs w:val="32"/>
          <w:highlight w:val="none"/>
          <w:lang w:eastAsia="zh-CN"/>
        </w:rPr>
        <w:t>。</w:t>
      </w:r>
      <w:r>
        <w:rPr>
          <w:rFonts w:hint="eastAsia" w:ascii="仿宋_GB2312" w:hAnsi="Times New Roman" w:eastAsia="仿宋_GB2312" w:cs="Times New Roman"/>
          <w:color w:val="auto"/>
          <w:sz w:val="32"/>
          <w:szCs w:val="32"/>
          <w:highlight w:val="none"/>
          <w:lang w:eastAsia="zh-CN"/>
        </w:rPr>
        <w:t>发现</w:t>
      </w:r>
      <w:r>
        <w:rPr>
          <w:rFonts w:hint="eastAsia" w:ascii="仿宋_GB2312" w:eastAsia="仿宋_GB2312" w:cs="Times New Roman"/>
          <w:color w:val="auto"/>
          <w:sz w:val="32"/>
          <w:szCs w:val="32"/>
          <w:highlight w:val="none"/>
          <w:lang w:eastAsia="zh-CN"/>
        </w:rPr>
        <w:t>存在以下</w:t>
      </w:r>
      <w:r>
        <w:rPr>
          <w:rFonts w:hint="eastAsia" w:ascii="仿宋_GB2312" w:hAnsi="Times New Roman" w:eastAsia="仿宋_GB2312" w:cs="Times New Roman"/>
          <w:color w:val="auto"/>
          <w:sz w:val="32"/>
          <w:szCs w:val="32"/>
          <w:highlight w:val="none"/>
          <w:lang w:eastAsia="zh-CN"/>
        </w:rPr>
        <w:t>主要问题：</w:t>
      </w:r>
      <w:r>
        <w:rPr>
          <w:rFonts w:hint="eastAsia" w:eastAsia="仿宋_GB2312"/>
          <w:b/>
          <w:bCs/>
          <w:sz w:val="32"/>
          <w:szCs w:val="32"/>
          <w:highlight w:val="none"/>
          <w:lang w:eastAsia="zh-CN"/>
        </w:rPr>
        <w:t>一是</w:t>
      </w:r>
      <w:bookmarkStart w:id="0" w:name="_Hlk181229941"/>
      <w:r>
        <w:rPr>
          <w:rFonts w:hint="eastAsia" w:ascii="仿宋_GB2312" w:hAnsi="仿宋_GB2312" w:eastAsia="仿宋_GB2312" w:cs="仿宋_GB2312"/>
          <w:b w:val="0"/>
          <w:bCs w:val="0"/>
          <w:kern w:val="2"/>
          <w:sz w:val="32"/>
          <w:szCs w:val="32"/>
          <w:lang w:val="en-US" w:eastAsia="zh-CN" w:bidi="ar-SA"/>
        </w:rPr>
        <w:t>资金使用效益不高。个别项目验收时</w:t>
      </w:r>
      <w:r>
        <w:rPr>
          <w:rFonts w:hint="eastAsia" w:ascii="仿宋_GB2312" w:hAnsi="仿宋_GB2312" w:eastAsia="仿宋_GB2312" w:cs="仿宋_GB2312"/>
          <w:b w:val="0"/>
          <w:bCs w:val="0"/>
          <w:i w:val="0"/>
          <w:iCs w:val="0"/>
          <w:kern w:val="2"/>
          <w:sz w:val="32"/>
          <w:szCs w:val="32"/>
          <w:highlight w:val="none"/>
          <w:lang w:val="en-US" w:eastAsia="zh-CN" w:bidi="ar-SA"/>
        </w:rPr>
        <w:t>未达到</w:t>
      </w:r>
      <w:r>
        <w:rPr>
          <w:rFonts w:hint="eastAsia" w:ascii="仿宋_GB2312" w:hAnsi="仿宋_GB2312" w:eastAsia="仿宋_GB2312" w:cs="仿宋_GB2312"/>
          <w:b w:val="0"/>
          <w:bCs w:val="0"/>
          <w:sz w:val="32"/>
          <w:szCs w:val="32"/>
          <w:lang w:val="en-US" w:eastAsia="zh-CN"/>
        </w:rPr>
        <w:t>申报书</w:t>
      </w:r>
      <w:r>
        <w:rPr>
          <w:rFonts w:hint="eastAsia" w:ascii="仿宋_GB2312" w:hAnsi="仿宋_GB2312" w:eastAsia="仿宋_GB2312" w:cs="仿宋_GB2312"/>
          <w:b w:val="0"/>
          <w:bCs w:val="0"/>
          <w:i w:val="0"/>
          <w:iCs w:val="0"/>
          <w:kern w:val="2"/>
          <w:sz w:val="32"/>
          <w:szCs w:val="32"/>
          <w:highlight w:val="none"/>
          <w:lang w:val="en-US" w:eastAsia="zh-CN" w:bidi="ar-SA"/>
        </w:rPr>
        <w:t>建设目标</w:t>
      </w:r>
      <w:r>
        <w:rPr>
          <w:rFonts w:hint="eastAsia" w:ascii="仿宋_GB2312" w:hAnsi="仿宋_GB2312" w:eastAsia="仿宋_GB2312" w:cs="仿宋_GB2312"/>
          <w:bCs/>
          <w:kern w:val="2"/>
          <w:sz w:val="32"/>
          <w:szCs w:val="32"/>
          <w:lang w:val="en-US" w:eastAsia="zh-CN" w:bidi="ar-SA"/>
        </w:rPr>
        <w:t>，</w:t>
      </w:r>
      <w:r>
        <w:rPr>
          <w:rFonts w:hint="eastAsia" w:ascii="仿宋_GB2312" w:hAnsi="仿宋_GB2312" w:eastAsia="仿宋_GB2312" w:cs="仿宋_GB2312"/>
          <w:b w:val="0"/>
          <w:bCs w:val="0"/>
          <w:i w:val="0"/>
          <w:iCs w:val="0"/>
          <w:kern w:val="2"/>
          <w:sz w:val="32"/>
          <w:szCs w:val="32"/>
          <w:highlight w:val="none"/>
          <w:lang w:val="en-US" w:eastAsia="zh-CN" w:bidi="ar-SA"/>
        </w:rPr>
        <w:t>部分模块数据未能按照设计、使用需求及时更新数据。</w:t>
      </w:r>
      <w:r>
        <w:rPr>
          <w:rFonts w:hint="eastAsia" w:eastAsia="仿宋_GB2312"/>
          <w:b/>
          <w:bCs/>
          <w:color w:val="auto"/>
          <w:sz w:val="32"/>
          <w:szCs w:val="32"/>
          <w:highlight w:val="none"/>
          <w:lang w:eastAsia="zh-CN"/>
        </w:rPr>
        <w:t>二是</w:t>
      </w:r>
      <w:bookmarkEnd w:id="0"/>
      <w:r>
        <w:rPr>
          <w:rFonts w:hint="eastAsia" w:ascii="仿宋_GB2312" w:hAnsi="仿宋_GB2312" w:eastAsia="仿宋_GB2312" w:cs="仿宋_GB2312"/>
          <w:bCs/>
          <w:kern w:val="2"/>
          <w:sz w:val="32"/>
          <w:szCs w:val="32"/>
          <w:lang w:val="en-US" w:eastAsia="zh-CN" w:bidi="ar-SA"/>
        </w:rPr>
        <w:t>项目建设管理不严格</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val="0"/>
          <w:bCs w:val="0"/>
          <w:i w:val="0"/>
          <w:iCs w:val="0"/>
          <w:kern w:val="2"/>
          <w:sz w:val="32"/>
          <w:szCs w:val="32"/>
          <w:highlight w:val="none"/>
          <w:lang w:val="en-US" w:eastAsia="zh-CN" w:bidi="ar-SA"/>
        </w:rPr>
        <w:t>项目实施过程中硬件设备调增、调减未按规定提交变更申请。</w:t>
      </w:r>
      <w:r>
        <w:rPr>
          <w:rFonts w:hint="eastAsia" w:eastAsia="仿宋_GB2312"/>
          <w:b/>
          <w:bCs/>
          <w:sz w:val="32"/>
          <w:szCs w:val="32"/>
          <w:highlight w:val="none"/>
          <w:lang w:eastAsia="zh-CN"/>
        </w:rPr>
        <w:t>三是</w:t>
      </w:r>
      <w:r>
        <w:rPr>
          <w:rFonts w:hint="eastAsia" w:ascii="仿宋_GB2312" w:hAnsi="仿宋_GB2312" w:eastAsia="仿宋_GB2312" w:cs="仿宋_GB2312"/>
          <w:bCs/>
          <w:kern w:val="2"/>
          <w:sz w:val="32"/>
          <w:szCs w:val="32"/>
          <w:lang w:val="en-US" w:eastAsia="zh-CN" w:bidi="ar-SA"/>
        </w:rPr>
        <w:t>网络和信息安全制度执行不到位，</w:t>
      </w:r>
      <w:r>
        <w:rPr>
          <w:rFonts w:hint="eastAsia" w:ascii="Times New Roman" w:hAnsi="Times New Roman" w:eastAsia="仿宋_GB2312" w:cs="Times New Roman"/>
          <w:b w:val="0"/>
          <w:bCs w:val="0"/>
          <w:i w:val="0"/>
          <w:iCs w:val="0"/>
          <w:kern w:val="2"/>
          <w:sz w:val="32"/>
          <w:szCs w:val="32"/>
          <w:highlight w:val="none"/>
          <w:lang w:val="en-US" w:eastAsia="zh-CN" w:bidi="ar-SA"/>
        </w:rPr>
        <w:t>委托</w:t>
      </w:r>
      <w:r>
        <w:rPr>
          <w:rFonts w:hint="eastAsia" w:ascii="仿宋_GB2312" w:hAnsi="仿宋_GB2312" w:eastAsia="仿宋_GB2312" w:cs="仿宋_GB2312"/>
          <w:b w:val="0"/>
          <w:bCs w:val="0"/>
          <w:i w:val="0"/>
          <w:iCs w:val="0"/>
          <w:kern w:val="2"/>
          <w:sz w:val="32"/>
          <w:szCs w:val="32"/>
          <w:highlight w:val="none"/>
          <w:lang w:val="en-US" w:eastAsia="zh-CN" w:bidi="ar-SA"/>
        </w:rPr>
        <w:t>不具备资质的单位开展网络安全等级保护</w:t>
      </w:r>
      <w:r>
        <w:rPr>
          <w:rFonts w:hint="eastAsia" w:ascii="Times New Roman" w:hAnsi="Times New Roman" w:eastAsia="仿宋_GB2312" w:cs="Times New Roman"/>
          <w:b w:val="0"/>
          <w:bCs w:val="0"/>
          <w:i w:val="0"/>
          <w:iCs w:val="0"/>
          <w:kern w:val="2"/>
          <w:sz w:val="32"/>
          <w:szCs w:val="32"/>
          <w:highlight w:val="none"/>
          <w:lang w:val="en-US" w:eastAsia="zh-CN" w:bidi="ar-SA"/>
        </w:rPr>
        <w:t>测评工作</w:t>
      </w:r>
      <w:r>
        <w:rPr>
          <w:rFonts w:hint="eastAsia" w:ascii="仿宋_GB2312" w:hAnsi="仿宋_GB2312" w:eastAsia="仿宋_GB2312" w:cs="仿宋_GB2312"/>
          <w:b w:val="0"/>
          <w:bCs w:val="0"/>
          <w:i w:val="0"/>
          <w:iCs w:val="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kern w:val="2"/>
          <w:sz w:val="32"/>
          <w:szCs w:val="32"/>
          <w:highlight w:val="none"/>
          <w:lang w:val="en-US" w:eastAsia="zh-CN" w:bidi="ar-SA"/>
        </w:rPr>
        <w:t>（三</w:t>
      </w:r>
      <w:r>
        <w:rPr>
          <w:rFonts w:hint="eastAsia" w:ascii="楷体_GB2312" w:hAnsi="楷体_GB2312" w:eastAsia="楷体_GB2312" w:cs="楷体_GB2312"/>
          <w:sz w:val="32"/>
          <w:szCs w:val="32"/>
          <w:highlight w:val="none"/>
          <w:lang w:val="en-US" w:eastAsia="zh-CN"/>
        </w:rPr>
        <w:t>）基层医疗卫生机构运行审计情况</w:t>
      </w:r>
    </w:p>
    <w:p>
      <w:pPr>
        <w:keepNext w:val="0"/>
        <w:keepLines w:val="0"/>
        <w:pageBreakBefore w:val="0"/>
        <w:widowControl w:val="0"/>
        <w:kinsoku/>
        <w:wordWrap/>
        <w:overflowPunct/>
        <w:topLinePunct w:val="0"/>
        <w:autoSpaceDE/>
        <w:autoSpaceDN/>
        <w:bidi w:val="0"/>
        <w:adjustRightInd/>
        <w:snapToGrid w:val="0"/>
        <w:spacing w:line="600" w:lineRule="exact"/>
        <w:ind w:lef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重点审计了基层医疗卫生政策制度落实、医疗卫生服务完成、医疗卫生专项资金管理使用、医疗卫生资源配置等情况。发现存在</w:t>
      </w:r>
      <w:r>
        <w:rPr>
          <w:rFonts w:hint="eastAsia" w:ascii="仿宋_GB2312" w:hAnsi="仿宋_GB2312" w:eastAsia="仿宋_GB2312" w:cs="仿宋_GB2312"/>
          <w:sz w:val="32"/>
          <w:szCs w:val="32"/>
          <w:highlight w:val="none"/>
          <w:lang w:val="en-US" w:eastAsia="zh-CN"/>
        </w:rPr>
        <w:t>以下主要问题：</w:t>
      </w:r>
      <w:r>
        <w:rPr>
          <w:rFonts w:hint="eastAsia" w:eastAsia="仿宋_GB2312"/>
          <w:b/>
          <w:bCs/>
          <w:sz w:val="32"/>
          <w:szCs w:val="32"/>
          <w:highlight w:val="none"/>
          <w:lang w:eastAsia="zh-CN"/>
        </w:rPr>
        <w:t>一是</w:t>
      </w:r>
      <w:r>
        <w:rPr>
          <w:rFonts w:hint="eastAsia" w:ascii="仿宋_GB2312" w:hAnsi="仿宋_GB2312" w:eastAsia="仿宋_GB2312" w:cs="仿宋_GB2312"/>
          <w:sz w:val="32"/>
          <w:szCs w:val="32"/>
          <w:highlight w:val="none"/>
          <w:lang w:val="en-US" w:eastAsia="zh-CN"/>
        </w:rPr>
        <w:t>个别房产管理未落实规划相关要求，在中心迁入新址后旧址未进行退租。</w:t>
      </w:r>
      <w:r>
        <w:rPr>
          <w:rFonts w:hint="eastAsia" w:eastAsia="仿宋_GB2312"/>
          <w:b/>
          <w:bCs/>
          <w:sz w:val="32"/>
          <w:szCs w:val="32"/>
          <w:highlight w:val="none"/>
          <w:lang w:eastAsia="zh-CN"/>
        </w:rPr>
        <w:t>二是</w:t>
      </w:r>
      <w:r>
        <w:rPr>
          <w:rFonts w:hint="eastAsia" w:ascii="仿宋_GB2312" w:hAnsi="仿宋_GB2312" w:eastAsia="仿宋_GB2312" w:cs="仿宋_GB2312"/>
          <w:sz w:val="32"/>
          <w:szCs w:val="32"/>
          <w:highlight w:val="none"/>
          <w:lang w:val="en-US" w:eastAsia="zh-CN"/>
        </w:rPr>
        <w:t>业务用房承租后处于闲置状态</w:t>
      </w:r>
      <w:r>
        <w:rPr>
          <w:rFonts w:hint="eastAsia" w:ascii="仿宋_GB2312" w:hAnsi="仿宋_GB2312" w:eastAsia="仿宋_GB2312" w:cs="Calibri"/>
          <w:b w:val="0"/>
          <w:bCs w:val="0"/>
          <w:kern w:val="0"/>
          <w:sz w:val="32"/>
          <w:szCs w:val="32"/>
          <w:highlight w:val="none"/>
          <w:lang w:val="en-US" w:eastAsia="zh-CN" w:bidi="ar-SA"/>
        </w:rPr>
        <w:t>。</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600" w:lineRule="exact"/>
        <w:ind w:left="0" w:right="0" w:rightChars="0"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（四）第五次全国经济普查经费管理及使用审计情况</w:t>
      </w:r>
    </w:p>
    <w:p>
      <w:pPr>
        <w:keepNext w:val="0"/>
        <w:keepLines w:val="0"/>
        <w:pageBreakBefore w:val="0"/>
        <w:widowControl/>
        <w:kinsoku/>
        <w:wordWrap/>
        <w:overflowPunct/>
        <w:topLinePunct w:val="0"/>
        <w:autoSpaceDE/>
        <w:autoSpaceDN/>
        <w:bidi w:val="0"/>
        <w:spacing w:line="600" w:lineRule="exact"/>
        <w:ind w:firstLine="640" w:firstLineChars="200"/>
        <w:rPr>
          <w:rFonts w:hint="eastAsia" w:ascii="仿宋_GB2312" w:hAnsi="Times New Roman" w:eastAsia="仿宋_GB2312" w:cs="Times New Roman"/>
          <w:sz w:val="32"/>
          <w:szCs w:val="32"/>
          <w:highlight w:val="none"/>
          <w:lang w:val="en-US" w:eastAsia="zh-CN"/>
        </w:rPr>
      </w:pPr>
      <w:r>
        <w:rPr>
          <w:rFonts w:hint="eastAsia" w:ascii="仿宋_GB2312" w:eastAsia="仿宋_GB2312"/>
          <w:sz w:val="32"/>
          <w:szCs w:val="32"/>
          <w:highlight w:val="none"/>
          <w:lang w:eastAsia="zh-CN"/>
        </w:rPr>
        <w:t>重</w:t>
      </w:r>
      <w:r>
        <w:rPr>
          <w:rFonts w:hint="eastAsia" w:ascii="仿宋_GB2312" w:eastAsia="仿宋_GB2312"/>
          <w:sz w:val="32"/>
          <w:szCs w:val="32"/>
          <w:highlight w:val="none"/>
        </w:rPr>
        <w:t>点</w:t>
      </w:r>
      <w:r>
        <w:rPr>
          <w:rFonts w:hint="eastAsia" w:ascii="仿宋_GB2312" w:eastAsia="仿宋_GB2312"/>
          <w:sz w:val="32"/>
          <w:szCs w:val="32"/>
          <w:highlight w:val="none"/>
          <w:lang w:eastAsia="zh-CN"/>
        </w:rPr>
        <w:t>审计了</w:t>
      </w:r>
      <w:r>
        <w:rPr>
          <w:rFonts w:hint="eastAsia" w:ascii="仿宋_GB2312" w:eastAsia="仿宋_GB2312"/>
          <w:sz w:val="32"/>
          <w:szCs w:val="32"/>
          <w:highlight w:val="none"/>
        </w:rPr>
        <w:t>经济普查</w:t>
      </w:r>
      <w:r>
        <w:rPr>
          <w:rFonts w:hint="eastAsia" w:ascii="仿宋_GB2312" w:eastAsia="仿宋_GB2312"/>
          <w:sz w:val="32"/>
          <w:szCs w:val="32"/>
        </w:rPr>
        <w:t>政策贯彻落实、专项经费管理使用</w:t>
      </w:r>
      <w:r>
        <w:rPr>
          <w:rFonts w:hint="eastAsia" w:ascii="仿宋_GB2312" w:eastAsia="仿宋_GB2312"/>
          <w:sz w:val="32"/>
          <w:szCs w:val="32"/>
          <w:lang w:eastAsia="zh-CN"/>
        </w:rPr>
        <w:t>以及使用</w:t>
      </w:r>
      <w:r>
        <w:rPr>
          <w:rFonts w:hint="eastAsia" w:ascii="仿宋_GB2312" w:eastAsia="仿宋_GB2312"/>
          <w:sz w:val="32"/>
          <w:szCs w:val="32"/>
        </w:rPr>
        <w:t>效益和效果等</w:t>
      </w:r>
      <w:r>
        <w:rPr>
          <w:rFonts w:hint="eastAsia" w:ascii="仿宋_GB2312" w:eastAsia="仿宋_GB2312"/>
          <w:sz w:val="32"/>
          <w:szCs w:val="32"/>
          <w:highlight w:val="none"/>
        </w:rPr>
        <w:t>内容</w:t>
      </w:r>
      <w:r>
        <w:rPr>
          <w:rFonts w:hint="eastAsia" w:ascii="仿宋_GB2312" w:eastAsia="仿宋_GB2312"/>
          <w:sz w:val="32"/>
          <w:szCs w:val="32"/>
          <w:highlight w:val="none"/>
          <w:lang w:eastAsia="zh-CN"/>
        </w:rPr>
        <w:t>。</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b/>
          <w:bCs/>
          <w:color w:val="auto"/>
          <w:sz w:val="32"/>
          <w:szCs w:val="32"/>
          <w:highlight w:val="none"/>
          <w:lang w:eastAsia="zh-CN"/>
        </w:rPr>
        <w:t>一</w:t>
      </w:r>
      <w:r>
        <w:rPr>
          <w:rFonts w:hint="eastAsia" w:ascii="仿宋_GB2312" w:hAnsi="仿宋_GB2312" w:eastAsia="仿宋_GB2312" w:cs="仿宋_GB2312"/>
          <w:b/>
          <w:bCs/>
          <w:sz w:val="32"/>
          <w:szCs w:val="32"/>
          <w:highlight w:val="none"/>
          <w:lang w:eastAsia="zh-CN"/>
        </w:rPr>
        <w:t>是</w:t>
      </w:r>
      <w:r>
        <w:rPr>
          <w:rFonts w:hint="eastAsia" w:ascii="仿宋_GB2312" w:eastAsia="仿宋_GB2312"/>
          <w:sz w:val="32"/>
          <w:szCs w:val="32"/>
          <w:highlight w:val="none"/>
          <w:lang w:eastAsia="zh-CN"/>
        </w:rPr>
        <w:t>设备租赁资金使用效益不高。</w:t>
      </w:r>
      <w:r>
        <w:rPr>
          <w:rFonts w:hint="eastAsia" w:ascii="仿宋_GB2312" w:hAnsi="仿宋_GB2312" w:eastAsia="仿宋_GB2312" w:cs="仿宋_GB2312"/>
          <w:sz w:val="32"/>
          <w:szCs w:val="32"/>
          <w:highlight w:val="none"/>
          <w:lang w:val="en-US" w:eastAsia="zh-CN"/>
        </w:rPr>
        <w:t>租用设备测算未充分考虑普查指导员与社区经普办存在人员重叠的情况,测算依据不充分；部分设备未发放使用，形成闲置，</w:t>
      </w:r>
      <w:r>
        <w:rPr>
          <w:rFonts w:hint="eastAsia" w:ascii="仿宋_GB2312" w:hAnsi="仿宋_GB2312" w:eastAsia="仿宋_GB2312" w:cs="仿宋_GB2312"/>
          <w:b/>
          <w:bCs/>
          <w:color w:val="auto"/>
          <w:sz w:val="32"/>
          <w:szCs w:val="32"/>
          <w:highlight w:val="none"/>
          <w:lang w:eastAsia="zh-CN"/>
        </w:rPr>
        <w:t>二是</w:t>
      </w:r>
      <w:r>
        <w:rPr>
          <w:rFonts w:hint="eastAsia" w:ascii="仿宋_GB2312" w:hAnsi="仿宋_GB2312" w:eastAsia="仿宋_GB2312" w:cs="仿宋_GB2312"/>
          <w:color w:val="000000"/>
          <w:sz w:val="32"/>
          <w:szCs w:val="32"/>
        </w:rPr>
        <w:t>个别街道未按规定履行三方比价程序</w:t>
      </w:r>
      <w:r>
        <w:rPr>
          <w:rFonts w:hint="eastAsia" w:ascii="仿宋_GB2312" w:hAnsi="仿宋_GB2312" w:eastAsia="仿宋_GB2312" w:cs="仿宋_GB2312"/>
          <w:color w:val="000000"/>
          <w:sz w:val="32"/>
          <w:szCs w:val="32"/>
          <w:lang w:eastAsia="zh-CN"/>
        </w:rPr>
        <w:t>。</w:t>
      </w:r>
    </w:p>
    <w:p>
      <w:pPr>
        <w:pStyle w:val="27"/>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both"/>
        <w:textAlignment w:val="auto"/>
        <w:outlineLvl w:val="1"/>
        <w:rPr>
          <w:rFonts w:hint="eastAsia" w:ascii="楷体_GB2312" w:hAnsi="楷体_GB2312" w:eastAsia="楷体_GB2312" w:cs="楷体_GB2312"/>
          <w:kern w:val="2"/>
          <w:sz w:val="32"/>
          <w:szCs w:val="32"/>
          <w:highlight w:val="none"/>
          <w:lang w:val="zh-CN" w:eastAsia="zh-CN" w:bidi="ar-SA"/>
        </w:rPr>
      </w:pPr>
      <w:r>
        <w:rPr>
          <w:rFonts w:hint="eastAsia" w:ascii="楷体_GB2312" w:hAnsi="楷体_GB2312" w:eastAsia="楷体_GB2312" w:cs="楷体_GB2312"/>
          <w:kern w:val="2"/>
          <w:sz w:val="32"/>
          <w:szCs w:val="32"/>
          <w:highlight w:val="none"/>
          <w:lang w:val="zh-CN" w:eastAsia="zh-CN" w:bidi="ar-SA"/>
        </w:rPr>
        <w:t>（五）</w:t>
      </w:r>
      <w:r>
        <w:rPr>
          <w:rFonts w:hint="eastAsia" w:ascii="楷体_GB2312" w:hAnsi="楷体_GB2312" w:eastAsia="楷体_GB2312" w:cs="楷体_GB2312"/>
          <w:kern w:val="2"/>
          <w:sz w:val="32"/>
          <w:szCs w:val="32"/>
          <w:highlight w:val="none"/>
          <w:lang w:val="en-US" w:eastAsia="zh-CN" w:bidi="ar-SA"/>
        </w:rPr>
        <w:t>道路慢行系统改造及品质提升相关资金管理使用</w:t>
      </w:r>
      <w:r>
        <w:rPr>
          <w:rFonts w:hint="eastAsia" w:ascii="楷体_GB2312" w:hAnsi="楷体_GB2312" w:eastAsia="楷体_GB2312" w:cs="楷体_GB2312"/>
          <w:kern w:val="2"/>
          <w:sz w:val="32"/>
          <w:szCs w:val="32"/>
          <w:highlight w:val="none"/>
          <w:lang w:val="zh-CN" w:eastAsia="zh-CN" w:bidi="ar-SA"/>
        </w:rPr>
        <w:t>审计情况</w:t>
      </w:r>
    </w:p>
    <w:p>
      <w:pPr>
        <w:pStyle w:val="5"/>
        <w:keepNext w:val="0"/>
        <w:keepLines w:val="0"/>
        <w:pageBreakBefore w:val="0"/>
        <w:kinsoku/>
        <w:wordWrap/>
        <w:overflowPunct/>
        <w:topLinePunct w:val="0"/>
        <w:autoSpaceDE/>
        <w:autoSpaceDN/>
        <w:bidi w:val="0"/>
        <w:spacing w:line="600" w:lineRule="exact"/>
        <w:ind w:firstLine="640" w:firstLineChars="200"/>
        <w:rPr>
          <w:rFonts w:hint="eastAsia" w:ascii="仿宋_GB2312" w:hAnsi="Times New Roman" w:eastAsia="仿宋_GB2312" w:cs="Times New Roman"/>
          <w:sz w:val="32"/>
          <w:szCs w:val="32"/>
          <w:highlight w:val="green"/>
          <w:lang w:val="en-US" w:eastAsia="zh-CN"/>
        </w:rPr>
      </w:pPr>
      <w:r>
        <w:rPr>
          <w:rFonts w:hint="eastAsia" w:ascii="仿宋_GB2312" w:hAnsi="仿宋_GB2312" w:eastAsia="仿宋_GB2312" w:cs="仿宋_GB2312"/>
          <w:bCs/>
          <w:kern w:val="2"/>
          <w:sz w:val="32"/>
          <w:szCs w:val="32"/>
          <w:lang w:val="en-US" w:eastAsia="zh-CN" w:bidi="ar-SA"/>
        </w:rPr>
        <w:t>重点审计了</w:t>
      </w:r>
      <w:r>
        <w:rPr>
          <w:rFonts w:hint="eastAsia" w:ascii="仿宋_GB2312" w:hAnsi="仿宋_GB2312" w:eastAsia="仿宋_GB2312" w:cs="仿宋_GB2312"/>
          <w:sz w:val="32"/>
          <w:szCs w:val="32"/>
        </w:rPr>
        <w:t>政策贯彻落实、相关工作推进、项目实施的合规性</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内容。</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b/>
          <w:bCs/>
          <w:sz w:val="32"/>
          <w:szCs w:val="32"/>
          <w:highlight w:val="none"/>
          <w:lang w:eastAsia="zh-CN"/>
        </w:rPr>
        <w:t>一是</w:t>
      </w:r>
      <w:r>
        <w:rPr>
          <w:rFonts w:hint="eastAsia" w:ascii="仿宋_GB2312" w:hAnsi="仿宋_GB2312" w:eastAsia="仿宋_GB2312" w:cs="仿宋_GB2312"/>
          <w:sz w:val="32"/>
          <w:szCs w:val="32"/>
        </w:rPr>
        <w:t>统筹工作落实不到位</w:t>
      </w:r>
      <w:r>
        <w:rPr>
          <w:rFonts w:hint="eastAsia" w:ascii="仿宋_GB2312" w:hAnsi="仿宋_GB2312" w:eastAsia="仿宋_GB2312" w:cs="仿宋_GB2312"/>
          <w:sz w:val="32"/>
          <w:szCs w:val="32"/>
          <w:lang w:eastAsia="zh-CN"/>
        </w:rPr>
        <w:t>。</w:t>
      </w:r>
      <w:r>
        <w:rPr>
          <w:rFonts w:hint="eastAsia" w:ascii="仿宋_GB2312" w:eastAsia="仿宋_GB2312"/>
          <w:sz w:val="32"/>
          <w:szCs w:val="32"/>
          <w:lang w:eastAsia="zh-CN"/>
        </w:rPr>
        <w:t>未</w:t>
      </w:r>
      <w:r>
        <w:rPr>
          <w:rFonts w:hint="eastAsia" w:ascii="仿宋_GB2312" w:hAnsi="仿宋_GB2312" w:eastAsia="仿宋_GB2312" w:cs="仿宋_GB2312"/>
          <w:sz w:val="32"/>
          <w:szCs w:val="32"/>
          <w:lang w:eastAsia="zh-CN"/>
        </w:rPr>
        <w:t>根据</w:t>
      </w:r>
      <w:r>
        <w:rPr>
          <w:rFonts w:hint="eastAsia" w:ascii="仿宋_GB2312" w:eastAsia="仿宋_GB2312"/>
          <w:sz w:val="32"/>
          <w:szCs w:val="32"/>
        </w:rPr>
        <w:t>市工作</w:t>
      </w:r>
      <w:r>
        <w:rPr>
          <w:rFonts w:hint="eastAsia" w:ascii="仿宋_GB2312"/>
          <w:sz w:val="32"/>
          <w:szCs w:val="32"/>
          <w:lang w:eastAsia="zh-CN"/>
        </w:rPr>
        <w:t>要求</w:t>
      </w:r>
      <w:r>
        <w:rPr>
          <w:rFonts w:hint="eastAsia" w:ascii="仿宋_GB2312" w:eastAsia="仿宋_GB2312"/>
          <w:sz w:val="32"/>
          <w:szCs w:val="32"/>
        </w:rPr>
        <w:t>，</w:t>
      </w:r>
      <w:r>
        <w:rPr>
          <w:rFonts w:hint="eastAsia" w:ascii="仿宋_GB2312" w:hAnsi="仿宋_GB2312" w:eastAsia="仿宋_GB2312" w:cs="仿宋_GB2312"/>
          <w:sz w:val="32"/>
          <w:szCs w:val="32"/>
          <w:lang w:eastAsia="zh-CN"/>
        </w:rPr>
        <w:t>制定我区</w:t>
      </w:r>
      <w:r>
        <w:rPr>
          <w:rFonts w:hint="eastAsia" w:ascii="仿宋_GB2312" w:hAnsi="仿宋_GB2312" w:eastAsia="仿宋_GB2312" w:cs="仿宋_GB2312"/>
          <w:sz w:val="32"/>
          <w:szCs w:val="32"/>
        </w:rPr>
        <w:t>工</w:t>
      </w:r>
      <w:r>
        <w:rPr>
          <w:rFonts w:hint="eastAsia" w:ascii="仿宋_GB2312" w:eastAsia="仿宋_GB2312"/>
          <w:sz w:val="32"/>
          <w:szCs w:val="32"/>
        </w:rPr>
        <w:t>作方案、任务分配表等工作文件</w:t>
      </w:r>
      <w:r>
        <w:rPr>
          <w:rFonts w:hint="eastAsia" w:ascii="仿宋_GB2312"/>
          <w:sz w:val="32"/>
          <w:szCs w:val="32"/>
          <w:lang w:eastAsia="zh-CN"/>
        </w:rPr>
        <w:t>。</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bCs/>
          <w:kern w:val="2"/>
          <w:sz w:val="32"/>
          <w:szCs w:val="32"/>
          <w:lang w:val="en-US" w:eastAsia="zh-CN" w:bidi="ar-SA"/>
        </w:rPr>
        <w:t>慢行系统质保职责与道路养护维修界限不清。抽查</w:t>
      </w:r>
      <w:r>
        <w:rPr>
          <w:rFonts w:hint="eastAsia" w:ascii="仿宋_GB2312" w:eastAsia="仿宋_GB2312"/>
          <w:sz w:val="32"/>
          <w:szCs w:val="32"/>
          <w:lang w:eastAsia="zh-CN"/>
        </w:rPr>
        <w:t>部分</w:t>
      </w:r>
      <w:r>
        <w:rPr>
          <w:rFonts w:hint="eastAsia" w:ascii="仿宋_GB2312" w:eastAsia="仿宋_GB2312"/>
          <w:sz w:val="32"/>
          <w:szCs w:val="32"/>
        </w:rPr>
        <w:t>道路养护记录中</w:t>
      </w:r>
      <w:r>
        <w:rPr>
          <w:rFonts w:hint="eastAsia" w:ascii="仿宋_GB2312" w:eastAsia="仿宋_GB2312"/>
          <w:sz w:val="32"/>
          <w:szCs w:val="32"/>
          <w:lang w:val="en-US" w:eastAsia="zh-CN"/>
        </w:rPr>
        <w:t>有</w:t>
      </w:r>
      <w:r>
        <w:rPr>
          <w:rFonts w:hint="eastAsia" w:ascii="仿宋_GB2312" w:eastAsia="仿宋_GB2312"/>
          <w:sz w:val="32"/>
          <w:szCs w:val="32"/>
          <w:lang w:eastAsia="zh-CN"/>
        </w:rPr>
        <w:t>个别</w:t>
      </w:r>
      <w:r>
        <w:rPr>
          <w:rFonts w:hint="eastAsia" w:ascii="仿宋_GB2312" w:eastAsia="仿宋_GB2312"/>
          <w:sz w:val="32"/>
          <w:szCs w:val="32"/>
        </w:rPr>
        <w:t>养护记录发生</w:t>
      </w:r>
      <w:r>
        <w:rPr>
          <w:rFonts w:hint="eastAsia" w:ascii="仿宋_GB2312" w:eastAsia="仿宋_GB2312"/>
          <w:sz w:val="32"/>
          <w:szCs w:val="32"/>
          <w:lang w:val="en-US" w:eastAsia="zh-CN"/>
        </w:rPr>
        <w:t>在</w:t>
      </w:r>
      <w:r>
        <w:rPr>
          <w:rFonts w:hint="eastAsia" w:ascii="仿宋_GB2312" w:eastAsia="仿宋_GB2312"/>
          <w:sz w:val="32"/>
          <w:szCs w:val="32"/>
        </w:rPr>
        <w:t>质保期内</w:t>
      </w:r>
      <w:r>
        <w:rPr>
          <w:rFonts w:hint="eastAsia" w:ascii="仿宋_GB2312" w:hAnsi="Times New Roman" w:eastAsia="仿宋_GB2312" w:cs="Times New Roman"/>
          <w:sz w:val="32"/>
          <w:szCs w:val="32"/>
          <w:lang w:eastAsia="zh-CN"/>
        </w:rPr>
        <w:t>。</w:t>
      </w:r>
      <w:r>
        <w:rPr>
          <w:rFonts w:hint="eastAsia" w:ascii="仿宋_GB2312" w:hAnsi="仿宋_GB2312" w:eastAsia="仿宋_GB2312" w:cs="仿宋_GB2312"/>
          <w:b/>
          <w:bCs/>
          <w:sz w:val="32"/>
          <w:szCs w:val="32"/>
          <w:highlight w:val="none"/>
          <w:lang w:eastAsia="zh-CN"/>
        </w:rPr>
        <w:t>三是</w:t>
      </w:r>
      <w:r>
        <w:rPr>
          <w:rFonts w:hint="eastAsia" w:ascii="仿宋_GB2312" w:hAnsi="Times New Roman" w:eastAsia="仿宋_GB2312" w:cs="Times New Roman"/>
          <w:sz w:val="32"/>
          <w:szCs w:val="32"/>
          <w:lang w:eastAsia="zh-CN"/>
        </w:rPr>
        <w:t>未严格履行质量管理职责</w:t>
      </w:r>
      <w:r>
        <w:rPr>
          <w:rFonts w:hint="eastAsia" w:ascii="仿宋_GB2312" w:cs="Times New Roman"/>
          <w:sz w:val="32"/>
          <w:szCs w:val="32"/>
          <w:lang w:eastAsia="zh-CN"/>
        </w:rPr>
        <w:t>。</w:t>
      </w:r>
      <w:r>
        <w:rPr>
          <w:rFonts w:hint="eastAsia" w:ascii="仿宋_GB2312" w:hAnsi="Times New Roman" w:eastAsia="仿宋_GB2312" w:cs="Times New Roman"/>
          <w:sz w:val="32"/>
          <w:szCs w:val="32"/>
          <w:lang w:eastAsia="zh-CN"/>
        </w:rPr>
        <w:t>慢行系统改造工程建设方未就相关工程内容进行检测，由施工单位委托的检测机构出具检测报告。</w:t>
      </w:r>
    </w:p>
    <w:p>
      <w:pPr>
        <w:pStyle w:val="27"/>
        <w:keepNext w:val="0"/>
        <w:keepLines w:val="0"/>
        <w:pageBreakBefore w:val="0"/>
        <w:widowControl w:val="0"/>
        <w:kinsoku/>
        <w:wordWrap/>
        <w:overflowPunct/>
        <w:topLinePunct w:val="0"/>
        <w:autoSpaceDE/>
        <w:autoSpaceDN/>
        <w:bidi w:val="0"/>
        <w:adjustRightInd/>
        <w:snapToGrid w:val="0"/>
        <w:spacing w:line="600" w:lineRule="exact"/>
        <w:ind w:left="0" w:firstLine="640" w:firstLineChars="200"/>
        <w:jc w:val="both"/>
        <w:textAlignment w:val="auto"/>
        <w:outlineLvl w:val="1"/>
        <w:rPr>
          <w:rFonts w:hint="eastAsia" w:ascii="楷体_GB2312" w:hAnsi="楷体_GB2312" w:eastAsia="楷体_GB2312" w:cs="楷体_GB2312"/>
          <w:kern w:val="2"/>
          <w:sz w:val="32"/>
          <w:szCs w:val="32"/>
          <w:highlight w:val="none"/>
          <w:lang w:val="zh-CN" w:eastAsia="zh-CN" w:bidi="ar-SA"/>
        </w:rPr>
      </w:pPr>
      <w:r>
        <w:rPr>
          <w:rFonts w:hint="eastAsia" w:ascii="楷体_GB2312" w:hAnsi="楷体_GB2312" w:eastAsia="楷体_GB2312" w:cs="楷体_GB2312"/>
          <w:kern w:val="2"/>
          <w:sz w:val="32"/>
          <w:szCs w:val="32"/>
          <w:highlight w:val="none"/>
          <w:lang w:val="zh-CN" w:eastAsia="zh-CN" w:bidi="ar-SA"/>
        </w:rPr>
        <w:t>（六）环境整治项目管理及资金使用审计情况</w:t>
      </w:r>
    </w:p>
    <w:p>
      <w:pPr>
        <w:keepNext w:val="0"/>
        <w:keepLines w:val="0"/>
        <w:pageBreakBefore w:val="0"/>
        <w:kinsoku/>
        <w:overflowPunct/>
        <w:topLinePunct w:val="0"/>
        <w:autoSpaceDE/>
        <w:autoSpaceDN/>
        <w:bidi w:val="0"/>
        <w:adjustRightInd w:val="0"/>
        <w:snapToGrid w:val="0"/>
        <w:spacing w:line="6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Times New Roman" w:eastAsia="仿宋_GB2312" w:cs="Times New Roman"/>
          <w:sz w:val="32"/>
          <w:szCs w:val="32"/>
          <w:highlight w:val="none"/>
        </w:rPr>
        <w:t>重点</w:t>
      </w:r>
      <w:r>
        <w:rPr>
          <w:rFonts w:hint="eastAsia" w:ascii="仿宋_GB2312" w:hAnsi="Times New Roman" w:eastAsia="仿宋_GB2312" w:cs="Times New Roman"/>
          <w:sz w:val="32"/>
          <w:szCs w:val="32"/>
          <w:highlight w:val="none"/>
          <w:lang w:eastAsia="zh-CN"/>
        </w:rPr>
        <w:t>审计了</w:t>
      </w:r>
      <w:r>
        <w:rPr>
          <w:rFonts w:hint="eastAsia" w:ascii="仿宋_GB2312" w:hAnsi="仿宋_GB2312" w:eastAsia="仿宋_GB2312" w:cs="仿宋_GB2312"/>
          <w:sz w:val="32"/>
          <w:szCs w:val="32"/>
        </w:rPr>
        <w:t>计划安排、项目管理和资金使用</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lang w:eastAsia="zh-CN"/>
        </w:rPr>
        <w:t>内容</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发现存在以下主要问题：</w:t>
      </w:r>
      <w:r>
        <w:rPr>
          <w:rFonts w:hint="eastAsia" w:ascii="仿宋_GB2312" w:hAnsi="Times New Roman" w:eastAsia="仿宋_GB2312" w:cs="Times New Roman"/>
          <w:b/>
          <w:bCs/>
          <w:color w:val="auto"/>
          <w:sz w:val="32"/>
          <w:szCs w:val="32"/>
          <w:highlight w:val="none"/>
          <w:lang w:eastAsia="zh-CN"/>
        </w:rPr>
        <w:t>一是</w:t>
      </w:r>
      <w:bookmarkStart w:id="1" w:name="_Hlk213055452"/>
      <w:r>
        <w:rPr>
          <w:rFonts w:hint="eastAsia" w:ascii="仿宋_GB2312" w:hAnsi="仿宋_GB2312" w:eastAsia="仿宋_GB2312" w:cs="仿宋_GB2312"/>
          <w:b w:val="0"/>
          <w:bCs w:val="0"/>
          <w:color w:val="auto"/>
          <w:sz w:val="32"/>
          <w:szCs w:val="32"/>
          <w:highlight w:val="none"/>
          <w:lang w:val="en-US" w:eastAsia="zh-CN"/>
        </w:rPr>
        <w:t>2个项目</w:t>
      </w:r>
      <w:r>
        <w:rPr>
          <w:rFonts w:hint="eastAsia" w:ascii="仿宋_GB2312" w:hAnsi="仿宋_GB2312" w:eastAsia="仿宋_GB2312" w:cs="仿宋_GB2312"/>
          <w:sz w:val="32"/>
          <w:szCs w:val="32"/>
          <w:highlight w:val="none"/>
        </w:rPr>
        <w:t>设计费支付金额超招标控制价审定金额</w:t>
      </w:r>
      <w:r>
        <w:rPr>
          <w:rFonts w:hint="eastAsia" w:ascii="仿宋_GB2312" w:hAnsi="仿宋_GB2312" w:eastAsia="仿宋_GB2312" w:cs="仿宋_GB2312"/>
          <w:sz w:val="32"/>
          <w:szCs w:val="32"/>
          <w:highlight w:val="none"/>
          <w:lang w:eastAsia="zh-CN"/>
        </w:rPr>
        <w:t>。</w:t>
      </w:r>
      <w:bookmarkEnd w:id="1"/>
      <w:r>
        <w:rPr>
          <w:rFonts w:hint="eastAsia" w:ascii="仿宋_GB2312" w:hAnsi="Times New Roman" w:eastAsia="仿宋_GB2312" w:cs="Times New Roman"/>
          <w:b/>
          <w:bCs/>
          <w:color w:val="auto"/>
          <w:sz w:val="32"/>
          <w:szCs w:val="32"/>
          <w:highlight w:val="none"/>
          <w:lang w:eastAsia="zh-CN"/>
        </w:rPr>
        <w:t>二是</w:t>
      </w:r>
      <w:r>
        <w:rPr>
          <w:rFonts w:hint="eastAsia" w:ascii="仿宋_GB2312" w:eastAsia="仿宋_GB2312"/>
          <w:sz w:val="32"/>
          <w:szCs w:val="32"/>
        </w:rPr>
        <w:t>工程结算计价、结算评审不严</w:t>
      </w:r>
      <w:r>
        <w:rPr>
          <w:rFonts w:hint="eastAsia" w:ascii="仿宋_GB2312" w:eastAsia="仿宋_GB2312"/>
          <w:sz w:val="32"/>
          <w:szCs w:val="32"/>
          <w:lang w:eastAsia="zh-CN"/>
        </w:rPr>
        <w:t>。个别</w:t>
      </w:r>
      <w:r>
        <w:rPr>
          <w:rFonts w:hint="eastAsia" w:ascii="仿宋_GB2312" w:eastAsia="仿宋_GB2312"/>
          <w:sz w:val="32"/>
          <w:szCs w:val="32"/>
        </w:rPr>
        <w:t>工程变更洽商记录未计入工程结算送审金额</w:t>
      </w:r>
      <w:r>
        <w:rPr>
          <w:rFonts w:hint="eastAsia" w:ascii="仿宋_GB2312" w:eastAsia="仿宋_GB2312"/>
          <w:sz w:val="32"/>
          <w:szCs w:val="32"/>
          <w:lang w:eastAsia="zh-CN"/>
        </w:rPr>
        <w:t>，</w:t>
      </w:r>
      <w:r>
        <w:rPr>
          <w:rFonts w:hint="eastAsia" w:ascii="仿宋_GB2312" w:eastAsia="仿宋_GB2312"/>
          <w:sz w:val="32"/>
          <w:szCs w:val="32"/>
        </w:rPr>
        <w:t>评审公司审定的结算报告中也未对上述工程变更洽商记录进行结算计价。</w:t>
      </w:r>
      <w:r>
        <w:rPr>
          <w:rFonts w:hint="eastAsia" w:ascii="仿宋_GB2312" w:hAnsi="仿宋_GB2312" w:eastAsia="仿宋_GB2312" w:cs="仿宋_GB2312"/>
          <w:b/>
          <w:bCs/>
          <w:sz w:val="32"/>
          <w:szCs w:val="32"/>
          <w:highlight w:val="none"/>
          <w:lang w:val="en-US" w:eastAsia="zh-CN"/>
        </w:rPr>
        <w:t>三是</w:t>
      </w:r>
      <w:bookmarkStart w:id="2" w:name="_Hlk213055615"/>
      <w:r>
        <w:rPr>
          <w:rFonts w:hint="eastAsia" w:ascii="仿宋_GB2312" w:eastAsia="仿宋_GB2312"/>
          <w:sz w:val="32"/>
          <w:szCs w:val="32"/>
          <w:highlight w:val="none"/>
          <w:lang w:eastAsia="zh-CN"/>
        </w:rPr>
        <w:t>结算工程量与现场实际不符</w:t>
      </w:r>
      <w:bookmarkEnd w:id="2"/>
      <w:r>
        <w:rPr>
          <w:rFonts w:hint="eastAsia" w:ascii="仿宋_GB2312" w:eastAsia="仿宋_GB2312"/>
          <w:sz w:val="32"/>
          <w:szCs w:val="32"/>
          <w:highlight w:val="none"/>
          <w:lang w:eastAsia="zh-CN"/>
        </w:rPr>
        <w:t>。</w:t>
      </w:r>
      <w:r>
        <w:rPr>
          <w:rFonts w:hint="eastAsia" w:ascii="仿宋_GB2312" w:eastAsia="仿宋_GB2312"/>
          <w:sz w:val="32"/>
          <w:szCs w:val="32"/>
          <w:lang w:eastAsia="zh-CN"/>
        </w:rPr>
        <w:t>个别</w:t>
      </w:r>
      <w:r>
        <w:rPr>
          <w:rFonts w:hint="eastAsia" w:ascii="仿宋_GB2312" w:eastAsia="仿宋_GB2312"/>
          <w:sz w:val="32"/>
          <w:szCs w:val="32"/>
        </w:rPr>
        <w:t>工程项目</w:t>
      </w:r>
      <w:r>
        <w:rPr>
          <w:rFonts w:hint="eastAsia" w:ascii="仿宋_GB2312" w:eastAsia="仿宋_GB2312"/>
          <w:sz w:val="32"/>
          <w:szCs w:val="32"/>
          <w:lang w:eastAsia="zh-CN"/>
        </w:rPr>
        <w:t>涉及的</w:t>
      </w:r>
      <w:r>
        <w:rPr>
          <w:rFonts w:hint="eastAsia" w:ascii="仿宋_GB2312" w:eastAsia="仿宋_GB2312"/>
          <w:sz w:val="32"/>
          <w:szCs w:val="32"/>
        </w:rPr>
        <w:t>雨水箱、室外花岗岩铺面等</w:t>
      </w:r>
      <w:r>
        <w:rPr>
          <w:rFonts w:hint="eastAsia" w:ascii="仿宋_GB2312" w:eastAsia="仿宋_GB2312"/>
          <w:sz w:val="32"/>
          <w:szCs w:val="32"/>
          <w:lang w:eastAsia="zh-CN"/>
        </w:rPr>
        <w:t>内容</w:t>
      </w:r>
      <w:r>
        <w:rPr>
          <w:rFonts w:hint="eastAsia" w:ascii="仿宋_GB2312" w:eastAsia="仿宋_GB2312"/>
          <w:sz w:val="32"/>
          <w:szCs w:val="32"/>
        </w:rPr>
        <w:t>结算工程量与现场实际不符</w:t>
      </w:r>
      <w:r>
        <w:rPr>
          <w:rFonts w:hint="eastAsia" w:ascii="仿宋_GB2312" w:eastAsia="仿宋_GB2312"/>
          <w:sz w:val="32"/>
          <w:szCs w:val="32"/>
          <w:highlight w:val="none"/>
          <w:lang w:val="en-US" w:eastAsia="zh-CN"/>
        </w:rPr>
        <w:t>。</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600" w:lineRule="exact"/>
        <w:ind w:left="0" w:leftChars="0" w:right="0" w:rightChars="0" w:firstLine="640" w:firstLineChars="200"/>
        <w:jc w:val="both"/>
        <w:textAlignment w:val="auto"/>
        <w:outlineLvl w:val="1"/>
        <w:rPr>
          <w:rFonts w:hint="eastAsia" w:ascii="楷体_GB2312" w:hAnsi="楷体_GB2312" w:eastAsia="楷体_GB2312" w:cs="楷体_GB2312"/>
          <w:sz w:val="32"/>
          <w:szCs w:val="32"/>
          <w:highlight w:val="none"/>
          <w:lang w:val="zh-CN" w:eastAsia="zh-CN"/>
        </w:rPr>
      </w:pPr>
      <w:r>
        <w:rPr>
          <w:rFonts w:hint="eastAsia" w:ascii="楷体_GB2312" w:hAnsi="楷体_GB2312" w:eastAsia="楷体_GB2312" w:cs="楷体_GB2312"/>
          <w:sz w:val="32"/>
          <w:szCs w:val="32"/>
          <w:highlight w:val="none"/>
          <w:lang w:val="en-US" w:eastAsia="zh-CN"/>
        </w:rPr>
        <w:t>（七）工程建设招标采购</w:t>
      </w:r>
      <w:r>
        <w:rPr>
          <w:rFonts w:hint="eastAsia" w:ascii="楷体_GB2312" w:hAnsi="楷体_GB2312" w:eastAsia="楷体_GB2312" w:cs="楷体_GB2312"/>
          <w:sz w:val="32"/>
          <w:szCs w:val="32"/>
          <w:highlight w:val="none"/>
          <w:lang w:val="zh-CN" w:eastAsia="zh-CN"/>
        </w:rPr>
        <w:t>审计情况</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rPr>
          <w:rFonts w:hint="eastAsia" w:ascii="仿宋_GB2312" w:hAnsi="仿宋_GB2312" w:eastAsia="楷体_GB2312" w:cs="仿宋_GB2312"/>
          <w:sz w:val="32"/>
          <w:szCs w:val="32"/>
          <w:lang w:eastAsia="zh-CN"/>
        </w:rPr>
      </w:pPr>
      <w:r>
        <w:rPr>
          <w:rFonts w:hint="eastAsia" w:ascii="仿宋_GB2312" w:hAnsi="仿宋_GB2312" w:eastAsia="仿宋_GB2312" w:cs="仿宋_GB2312"/>
          <w:sz w:val="32"/>
          <w:szCs w:val="32"/>
          <w:highlight w:val="none"/>
        </w:rPr>
        <w:t>重点审计了9</w:t>
      </w:r>
      <w:r>
        <w:rPr>
          <w:rFonts w:hint="eastAsia" w:ascii="仿宋_GB2312" w:hAnsi="仿宋_GB2312" w:eastAsia="仿宋_GB2312" w:cs="仿宋_GB2312"/>
          <w:sz w:val="32"/>
          <w:szCs w:val="32"/>
          <w:highlight w:val="none"/>
          <w:lang w:eastAsia="zh-CN"/>
        </w:rPr>
        <w:t>个</w:t>
      </w:r>
      <w:r>
        <w:rPr>
          <w:rFonts w:hint="eastAsia" w:ascii="仿宋_GB2312" w:hAnsi="仿宋_GB2312" w:eastAsia="仿宋_GB2312" w:cs="仿宋_GB2312"/>
          <w:sz w:val="32"/>
          <w:szCs w:val="32"/>
          <w:highlight w:val="none"/>
        </w:rPr>
        <w:t>单位</w:t>
      </w:r>
      <w:r>
        <w:rPr>
          <w:rFonts w:hint="eastAsia" w:ascii="仿宋_GB2312" w:hAnsi="Times New Roman" w:eastAsia="仿宋_GB2312"/>
          <w:color w:val="000000"/>
          <w:sz w:val="32"/>
          <w:szCs w:val="32"/>
        </w:rPr>
        <w:t>区级工程建设招标采购政策制定情况</w:t>
      </w:r>
      <w:r>
        <w:rPr>
          <w:rFonts w:hint="eastAsia" w:ascii="仿宋_GB2312" w:hAnsi="Times New Roman" w:eastAsia="仿宋_GB2312"/>
          <w:color w:val="000000"/>
          <w:sz w:val="32"/>
          <w:szCs w:val="32"/>
          <w:lang w:eastAsia="zh-CN"/>
        </w:rPr>
        <w:t>、</w:t>
      </w:r>
      <w:r>
        <w:rPr>
          <w:rFonts w:hint="eastAsia" w:ascii="仿宋_GB2312" w:hAnsi="Times New Roman" w:eastAsia="仿宋_GB2312"/>
          <w:color w:val="000000"/>
          <w:sz w:val="32"/>
          <w:szCs w:val="32"/>
        </w:rPr>
        <w:t>招标采购主体内部招标采购制度制定情况</w:t>
      </w:r>
      <w:r>
        <w:rPr>
          <w:rFonts w:hint="eastAsia" w:ascii="仿宋_GB2312" w:hAnsi="仿宋_GB2312" w:eastAsia="仿宋_GB2312" w:cs="仿宋_GB2312"/>
          <w:sz w:val="32"/>
          <w:szCs w:val="32"/>
          <w:highlight w:val="none"/>
          <w:lang w:eastAsia="zh-CN"/>
        </w:rPr>
        <w:t>、</w:t>
      </w:r>
      <w:r>
        <w:rPr>
          <w:rFonts w:hint="eastAsia" w:ascii="仿宋_GB2312" w:hAnsi="Times New Roman" w:eastAsia="仿宋_GB2312"/>
          <w:color w:val="000000"/>
          <w:sz w:val="32"/>
          <w:szCs w:val="32"/>
        </w:rPr>
        <w:t>工程建设项目招标采购执行</w:t>
      </w:r>
      <w:r>
        <w:rPr>
          <w:rFonts w:hint="eastAsia" w:ascii="仿宋_GB2312" w:hAnsi="Times New Roman" w:eastAsia="仿宋_GB2312"/>
          <w:color w:val="000000"/>
          <w:sz w:val="32"/>
          <w:szCs w:val="32"/>
          <w:lang w:eastAsia="zh-CN"/>
        </w:rPr>
        <w:t>情况</w:t>
      </w:r>
      <w:r>
        <w:rPr>
          <w:rFonts w:hint="eastAsia" w:ascii="仿宋_GB2312" w:hAnsi="仿宋_GB2312" w:eastAsia="仿宋_GB2312" w:cs="仿宋_GB2312"/>
          <w:sz w:val="32"/>
          <w:szCs w:val="32"/>
          <w:highlight w:val="none"/>
          <w:lang w:val="zh-CN" w:eastAsia="zh-CN"/>
        </w:rPr>
        <w:t>等。</w:t>
      </w:r>
      <w:r>
        <w:rPr>
          <w:rFonts w:hint="eastAsia" w:ascii="仿宋_GB2312" w:hAnsi="仿宋_GB2312" w:eastAsia="仿宋_GB2312" w:cs="仿宋_GB2312"/>
          <w:sz w:val="32"/>
          <w:szCs w:val="32"/>
          <w:highlight w:val="none"/>
          <w:lang w:val="en-US" w:eastAsia="zh-CN"/>
        </w:rPr>
        <w:t>发</w:t>
      </w:r>
      <w:r>
        <w:rPr>
          <w:rFonts w:hint="eastAsia" w:ascii="仿宋_GB2312" w:hAnsi="仿宋_GB2312" w:eastAsia="仿宋_GB2312" w:cs="仿宋_GB2312"/>
          <w:sz w:val="32"/>
          <w:szCs w:val="32"/>
          <w:lang w:val="en-US" w:eastAsia="zh-CN"/>
        </w:rPr>
        <w:t>现存在以下主要问题：</w:t>
      </w:r>
      <w:r>
        <w:rPr>
          <w:rFonts w:hint="eastAsia" w:ascii="仿宋_GB2312" w:hAnsi="Times New Roman" w:eastAsia="仿宋_GB2312" w:cs="Times New Roman"/>
          <w:b/>
          <w:bCs/>
          <w:color w:val="auto"/>
          <w:sz w:val="32"/>
          <w:szCs w:val="32"/>
          <w:highlight w:val="none"/>
          <w:lang w:eastAsia="zh-CN"/>
        </w:rPr>
        <w:t>一是</w:t>
      </w:r>
      <w:r>
        <w:rPr>
          <w:rFonts w:hint="eastAsia" w:ascii="仿宋_GB2312" w:hAnsi="仿宋_GB2312" w:eastAsia="仿宋_GB2312" w:cs="仿宋_GB2312"/>
          <w:sz w:val="32"/>
          <w:szCs w:val="32"/>
        </w:rPr>
        <w:t>供应商准入与资格审查</w:t>
      </w:r>
      <w:r>
        <w:rPr>
          <w:rFonts w:hint="eastAsia" w:ascii="仿宋_GB2312" w:hAnsi="仿宋_GB2312" w:eastAsia="仿宋_GB2312" w:cs="仿宋_GB2312"/>
          <w:sz w:val="32"/>
          <w:szCs w:val="32"/>
          <w:lang w:eastAsia="zh-CN"/>
        </w:rPr>
        <w:t>不严。个别</w:t>
      </w:r>
      <w:r>
        <w:rPr>
          <w:rFonts w:hint="eastAsia" w:ascii="仿宋_GB2312" w:hAnsi="仿宋_GB2312" w:eastAsia="仿宋_GB2312" w:cs="仿宋_GB2312"/>
          <w:sz w:val="32"/>
          <w:szCs w:val="32"/>
        </w:rPr>
        <w:t>维修改造项目</w:t>
      </w:r>
      <w:r>
        <w:rPr>
          <w:rFonts w:hint="eastAsia" w:ascii="仿宋_GB2312" w:hAnsi="仿宋_GB2312" w:eastAsia="仿宋_GB2312" w:cs="仿宋_GB2312"/>
          <w:sz w:val="32"/>
          <w:szCs w:val="32"/>
          <w:lang w:eastAsia="zh-CN"/>
        </w:rPr>
        <w:t>中标单位</w:t>
      </w:r>
      <w:r>
        <w:rPr>
          <w:rFonts w:hint="eastAsia" w:ascii="仿宋_GB2312" w:hAnsi="仿宋_GB2312" w:eastAsia="仿宋_GB2312" w:cs="仿宋_GB2312"/>
          <w:sz w:val="32"/>
          <w:szCs w:val="32"/>
        </w:rPr>
        <w:t>无建筑工程施工总承包资质。</w:t>
      </w:r>
      <w:r>
        <w:rPr>
          <w:rFonts w:hint="eastAsia" w:ascii="仿宋_GB2312" w:hAnsi="仿宋_GB2312" w:eastAsia="仿宋_GB2312" w:cs="仿宋_GB2312"/>
          <w:b/>
          <w:bCs/>
          <w:sz w:val="32"/>
          <w:szCs w:val="32"/>
          <w:highlight w:val="none"/>
          <w:lang w:eastAsia="zh-CN" w:bidi="ar"/>
        </w:rPr>
        <w:t>二是</w:t>
      </w:r>
      <w:r>
        <w:rPr>
          <w:rFonts w:hint="eastAsia" w:ascii="仿宋_GB2312" w:hAnsi="仿宋_GB2312" w:eastAsia="仿宋_GB2312" w:cs="仿宋_GB2312"/>
          <w:sz w:val="32"/>
          <w:szCs w:val="32"/>
          <w:highlight w:val="none"/>
        </w:rPr>
        <w:t>合同管理</w:t>
      </w:r>
      <w:r>
        <w:rPr>
          <w:rFonts w:hint="eastAsia" w:ascii="仿宋_GB2312" w:hAnsi="仿宋_GB2312" w:eastAsia="仿宋_GB2312" w:cs="仿宋_GB2312"/>
          <w:sz w:val="32"/>
          <w:szCs w:val="32"/>
          <w:highlight w:val="none"/>
          <w:lang w:eastAsia="zh-CN"/>
        </w:rPr>
        <w:t>不到位。</w:t>
      </w:r>
      <w:r>
        <w:rPr>
          <w:rFonts w:hint="eastAsia" w:ascii="仿宋_GB2312" w:hAnsi="仿宋_GB2312" w:eastAsia="仿宋_GB2312" w:cs="仿宋_GB2312"/>
          <w:sz w:val="32"/>
          <w:szCs w:val="32"/>
          <w:highlight w:val="none"/>
          <w:lang w:val="en-US" w:eastAsia="zh-CN"/>
        </w:rPr>
        <w:t>1个项目</w:t>
      </w:r>
      <w:r>
        <w:rPr>
          <w:rFonts w:hint="eastAsia" w:ascii="仿宋_GB2312" w:hAnsi="仿宋_GB2312" w:eastAsia="仿宋_GB2312" w:cs="仿宋_GB2312"/>
          <w:sz w:val="32"/>
          <w:szCs w:val="32"/>
        </w:rPr>
        <w:t>协议部分实质性内容背离投标文件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1个项目</w:t>
      </w:r>
      <w:r>
        <w:rPr>
          <w:rFonts w:hint="eastAsia" w:ascii="仿宋_GB2312" w:hAnsi="仿宋_GB2312" w:eastAsia="仿宋_GB2312" w:cs="仿宋_GB2312"/>
          <w:sz w:val="32"/>
          <w:szCs w:val="32"/>
        </w:rPr>
        <w:t>支付完成时间早于合同约定付款节点。</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600" w:lineRule="exact"/>
        <w:ind w:left="0" w:leftChars="0" w:right="0" w:rightChars="0" w:firstLine="640" w:firstLineChars="200"/>
        <w:jc w:val="both"/>
        <w:textAlignment w:val="auto"/>
        <w:outlineLvl w:val="1"/>
        <w:rPr>
          <w:rFonts w:hint="eastAsia" w:ascii="楷体_GB2312" w:hAnsi="楷体_GB2312" w:eastAsia="楷体_GB2312" w:cs="楷体_GB2312"/>
          <w:sz w:val="32"/>
          <w:szCs w:val="32"/>
          <w:highlight w:val="none"/>
          <w:lang w:val="zh-CN" w:eastAsia="zh-CN"/>
        </w:rPr>
      </w:pPr>
      <w:r>
        <w:rPr>
          <w:rFonts w:hint="eastAsia" w:ascii="楷体_GB2312" w:hAnsi="楷体_GB2312" w:eastAsia="楷体_GB2312" w:cs="楷体_GB2312"/>
          <w:sz w:val="32"/>
          <w:szCs w:val="32"/>
          <w:highlight w:val="none"/>
          <w:lang w:val="zh-CN" w:eastAsia="zh-CN"/>
        </w:rPr>
        <w:t>（八）国有资本经营预算管理审计情况</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eastAsia="仿宋_GB2312"/>
          <w:color w:val="000000"/>
          <w:sz w:val="32"/>
          <w:szCs w:val="32"/>
          <w:lang w:eastAsia="zh-CN"/>
        </w:rPr>
        <w:t>对</w:t>
      </w:r>
      <w:r>
        <w:rPr>
          <w:rFonts w:hint="eastAsia" w:ascii="仿宋_GB2312" w:eastAsia="仿宋_GB2312"/>
          <w:sz w:val="32"/>
          <w:highlight w:val="none"/>
        </w:rPr>
        <w:t>国有资本经营预算主管部门</w:t>
      </w:r>
      <w:r>
        <w:rPr>
          <w:rFonts w:hint="eastAsia" w:ascii="仿宋_GB2312" w:hAnsi="Times New Roman" w:eastAsia="仿宋_GB2312"/>
          <w:color w:val="000000"/>
          <w:sz w:val="32"/>
          <w:szCs w:val="32"/>
          <w:lang w:eastAsia="zh-CN"/>
        </w:rPr>
        <w:t>、</w:t>
      </w:r>
      <w:r>
        <w:rPr>
          <w:rFonts w:hint="eastAsia" w:ascii="仿宋_GB2312" w:eastAsia="仿宋_GB2312"/>
          <w:sz w:val="32"/>
          <w:highlight w:val="none"/>
        </w:rPr>
        <w:t>预算单位</w:t>
      </w:r>
      <w:r>
        <w:rPr>
          <w:rFonts w:hint="eastAsia" w:ascii="仿宋_GB2312" w:hAnsi="Times New Roman" w:eastAsia="仿宋_GB2312" w:cs="Times New Roman"/>
          <w:sz w:val="32"/>
          <w:highlight w:val="none"/>
          <w:lang w:eastAsia="zh-CN"/>
        </w:rPr>
        <w:t>和</w:t>
      </w:r>
      <w:r>
        <w:rPr>
          <w:rFonts w:hint="eastAsia" w:ascii="仿宋_GB2312" w:hAnsi="Times New Roman" w:eastAsia="仿宋_GB2312" w:cs="Times New Roman"/>
          <w:sz w:val="32"/>
          <w:highlight w:val="none"/>
        </w:rPr>
        <w:t>13</w:t>
      </w:r>
      <w:r>
        <w:rPr>
          <w:rFonts w:hint="eastAsia" w:ascii="仿宋_GB2312" w:eastAsia="仿宋_GB2312" w:cs="Times New Roman"/>
          <w:sz w:val="32"/>
          <w:highlight w:val="none"/>
          <w:lang w:eastAsia="zh-CN"/>
        </w:rPr>
        <w:t>个</w:t>
      </w:r>
      <w:r>
        <w:rPr>
          <w:rFonts w:hint="eastAsia" w:ascii="仿宋_GB2312" w:hAnsi="Times New Roman" w:eastAsia="仿宋_GB2312" w:cs="Times New Roman"/>
          <w:sz w:val="32"/>
          <w:highlight w:val="none"/>
        </w:rPr>
        <w:t>区属国有一级企业</w:t>
      </w:r>
      <w:r>
        <w:rPr>
          <w:rFonts w:hint="eastAsia" w:ascii="仿宋_GB2312" w:hAnsi="Times New Roman" w:eastAsia="仿宋_GB2312" w:cs="Times New Roman"/>
          <w:sz w:val="32"/>
          <w:highlight w:val="none"/>
          <w:lang w:val="en-US" w:eastAsia="zh-CN"/>
        </w:rPr>
        <w:t>开展审计，</w:t>
      </w:r>
      <w:r>
        <w:rPr>
          <w:rFonts w:hint="eastAsia" w:ascii="仿宋_GB2312" w:hAnsi="仿宋_GB2312" w:eastAsia="仿宋_GB2312" w:cs="仿宋_GB2312"/>
          <w:sz w:val="32"/>
          <w:szCs w:val="32"/>
        </w:rPr>
        <w:t>重点审计了</w:t>
      </w:r>
      <w:r>
        <w:rPr>
          <w:rFonts w:hint="eastAsia" w:ascii="仿宋_GB2312" w:eastAsia="仿宋_GB2312"/>
          <w:sz w:val="32"/>
          <w:szCs w:val="32"/>
        </w:rPr>
        <w:t>制度建立、预算编制与执行、绩效管理落实等</w:t>
      </w:r>
      <w:r>
        <w:rPr>
          <w:rFonts w:hint="eastAsia" w:ascii="仿宋_GB2312" w:eastAsia="仿宋_GB2312"/>
          <w:sz w:val="32"/>
          <w:szCs w:val="32"/>
          <w:lang w:eastAsia="zh-CN"/>
        </w:rPr>
        <w:t>内容。</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b w:val="0"/>
          <w:bCs w:val="0"/>
          <w:sz w:val="32"/>
          <w:szCs w:val="32"/>
          <w:highlight w:val="none"/>
          <w:lang w:val="en-US" w:eastAsia="zh-CN"/>
        </w:rPr>
        <w:t>制度制定不完善。</w:t>
      </w:r>
      <w:r>
        <w:rPr>
          <w:rFonts w:hint="eastAsia" w:ascii="仿宋_GB2312" w:hAnsi="仿宋_GB2312" w:eastAsia="仿宋_GB2312" w:cs="仿宋_GB2312"/>
          <w:sz w:val="32"/>
          <w:szCs w:val="32"/>
          <w:highlight w:val="none"/>
          <w:lang w:val="en-US" w:eastAsia="zh-CN"/>
        </w:rPr>
        <w:t>区级制度规定与市级不符；</w:t>
      </w:r>
      <w:r>
        <w:rPr>
          <w:rFonts w:hint="eastAsia" w:ascii="仿宋_GB2312" w:hAnsi="仿宋_GB2312" w:eastAsia="仿宋_GB2312" w:cs="仿宋_GB2312"/>
          <w:sz w:val="32"/>
          <w:szCs w:val="32"/>
          <w:highlight w:val="none"/>
          <w:lang w:eastAsia="zh-CN"/>
        </w:rPr>
        <w:t>预算单位及部分</w:t>
      </w:r>
      <w:r>
        <w:rPr>
          <w:rFonts w:hint="eastAsia" w:ascii="仿宋_GB2312" w:hAnsi="仿宋_GB2312" w:eastAsia="仿宋_GB2312" w:cs="仿宋_GB2312"/>
          <w:sz w:val="32"/>
          <w:szCs w:val="32"/>
          <w:highlight w:val="none"/>
          <w:lang w:val="en-US" w:eastAsia="zh-CN"/>
        </w:rPr>
        <w:t>企业未建立国有资本经营预算管理制度。</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sz w:val="32"/>
          <w:szCs w:val="32"/>
          <w:highlight w:val="none"/>
          <w:lang w:eastAsia="zh-CN"/>
        </w:rPr>
        <w:t>预算单位组织收益收缴不及时。部分企业收益上报时间晚于规定时间，收益申报表的审核时间超规定时间</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bCs/>
          <w:sz w:val="32"/>
          <w:szCs w:val="32"/>
          <w:highlight w:val="none"/>
          <w:lang w:eastAsia="zh-CN"/>
        </w:rPr>
        <w:t>三是</w:t>
      </w:r>
      <w:r>
        <w:rPr>
          <w:rFonts w:hint="eastAsia" w:ascii="仿宋_GB2312" w:hAnsi="仿宋_GB2312" w:eastAsia="仿宋_GB2312" w:cs="仿宋_GB2312"/>
          <w:sz w:val="32"/>
          <w:szCs w:val="32"/>
          <w:highlight w:val="none"/>
          <w:lang w:eastAsia="zh-CN"/>
        </w:rPr>
        <w:t>预决算编制不规范。部分企业</w:t>
      </w:r>
      <w:r>
        <w:rPr>
          <w:rFonts w:hint="eastAsia" w:ascii="仿宋_GB2312" w:hAnsi="仿宋_GB2312" w:eastAsia="仿宋_GB2312" w:cs="仿宋_GB2312"/>
          <w:sz w:val="32"/>
          <w:szCs w:val="32"/>
          <w:highlight w:val="none"/>
          <w:lang w:val="en-US" w:eastAsia="zh-CN"/>
        </w:rPr>
        <w:t>将未完成的事项在决算报告中披露为已完成；未根据《事前绩效评价报告》建议调整绩效目标等事项。</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val="0"/>
        <w:snapToGrid w:val="0"/>
        <w:spacing w:before="0" w:after="0" w:line="600" w:lineRule="exact"/>
        <w:ind w:left="0" w:leftChars="0" w:right="0" w:rightChars="0" w:firstLine="640" w:firstLineChars="200"/>
        <w:jc w:val="both"/>
        <w:textAlignment w:val="auto"/>
        <w:outlineLvl w:val="1"/>
        <w:rPr>
          <w:rFonts w:hint="eastAsia" w:ascii="楷体_GB2312" w:hAnsi="楷体_GB2312" w:eastAsia="楷体_GB2312" w:cs="楷体_GB2312"/>
          <w:sz w:val="32"/>
          <w:szCs w:val="32"/>
          <w:highlight w:val="none"/>
          <w:lang w:val="zh-CN" w:eastAsia="zh-CN"/>
        </w:rPr>
      </w:pPr>
      <w:r>
        <w:rPr>
          <w:rFonts w:hint="eastAsia" w:ascii="楷体_GB2312" w:hAnsi="楷体_GB2312" w:eastAsia="楷体_GB2312" w:cs="楷体_GB2312"/>
          <w:sz w:val="32"/>
          <w:szCs w:val="32"/>
          <w:highlight w:val="none"/>
          <w:lang w:val="zh-CN" w:eastAsia="zh-CN"/>
        </w:rPr>
        <w:t>（九）地方政府债务审计情况</w:t>
      </w:r>
    </w:p>
    <w:p>
      <w:pPr>
        <w:keepNext w:val="0"/>
        <w:keepLines w:val="0"/>
        <w:pageBreakBefore w:val="0"/>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rPr>
          <w:rFonts w:hint="eastAsia" w:ascii="仿宋_GB2312" w:hAnsi="仿宋_GB2312" w:eastAsia="仿宋_GB2312"/>
          <w:sz w:val="32"/>
          <w:szCs w:val="32"/>
        </w:rPr>
      </w:pPr>
      <w:r>
        <w:rPr>
          <w:rFonts w:hint="eastAsia" w:ascii="仿宋_GB2312" w:hAnsi="仿宋_GB2312" w:eastAsia="仿宋_GB2312" w:cs="仿宋_GB2312"/>
          <w:sz w:val="32"/>
          <w:szCs w:val="32"/>
        </w:rPr>
        <w:t>重点审计了</w:t>
      </w:r>
      <w:r>
        <w:rPr>
          <w:rFonts w:hint="eastAsia" w:ascii="仿宋_GB2312" w:hAnsi="仿宋_GB2312" w:eastAsia="仿宋_GB2312"/>
          <w:sz w:val="32"/>
          <w:szCs w:val="32"/>
        </w:rPr>
        <w:t>政策制定及执行情况、举借情况、</w:t>
      </w:r>
      <w:r>
        <w:rPr>
          <w:rFonts w:hint="eastAsia" w:ascii="仿宋_GB2312" w:hAnsi="仿宋_GB2312" w:eastAsia="仿宋_GB2312"/>
          <w:sz w:val="32"/>
          <w:szCs w:val="32"/>
          <w:lang w:eastAsia="zh-CN"/>
        </w:rPr>
        <w:t>新增债务</w:t>
      </w:r>
      <w:r>
        <w:rPr>
          <w:rFonts w:hint="eastAsia" w:ascii="仿宋_GB2312" w:hAnsi="仿宋_GB2312" w:eastAsia="仿宋_GB2312"/>
          <w:sz w:val="32"/>
          <w:szCs w:val="32"/>
        </w:rPr>
        <w:t>使用情况</w:t>
      </w:r>
      <w:r>
        <w:rPr>
          <w:rFonts w:hint="eastAsia" w:ascii="仿宋_GB2312" w:eastAsia="仿宋_GB2312"/>
          <w:sz w:val="32"/>
          <w:szCs w:val="32"/>
        </w:rPr>
        <w:t>等</w:t>
      </w:r>
      <w:r>
        <w:rPr>
          <w:rFonts w:hint="eastAsia" w:ascii="仿宋_GB2312" w:eastAsia="仿宋_GB2312"/>
          <w:sz w:val="32"/>
          <w:szCs w:val="32"/>
          <w:lang w:eastAsia="zh-CN"/>
        </w:rPr>
        <w:t>。</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Times New Roman"/>
          <w:sz w:val="32"/>
          <w:szCs w:val="32"/>
          <w:lang w:val="en-US" w:eastAsia="zh-CN"/>
        </w:rPr>
        <w:t>个别月</w:t>
      </w:r>
      <w:r>
        <w:rPr>
          <w:rFonts w:hint="eastAsia" w:ascii="仿宋_GB2312" w:hAnsi="仿宋_GB2312" w:eastAsia="仿宋_GB2312" w:cs="Times New Roman"/>
          <w:b w:val="0"/>
          <w:bCs w:val="0"/>
          <w:sz w:val="32"/>
          <w:szCs w:val="32"/>
          <w:lang w:val="en-US" w:eastAsia="zh-CN"/>
        </w:rPr>
        <w:t>报</w:t>
      </w:r>
      <w:r>
        <w:rPr>
          <w:rFonts w:hint="eastAsia" w:ascii="仿宋_GB2312" w:hAnsi="仿宋_GB2312" w:eastAsia="仿宋_GB2312" w:cs="Times New Roman"/>
          <w:sz w:val="32"/>
          <w:szCs w:val="32"/>
          <w:lang w:val="en-US" w:eastAsia="zh-CN"/>
        </w:rPr>
        <w:t>数据</w:t>
      </w:r>
      <w:r>
        <w:rPr>
          <w:rFonts w:hint="eastAsia" w:ascii="仿宋_GB2312" w:hAnsi="仿宋_GB2312" w:eastAsia="仿宋_GB2312" w:cs="Times New Roman"/>
          <w:sz w:val="32"/>
          <w:szCs w:val="32"/>
          <w:lang w:eastAsia="zh-CN"/>
        </w:rPr>
        <w:t>填报不准确。</w:t>
      </w:r>
      <w:r>
        <w:rPr>
          <w:rFonts w:hint="eastAsia" w:ascii="仿宋_GB2312" w:eastAsia="仿宋_GB2312"/>
          <w:b/>
          <w:bCs/>
          <w:sz w:val="32"/>
          <w:szCs w:val="32"/>
          <w:highlight w:val="none"/>
          <w:lang w:eastAsia="zh-CN"/>
        </w:rPr>
        <w:t>二是</w:t>
      </w:r>
      <w:r>
        <w:rPr>
          <w:rFonts w:hint="eastAsia" w:ascii="仿宋_GB2312" w:hAnsi="仿宋_GB2312" w:eastAsia="仿宋_GB2312" w:cs="Times New Roman"/>
          <w:sz w:val="32"/>
          <w:szCs w:val="32"/>
          <w:lang w:eastAsia="zh-CN"/>
        </w:rPr>
        <w:t>使用债券资金超额支付工程预付款。</w:t>
      </w:r>
      <w:r>
        <w:rPr>
          <w:rFonts w:hint="eastAsia" w:ascii="仿宋_GB2312" w:hAnsi="仿宋_GB2312" w:eastAsia="仿宋_GB2312"/>
          <w:sz w:val="32"/>
          <w:szCs w:val="32"/>
        </w:rPr>
        <w:t>两个项目预付工程款均超过合同金额30%</w:t>
      </w:r>
      <w:r>
        <w:rPr>
          <w:rFonts w:hint="eastAsia" w:ascii="仿宋_GB2312" w:hAnsi="仿宋_GB2312" w:eastAsia="仿宋_GB2312"/>
          <w:sz w:val="32"/>
          <w:szCs w:val="32"/>
          <w:lang w:eastAsia="zh-CN"/>
        </w:rPr>
        <w:t>。</w:t>
      </w:r>
      <w:r>
        <w:rPr>
          <w:rFonts w:hint="eastAsia" w:ascii="仿宋_GB2312" w:hAnsi="Times New Roman" w:eastAsia="仿宋_GB2312" w:cs="Times New Roman"/>
          <w:b/>
          <w:bCs/>
          <w:sz w:val="32"/>
          <w:szCs w:val="32"/>
          <w:highlight w:val="none"/>
          <w:lang w:eastAsia="zh-CN"/>
        </w:rPr>
        <w:t>三是</w:t>
      </w:r>
      <w:r>
        <w:rPr>
          <w:rFonts w:hint="eastAsia" w:ascii="仿宋_GB2312" w:hAnsi="仿宋_GB2312" w:eastAsia="仿宋_GB2312" w:cs="Times New Roman"/>
          <w:sz w:val="32"/>
          <w:szCs w:val="32"/>
          <w:lang w:eastAsia="zh-CN"/>
        </w:rPr>
        <w:t>部分工程款项</w:t>
      </w:r>
      <w:r>
        <w:rPr>
          <w:rFonts w:hint="eastAsia" w:ascii="仿宋_GB2312" w:hAnsi="仿宋_GB2312" w:eastAsia="仿宋_GB2312"/>
          <w:sz w:val="32"/>
          <w:szCs w:val="32"/>
          <w:lang w:eastAsia="zh-CN"/>
        </w:rPr>
        <w:t>未</w:t>
      </w:r>
      <w:r>
        <w:rPr>
          <w:rFonts w:hint="eastAsia" w:ascii="仿宋_GB2312" w:hAnsi="仿宋_GB2312" w:eastAsia="仿宋_GB2312"/>
          <w:sz w:val="32"/>
          <w:szCs w:val="32"/>
        </w:rPr>
        <w:t>按月核算工程进度，与合同要求不符。</w:t>
      </w:r>
    </w:p>
    <w:p>
      <w:pPr>
        <w:keepNext w:val="0"/>
        <w:keepLines w:val="0"/>
        <w:pageBreakBefore w:val="0"/>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zh-CN" w:eastAsia="zh-CN"/>
        </w:rPr>
        <w:t>（十）街道政府购买服务规范运行审计情况</w:t>
      </w:r>
    </w:p>
    <w:p>
      <w:pPr>
        <w:keepNext w:val="0"/>
        <w:keepLines w:val="0"/>
        <w:pageBreakBefore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hAnsi="仿宋_GB2312" w:eastAsia="仿宋_GB2312" w:cs="仿宋_GB2312"/>
          <w:b/>
          <w:bCs/>
          <w:sz w:val="32"/>
          <w:szCs w:val="32"/>
          <w:highlight w:val="green"/>
          <w:lang w:val="en-US" w:eastAsia="zh-CN"/>
        </w:rPr>
      </w:pPr>
      <w:r>
        <w:rPr>
          <w:rFonts w:hint="eastAsia" w:ascii="仿宋_GB2312" w:hAnsi="仿宋_GB2312" w:eastAsia="仿宋_GB2312" w:cs="仿宋_GB2312"/>
          <w:sz w:val="32"/>
          <w:szCs w:val="32"/>
          <w:highlight w:val="none"/>
        </w:rPr>
        <w:t>重点审查了政府购买服务政策贯彻落实情况、经费管理使用情况、履约监督及绩效管理情况</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内容。</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highlight w:val="none"/>
          <w:lang w:eastAsia="zh-CN"/>
        </w:rPr>
        <w:t>采购管理不到位。</w:t>
      </w:r>
      <w:r>
        <w:rPr>
          <w:rFonts w:hint="eastAsia" w:ascii="仿宋_GB2312" w:hAnsi="仿宋_GB2312" w:eastAsia="仿宋_GB2312" w:cs="仿宋_GB2312"/>
          <w:sz w:val="32"/>
          <w:szCs w:val="32"/>
          <w:highlight w:val="none"/>
          <w:lang w:val="en-US" w:eastAsia="zh-CN"/>
        </w:rPr>
        <w:t>4个项目未按照内控规定履行相应询价等采购程序；</w:t>
      </w:r>
      <w:r>
        <w:rPr>
          <w:rFonts w:hint="eastAsia" w:ascii="仿宋_GB2312" w:hAnsi="仿宋_GB2312" w:eastAsia="仿宋_GB2312" w:cs="仿宋_GB2312"/>
          <w:sz w:val="32"/>
          <w:szCs w:val="32"/>
          <w:highlight w:val="none"/>
        </w:rPr>
        <w:t>6个项</w:t>
      </w:r>
      <w:r>
        <w:rPr>
          <w:rFonts w:hint="eastAsia" w:ascii="仿宋_GB2312" w:hAnsi="仿宋_GB2312" w:eastAsia="仿宋_GB2312" w:cs="仿宋_GB2312"/>
          <w:sz w:val="32"/>
          <w:szCs w:val="32"/>
          <w:highlight w:val="none"/>
          <w:lang w:eastAsia="zh-CN"/>
        </w:rPr>
        <w:t>目</w:t>
      </w:r>
      <w:r>
        <w:rPr>
          <w:rFonts w:hint="eastAsia" w:ascii="仿宋_GB2312" w:hAnsi="仿宋_GB2312" w:eastAsia="仿宋_GB2312" w:cs="仿宋_GB2312"/>
          <w:sz w:val="32"/>
          <w:szCs w:val="32"/>
          <w:highlight w:val="none"/>
        </w:rPr>
        <w:t>未按照采购文件签订合同</w:t>
      </w:r>
      <w:r>
        <w:rPr>
          <w:rFonts w:hint="eastAsia" w:ascii="仿宋_GB2312" w:hAnsi="仿宋_GB2312" w:eastAsia="仿宋_GB2312" w:cs="仿宋_GB2312"/>
          <w:sz w:val="32"/>
          <w:szCs w:val="32"/>
          <w:highlight w:val="none"/>
          <w:lang w:eastAsia="zh-CN"/>
        </w:rPr>
        <w:t>，如缺少磋商文件中提供人员数量的服务要求等。</w:t>
      </w:r>
      <w:r>
        <w:rPr>
          <w:rFonts w:hint="eastAsia" w:ascii="仿宋_GB2312" w:hAnsi="仿宋_GB2312" w:eastAsia="仿宋_GB2312" w:cs="仿宋_GB2312"/>
          <w:b/>
          <w:bCs/>
          <w:sz w:val="32"/>
          <w:szCs w:val="32"/>
          <w:highlight w:val="none"/>
          <w:lang w:eastAsia="zh-CN"/>
        </w:rPr>
        <w:t>二是</w:t>
      </w:r>
      <w:r>
        <w:rPr>
          <w:rFonts w:hint="eastAsia" w:ascii="仿宋_GB2312" w:hAnsi="仿宋_GB2312" w:eastAsia="仿宋_GB2312" w:cs="仿宋_GB2312"/>
          <w:sz w:val="32"/>
          <w:szCs w:val="32"/>
          <w:highlight w:val="none"/>
        </w:rPr>
        <w:t>部分项目超范围实施政府购买服务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个项目超范围实施购买服务</w:t>
      </w:r>
      <w:r>
        <w:rPr>
          <w:rFonts w:hint="eastAsia" w:ascii="仿宋_GB2312" w:hAnsi="仿宋_GB2312" w:eastAsia="仿宋_GB2312" w:cs="仿宋_GB2312"/>
          <w:sz w:val="32"/>
          <w:szCs w:val="32"/>
          <w:highlight w:val="none"/>
          <w:lang w:eastAsia="zh-CN"/>
        </w:rPr>
        <w:t>，将资产管理、修订内控制度、宣传工作等“负面清单”事项进行外包。</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sz w:val="32"/>
          <w:szCs w:val="32"/>
          <w:highlight w:val="none"/>
          <w:lang w:eastAsia="zh-CN"/>
        </w:rPr>
        <w:t>制定的购买服务管理办法购买主体范围、购买服务目录等条款与区级文件不符。</w:t>
      </w:r>
    </w:p>
    <w:p>
      <w:pPr>
        <w:keepNext w:val="0"/>
        <w:keepLines w:val="0"/>
        <w:pageBreakBefore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楷体_GB2312" w:hAnsi="楷体_GB2312" w:eastAsia="楷体_GB2312" w:cs="楷体_GB2312"/>
          <w:sz w:val="32"/>
          <w:szCs w:val="32"/>
          <w:lang w:eastAsia="zh-CN"/>
        </w:rPr>
      </w:pPr>
      <w:r>
        <w:rPr>
          <w:rFonts w:hint="eastAsia" w:ascii="楷体_GB2312" w:hAnsi="楷体_GB2312" w:eastAsia="楷体_GB2312" w:cs="楷体_GB2312"/>
          <w:kern w:val="2"/>
          <w:sz w:val="32"/>
          <w:szCs w:val="32"/>
          <w:lang w:val="en-US" w:eastAsia="zh-CN" w:bidi="ar-SA"/>
        </w:rPr>
        <w:t>（十一）</w:t>
      </w:r>
      <w:r>
        <w:rPr>
          <w:rFonts w:hint="eastAsia" w:ascii="楷体_GB2312" w:hAnsi="楷体_GB2312" w:eastAsia="楷体_GB2312" w:cs="楷体_GB2312"/>
          <w:sz w:val="32"/>
          <w:szCs w:val="32"/>
          <w:highlight w:val="none"/>
          <w:lang w:val="en-US" w:eastAsia="zh-CN"/>
        </w:rPr>
        <w:t>环卫资金管理及使用审计</w:t>
      </w:r>
      <w:r>
        <w:rPr>
          <w:rFonts w:hint="eastAsia" w:ascii="楷体_GB2312" w:hAnsi="楷体_GB2312" w:eastAsia="楷体_GB2312" w:cs="楷体_GB2312"/>
          <w:sz w:val="32"/>
          <w:szCs w:val="32"/>
          <w:highlight w:val="none"/>
          <w:lang w:val="zh-CN" w:eastAsia="zh-CN"/>
        </w:rPr>
        <w:t>情况</w:t>
      </w:r>
    </w:p>
    <w:p>
      <w:pPr>
        <w:keepNext w:val="0"/>
        <w:keepLines w:val="0"/>
        <w:pageBreakBefore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sz w:val="32"/>
          <w:szCs w:val="32"/>
          <w:highlight w:val="none"/>
        </w:rPr>
        <w:t>重点审查了</w:t>
      </w:r>
      <w:r>
        <w:rPr>
          <w:rFonts w:hint="eastAsia" w:ascii="仿宋_GB2312" w:hAnsi="仿宋_GB2312" w:eastAsia="仿宋_GB2312" w:cs="仿宋_GB2312"/>
          <w:sz w:val="32"/>
          <w:szCs w:val="32"/>
        </w:rPr>
        <w:t>内控制度建立和执行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资金的真实合规性</w:t>
      </w:r>
      <w:r>
        <w:rPr>
          <w:rFonts w:hint="eastAsia" w:ascii="仿宋_GB2312" w:hAnsi="仿宋_GB2312" w:eastAsia="仿宋_GB2312" w:cs="仿宋_GB2312"/>
          <w:sz w:val="32"/>
          <w:szCs w:val="32"/>
          <w:lang w:eastAsia="zh-CN"/>
        </w:rPr>
        <w:t>及使用效益</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eastAsia="zh-CN"/>
        </w:rPr>
        <w:t>内容。</w:t>
      </w:r>
      <w:r>
        <w:rPr>
          <w:rFonts w:hint="eastAsia" w:ascii="仿宋_GB2312" w:hAnsi="仿宋_GB2312" w:eastAsia="仿宋_GB2312" w:cs="仿宋_GB2312"/>
          <w:sz w:val="32"/>
          <w:szCs w:val="32"/>
          <w:lang w:val="en-US" w:eastAsia="zh-CN"/>
        </w:rPr>
        <w:t>发现存在以下主要问题</w:t>
      </w:r>
      <w:r>
        <w:rPr>
          <w:rFonts w:hint="eastAsia" w:ascii="仿宋_GB2312" w:hAnsi="仿宋_GB2312" w:eastAsia="仿宋_GB2312" w:cs="仿宋_GB2312"/>
          <w:sz w:val="32"/>
          <w:szCs w:val="32"/>
          <w:highlight w:val="none"/>
          <w:lang w:val="en-US" w:eastAsia="zh-CN"/>
        </w:rPr>
        <w:t>：</w:t>
      </w:r>
      <w:r>
        <w:rPr>
          <w:rFonts w:hint="eastAsia" w:ascii="仿宋_GB2312" w:hAnsi="Times New Roman" w:eastAsia="仿宋_GB2312" w:cs="Times New Roman"/>
          <w:b/>
          <w:bCs/>
          <w:color w:val="auto"/>
          <w:kern w:val="2"/>
          <w:sz w:val="32"/>
          <w:szCs w:val="32"/>
          <w:highlight w:val="none"/>
          <w:lang w:val="en-US" w:eastAsia="zh-CN" w:bidi="ar-SA"/>
        </w:rPr>
        <w:t>一是</w:t>
      </w:r>
      <w:r>
        <w:rPr>
          <w:rFonts w:hint="eastAsia" w:ascii="仿宋_GB2312" w:hAnsi="仿宋_GB2312" w:eastAsia="仿宋_GB2312" w:cs="仿宋_GB2312"/>
          <w:color w:val="000000"/>
          <w:sz w:val="32"/>
          <w:szCs w:val="32"/>
          <w:highlight w:val="none"/>
        </w:rPr>
        <w:t>车辆管理不规范</w:t>
      </w:r>
      <w:r>
        <w:rPr>
          <w:rFonts w:hint="eastAsia" w:ascii="仿宋_GB2312" w:hAnsi="仿宋_GB2312" w:eastAsia="仿宋_GB2312" w:cs="仿宋_GB2312"/>
          <w:color w:val="000000"/>
          <w:sz w:val="32"/>
          <w:szCs w:val="32"/>
          <w:highlight w:val="none"/>
          <w:lang w:val="en-US" w:eastAsia="zh-CN"/>
        </w:rPr>
        <w:t>。作业</w:t>
      </w:r>
      <w:r>
        <w:rPr>
          <w:rFonts w:hint="eastAsia" w:ascii="仿宋_GB2312" w:hAnsi="仿宋_GB2312" w:eastAsia="仿宋_GB2312" w:cs="仿宋_GB2312"/>
          <w:color w:val="000000"/>
          <w:sz w:val="32"/>
          <w:szCs w:val="32"/>
          <w:highlight w:val="none"/>
        </w:rPr>
        <w:t>车辆底数不清</w:t>
      </w:r>
      <w:r>
        <w:rPr>
          <w:rFonts w:hint="eastAsia" w:ascii="仿宋_GB2312" w:hAnsi="仿宋_GB2312" w:eastAsia="仿宋_GB2312"/>
          <w:sz w:val="32"/>
          <w:szCs w:val="32"/>
          <w:highlight w:val="none"/>
          <w:lang w:eastAsia="zh-CN"/>
        </w:rPr>
        <w:t>；</w:t>
      </w:r>
      <w:r>
        <w:rPr>
          <w:rFonts w:hint="eastAsia" w:ascii="仿宋_GB2312" w:hAnsi="仿宋_GB2312" w:eastAsia="仿宋_GB2312"/>
          <w:sz w:val="32"/>
          <w:szCs w:val="32"/>
          <w:highlight w:val="none"/>
        </w:rPr>
        <w:t>未制定电动车及电动车充电管理制度。</w:t>
      </w:r>
      <w:r>
        <w:rPr>
          <w:rFonts w:hint="eastAsia" w:ascii="仿宋_GB2312" w:hAnsi="Times New Roman" w:eastAsia="仿宋_GB2312" w:cs="Times New Roman"/>
          <w:b/>
          <w:bCs/>
          <w:color w:val="auto"/>
          <w:kern w:val="2"/>
          <w:sz w:val="32"/>
          <w:szCs w:val="32"/>
          <w:highlight w:val="none"/>
          <w:lang w:val="en-US" w:eastAsia="zh-CN" w:bidi="ar-SA"/>
        </w:rPr>
        <w:t>二是</w:t>
      </w:r>
      <w:r>
        <w:rPr>
          <w:rFonts w:hint="eastAsia" w:ascii="仿宋_GB2312" w:hAnsi="仿宋_GB2312" w:eastAsia="仿宋_GB2312" w:cs="仿宋_GB2312"/>
          <w:color w:val="000000"/>
          <w:sz w:val="32"/>
          <w:szCs w:val="32"/>
          <w:highlight w:val="none"/>
        </w:rPr>
        <w:t>对外捐赠事项管理不</w:t>
      </w:r>
      <w:r>
        <w:rPr>
          <w:rFonts w:hint="eastAsia" w:ascii="仿宋_GB2312" w:hAnsi="仿宋_GB2312" w:eastAsia="仿宋_GB2312" w:cs="仿宋_GB2312"/>
          <w:color w:val="000000"/>
          <w:sz w:val="32"/>
          <w:szCs w:val="32"/>
          <w:highlight w:val="none"/>
          <w:lang w:eastAsia="zh-CN"/>
        </w:rPr>
        <w:t>严谨。</w:t>
      </w:r>
      <w:r>
        <w:rPr>
          <w:rFonts w:hint="eastAsia" w:ascii="仿宋_GB2312" w:hAnsi="仿宋_GB2312" w:eastAsia="仿宋_GB2312" w:cs="仿宋_GB2312"/>
          <w:color w:val="000000"/>
          <w:sz w:val="32"/>
          <w:szCs w:val="32"/>
          <w:highlight w:val="none"/>
        </w:rPr>
        <w:t>未建立对外捐赠、赞助相关管理</w:t>
      </w:r>
      <w:r>
        <w:rPr>
          <w:rFonts w:hint="eastAsia" w:ascii="仿宋_GB2312" w:hAnsi="仿宋_GB2312" w:eastAsia="仿宋_GB2312" w:cs="仿宋_GB2312"/>
          <w:color w:val="000000"/>
          <w:sz w:val="32"/>
          <w:szCs w:val="32"/>
          <w:highlight w:val="none"/>
          <w:lang w:eastAsia="zh-CN"/>
        </w:rPr>
        <w:t>制度；对外捐赠事项未纳入预算管理，未进行备案</w:t>
      </w:r>
      <w:r>
        <w:rPr>
          <w:rFonts w:hint="eastAsia" w:ascii="仿宋_GB2312" w:hAnsi="Times New Roman" w:eastAsia="仿宋_GB2312" w:cs="Times New Roman"/>
          <w:b w:val="0"/>
          <w:bCs w:val="0"/>
          <w:color w:val="auto"/>
          <w:kern w:val="2"/>
          <w:sz w:val="32"/>
          <w:szCs w:val="32"/>
          <w:highlight w:val="none"/>
          <w:lang w:val="en-US" w:eastAsia="zh-CN" w:bidi="ar-SA"/>
        </w:rPr>
        <w:t>。</w:t>
      </w:r>
    </w:p>
    <w:p>
      <w:pPr>
        <w:keepNext w:val="0"/>
        <w:keepLines w:val="0"/>
        <w:pageBreakBefore w:val="0"/>
        <w:numPr>
          <w:ilvl w:val="-1"/>
          <w:numId w:val="0"/>
        </w:numPr>
        <w:pBdr>
          <w:bottom w:val="single" w:color="FFFFFF" w:sz="4" w:space="31"/>
        </w:pBdr>
        <w:kinsoku/>
        <w:overflowPunct/>
        <w:topLinePunct w:val="0"/>
        <w:autoSpaceDE/>
        <w:autoSpaceDN/>
        <w:bidi w:val="0"/>
        <w:adjustRightInd w:val="0"/>
        <w:spacing w:line="600" w:lineRule="exact"/>
        <w:ind w:firstLine="640" w:firstLineChars="200"/>
        <w:textAlignment w:val="baseline"/>
        <w:outlineLvl w:val="1"/>
        <w:rPr>
          <w:rFonts w:hint="eastAsia" w:ascii="黑体" w:hAnsi="黑体" w:eastAsia="黑体" w:cs="黑体"/>
          <w:sz w:val="32"/>
          <w:szCs w:val="32"/>
          <w:highlight w:val="none"/>
          <w:lang w:val="zh-CN" w:eastAsia="zh-CN"/>
        </w:rPr>
      </w:pPr>
      <w:r>
        <w:rPr>
          <w:rFonts w:hint="eastAsia" w:ascii="黑体" w:hAnsi="黑体" w:eastAsia="黑体" w:cs="黑体"/>
          <w:sz w:val="32"/>
          <w:szCs w:val="32"/>
          <w:highlight w:val="none"/>
          <w:lang w:val="zh-CN" w:eastAsia="zh-CN"/>
        </w:rPr>
        <w:t>四、国有资产管理审计情况</w:t>
      </w:r>
    </w:p>
    <w:p>
      <w:pPr>
        <w:keepNext w:val="0"/>
        <w:keepLines w:val="0"/>
        <w:pageBreakBefore w:val="0"/>
        <w:numPr>
          <w:ilvl w:val="-1"/>
          <w:numId w:val="0"/>
        </w:numPr>
        <w:pBdr>
          <w:bottom w:val="single" w:color="FFFFFF" w:sz="4" w:space="31"/>
        </w:pBdr>
        <w:kinsoku/>
        <w:overflowPunct/>
        <w:topLinePunct w:val="0"/>
        <w:autoSpaceDE/>
        <w:autoSpaceDN/>
        <w:bidi w:val="0"/>
        <w:adjustRightInd w:val="0"/>
        <w:spacing w:line="600" w:lineRule="exact"/>
        <w:ind w:firstLine="640" w:firstLineChars="200"/>
        <w:textAlignment w:val="baseline"/>
        <w:outlineLvl w:val="1"/>
        <w:rPr>
          <w:rFonts w:hint="eastAsia"/>
          <w:lang w:val="zh-CN" w:eastAsia="zh-CN"/>
        </w:rPr>
      </w:pPr>
      <w:r>
        <w:rPr>
          <w:rFonts w:hint="eastAsia" w:ascii="仿宋_GB2312" w:hAnsi="仿宋_GB2312" w:eastAsia="仿宋_GB2312" w:cs="仿宋_GB2312"/>
          <w:color w:val="000000"/>
          <w:sz w:val="32"/>
          <w:szCs w:val="32"/>
          <w:highlight w:val="none"/>
          <w:lang w:val="en-US" w:eastAsia="zh-CN"/>
        </w:rPr>
        <w:t>依托预算执行审计、经济责任审计和专项调查等项目，对我区国有资产管理使用情况进行审计，重点关注资产管理与使用、处置与收益、采购手续等情况。同时，对1个单位开展了自然资源资产审计。审计发现的主要问题有：</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kern w:val="2"/>
          <w:sz w:val="32"/>
          <w:szCs w:val="32"/>
          <w:lang w:val="en-US" w:eastAsia="zh-CN" w:bidi="ar-SA"/>
        </w:rPr>
        <w:t>（一）</w:t>
      </w:r>
      <w:r>
        <w:rPr>
          <w:rFonts w:hint="eastAsia" w:ascii="楷体_GB2312" w:hAnsi="楷体_GB2312" w:eastAsia="楷体_GB2312" w:cs="楷体_GB2312"/>
          <w:b w:val="0"/>
          <w:bCs w:val="0"/>
          <w:sz w:val="32"/>
          <w:szCs w:val="32"/>
          <w:highlight w:val="none"/>
          <w:lang w:val="en-US" w:eastAsia="zh-CN"/>
        </w:rPr>
        <w:t>资产权属与基础管理存在漏洞</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部分捐赠资产、公共设施类资产、无形资产、固定资产未纳入资产核算；部分单位资产账实、账卡不符，已竣工验收的项目在“在建工程”挂账未及时结转；2处直管公房未纳入房屋管理信息系统；个别资产购置超日常办公设备最高限价标准；部分电动自行车行驶证登记在个人名下。</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（二）资产收益收缴不及时</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部分单位存在房租收入未及时上缴区财政，房屋欠缴租金催收不力的问题。</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（三）资产使用效益不高</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电脑等办公设备闲置未及时投入使用；个别工程变更，导致前期购置的工程改造材料未使用，影响财政资金使用效益。</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（四）资产处置不合规</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个别单位防汛物资发放未按照资产管理的相关规定履行审批程序；部分已报废的</w:t>
      </w:r>
      <w:r>
        <w:rPr>
          <w:rFonts w:hint="eastAsia" w:ascii="仿宋_GB2312" w:hAnsi="仿宋_GB2312" w:eastAsia="仿宋_GB2312" w:cs="仿宋_GB2312"/>
          <w:color w:val="000000"/>
          <w:sz w:val="32"/>
          <w:szCs w:val="32"/>
          <w:highlight w:val="none"/>
          <w:lang w:val="en-US" w:eastAsia="zh-CN"/>
        </w:rPr>
        <w:t>电脑</w:t>
      </w:r>
      <w:r>
        <w:rPr>
          <w:rFonts w:hint="eastAsia" w:ascii="仿宋_GB2312" w:hAnsi="仿宋_GB2312" w:eastAsia="仿宋_GB2312" w:cs="仿宋_GB2312"/>
          <w:sz w:val="32"/>
          <w:szCs w:val="32"/>
          <w:lang w:val="en-US" w:eastAsia="zh-CN"/>
        </w:rPr>
        <w:t>未按内控要求及时进行实物处置。</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（五）资产管理制度制定、执行不规范</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个别单位未按内控要求对电脑、</w:t>
      </w:r>
      <w:r>
        <w:rPr>
          <w:rFonts w:hint="eastAsia" w:ascii="仿宋_GB2312" w:eastAsia="仿宋_GB2312"/>
          <w:sz w:val="32"/>
          <w:szCs w:val="32"/>
          <w:highlight w:val="none"/>
        </w:rPr>
        <w:t>激光打印机</w:t>
      </w:r>
      <w:r>
        <w:rPr>
          <w:rFonts w:hint="eastAsia" w:ascii="仿宋_GB2312" w:hAnsi="仿宋_GB2312" w:eastAsia="仿宋_GB2312" w:cs="仿宋_GB2312"/>
          <w:sz w:val="32"/>
          <w:szCs w:val="32"/>
          <w:lang w:val="en-US" w:eastAsia="zh-CN"/>
        </w:rPr>
        <w:t>等资产进行验收，资产显示已验收入库，但实际存放在供应商仓库；个别</w:t>
      </w:r>
      <w:r>
        <w:rPr>
          <w:rFonts w:hint="eastAsia" w:ascii="仿宋_GB2312" w:hAnsi="仿宋_GB2312" w:eastAsia="仿宋_GB2312" w:cs="仿宋_GB2312"/>
          <w:sz w:val="32"/>
          <w:szCs w:val="32"/>
          <w:highlight w:val="none"/>
          <w:lang w:val="en-US" w:eastAsia="zh-CN"/>
        </w:rPr>
        <w:t>资产配置已超标，仍新增资产的问题。</w:t>
      </w:r>
    </w:p>
    <w:p>
      <w:pPr>
        <w:keepNext w:val="0"/>
        <w:keepLines w:val="0"/>
        <w:pageBreakBefore w:val="0"/>
        <w:widowControl/>
        <w:numPr>
          <w:ilvl w:val="0"/>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0" w:firstLineChars="200"/>
        <w:textAlignment w:val="baseline"/>
        <w:outlineLvl w:val="1"/>
        <w:rPr>
          <w:rFonts w:hint="eastAsia" w:ascii="楷体_GB2312" w:hAnsi="楷体_GB2312" w:eastAsia="楷体_GB2312" w:cs="楷体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（六）自然资源资产监管不到位</w:t>
      </w:r>
    </w:p>
    <w:p>
      <w:pPr>
        <w:keepNext w:val="0"/>
        <w:keepLines w:val="0"/>
        <w:pageBreakBefore w:val="0"/>
        <w:widowControl/>
        <w:numPr>
          <w:ilvl w:val="-1"/>
          <w:numId w:val="0"/>
        </w:numPr>
        <w:pBdr>
          <w:bottom w:val="single" w:color="FFFFFF" w:sz="4" w:space="31"/>
        </w:pBdr>
        <w:kinsoku/>
        <w:wordWrap/>
        <w:overflowPunct/>
        <w:topLinePunct w:val="0"/>
        <w:autoSpaceDE/>
        <w:autoSpaceDN/>
        <w:bidi w:val="0"/>
        <w:adjustRightInd w:val="0"/>
        <w:snapToGrid w:val="0"/>
        <w:spacing w:line="600" w:lineRule="exact"/>
        <w:ind w:left="0" w:leftChars="0" w:firstLine="643" w:firstLineChars="200"/>
        <w:textAlignment w:val="baseline"/>
        <w:outlineLvl w:val="1"/>
        <w:rPr>
          <w:rFonts w:hint="default"/>
          <w:sz w:val="32"/>
          <w:szCs w:val="32"/>
          <w:lang w:val="en-US" w:eastAsia="zh-CN"/>
        </w:rPr>
      </w:pP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sz w:val="32"/>
          <w:szCs w:val="32"/>
          <w:highlight w:val="none"/>
          <w:lang w:val="en-US" w:eastAsia="zh-CN"/>
        </w:rPr>
        <w:t>未压实</w:t>
      </w:r>
      <w:r>
        <w:rPr>
          <w:rFonts w:hint="eastAsia" w:ascii="仿宋_GB2312" w:hAnsi="仿宋_GB2312" w:eastAsia="仿宋_GB2312" w:cs="仿宋_GB2312"/>
          <w:sz w:val="32"/>
          <w:szCs w:val="32"/>
          <w:highlight w:val="none"/>
          <w:lang w:eastAsia="zh-CN"/>
        </w:rPr>
        <w:t>林长制</w:t>
      </w:r>
      <w:r>
        <w:rPr>
          <w:rFonts w:hint="eastAsia" w:ascii="仿宋_GB2312" w:hAnsi="仿宋_GB2312" w:eastAsia="仿宋_GB2312" w:cs="仿宋_GB2312"/>
          <w:sz w:val="32"/>
          <w:szCs w:val="32"/>
          <w:lang w:eastAsia="zh-CN"/>
        </w:rPr>
        <w:t>工作主体责任</w:t>
      </w:r>
      <w:r>
        <w:rPr>
          <w:rFonts w:hint="eastAsia" w:ascii="仿宋_GB2312" w:hAnsi="仿宋_GB2312" w:eastAsia="仿宋_GB2312" w:cs="仿宋_GB2312"/>
          <w:sz w:val="32"/>
          <w:szCs w:val="32"/>
          <w:highlight w:val="none"/>
          <w:lang w:eastAsia="zh-CN"/>
        </w:rPr>
        <w:t>，</w:t>
      </w:r>
      <w:r>
        <w:rPr>
          <w:rFonts w:hint="eastAsia" w:ascii="仿宋_GB2312" w:hAnsi="Times New Roman" w:eastAsia="仿宋_GB2312" w:cs="Times New Roman"/>
          <w:sz w:val="32"/>
          <w:szCs w:val="32"/>
          <w:highlight w:val="none"/>
          <w:lang w:val="en-US" w:eastAsia="zh-CN"/>
        </w:rPr>
        <w:t>巡林工作流于形式。</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sz w:val="32"/>
          <w:szCs w:val="32"/>
          <w:highlight w:val="none"/>
          <w:lang w:eastAsia="zh-CN"/>
        </w:rPr>
        <w:t>古树</w:t>
      </w:r>
      <w:r>
        <w:rPr>
          <w:rFonts w:hint="eastAsia" w:ascii="仿宋_GB2312" w:hAnsi="仿宋_GB2312" w:eastAsia="仿宋_GB2312" w:cs="仿宋_GB2312"/>
          <w:sz w:val="32"/>
          <w:szCs w:val="32"/>
          <w:highlight w:val="none"/>
          <w:lang w:val="en-US" w:eastAsia="zh-CN"/>
        </w:rPr>
        <w:t>养护</w:t>
      </w:r>
      <w:r>
        <w:rPr>
          <w:rFonts w:hint="eastAsia" w:ascii="仿宋_GB2312" w:hAnsi="仿宋_GB2312" w:eastAsia="仿宋_GB2312" w:cs="仿宋_GB2312"/>
          <w:sz w:val="32"/>
          <w:szCs w:val="32"/>
          <w:highlight w:val="none"/>
          <w:lang w:eastAsia="zh-CN"/>
        </w:rPr>
        <w:t>工作</w:t>
      </w:r>
      <w:r>
        <w:rPr>
          <w:rFonts w:hint="eastAsia" w:ascii="仿宋_GB2312" w:hAnsi="仿宋_GB2312" w:eastAsia="仿宋_GB2312" w:cs="仿宋_GB2312"/>
          <w:sz w:val="32"/>
          <w:szCs w:val="32"/>
          <w:highlight w:val="none"/>
          <w:lang w:val="en-US" w:eastAsia="zh-CN"/>
        </w:rPr>
        <w:t>不规范</w:t>
      </w:r>
      <w:r>
        <w:rPr>
          <w:rFonts w:hint="eastAsia" w:ascii="仿宋_GB2312" w:hAnsi="仿宋_GB2312" w:eastAsia="仿宋_GB2312" w:cs="仿宋_GB2312"/>
          <w:sz w:val="32"/>
          <w:szCs w:val="32"/>
          <w:lang w:val="en-US" w:eastAsia="zh-CN"/>
        </w:rPr>
        <w:t>。存在部分古树树池内堆放垃圾或杂物、古树未见标识牌、</w:t>
      </w:r>
      <w:r>
        <w:rPr>
          <w:rFonts w:hint="default" w:ascii="仿宋_GB2312" w:hAnsi="Times New Roman" w:eastAsia="仿宋_GB2312" w:cs="Times New Roman"/>
          <w:sz w:val="32"/>
          <w:szCs w:val="32"/>
          <w:lang w:val="en-US" w:eastAsia="zh-CN"/>
        </w:rPr>
        <w:t>古树树皮大面积脱落</w:t>
      </w:r>
      <w:r>
        <w:rPr>
          <w:rFonts w:hint="eastAsia" w:ascii="仿宋_GB2312" w:eastAsia="仿宋_GB2312" w:cs="Times New Roman"/>
          <w:sz w:val="32"/>
          <w:szCs w:val="32"/>
          <w:lang w:val="en-US" w:eastAsia="zh-CN"/>
        </w:rPr>
        <w:t>等问题。</w:t>
      </w:r>
      <w:r>
        <w:rPr>
          <w:rFonts w:hint="eastAsia" w:ascii="仿宋_GB2312" w:eastAsia="仿宋_GB2312" w:cs="Times New Roman"/>
          <w:b/>
          <w:bCs/>
          <w:sz w:val="32"/>
          <w:szCs w:val="32"/>
          <w:highlight w:val="none"/>
          <w:lang w:val="en-US" w:eastAsia="zh-CN"/>
        </w:rPr>
        <w:t>三是</w:t>
      </w:r>
      <w:r>
        <w:rPr>
          <w:rFonts w:hint="eastAsia" w:ascii="仿宋_GB2312" w:hAnsi="Times New Roman" w:eastAsia="仿宋_GB2312" w:cs="Times New Roman"/>
          <w:sz w:val="32"/>
          <w:szCs w:val="32"/>
          <w:lang w:val="en-US" w:eastAsia="zh-CN"/>
        </w:rPr>
        <w:t>连续两年</w:t>
      </w:r>
      <w:r>
        <w:rPr>
          <w:rFonts w:hint="default" w:ascii="仿宋_GB2312" w:hAnsi="Times New Roman" w:eastAsia="仿宋_GB2312" w:cs="Times New Roman"/>
          <w:sz w:val="32"/>
          <w:szCs w:val="32"/>
          <w:lang w:val="en-US" w:eastAsia="zh-CN"/>
        </w:rPr>
        <w:t>降尘量平均浓度</w:t>
      </w:r>
      <w:r>
        <w:rPr>
          <w:rFonts w:hint="eastAsia" w:ascii="仿宋_GB2312" w:eastAsia="仿宋_GB2312" w:cs="Times New Roman"/>
          <w:sz w:val="32"/>
          <w:szCs w:val="32"/>
          <w:lang w:val="en-US" w:eastAsia="zh-CN"/>
        </w:rPr>
        <w:t>均未达到</w:t>
      </w:r>
      <w:r>
        <w:rPr>
          <w:rFonts w:hint="eastAsia" w:ascii="仿宋_GB2312" w:eastAsia="仿宋_GB2312"/>
          <w:sz w:val="32"/>
          <w:szCs w:val="32"/>
          <w:lang w:eastAsia="zh-CN"/>
        </w:rPr>
        <w:t>要求</w:t>
      </w:r>
      <w:r>
        <w:rPr>
          <w:rFonts w:hint="default" w:ascii="仿宋_GB2312" w:hAnsi="Times New Roman" w:eastAsia="仿宋_GB2312" w:cs="Times New Roman"/>
          <w:sz w:val="32"/>
          <w:szCs w:val="32"/>
          <w:lang w:val="en-US" w:eastAsia="zh-CN"/>
        </w:rPr>
        <w:t>。</w:t>
      </w:r>
      <w:r>
        <w:rPr>
          <w:rFonts w:hint="eastAsia" w:ascii="仿宋_GB2312" w:eastAsia="仿宋_GB2312" w:cs="Times New Roman"/>
          <w:b/>
          <w:bCs/>
          <w:sz w:val="32"/>
          <w:szCs w:val="32"/>
          <w:highlight w:val="none"/>
          <w:lang w:val="en-US" w:eastAsia="zh-CN"/>
        </w:rPr>
        <w:t>四是</w:t>
      </w:r>
      <w:r>
        <w:rPr>
          <w:rFonts w:hint="default" w:ascii="仿宋_GB2312" w:hAnsi="Times New Roman" w:eastAsia="仿宋_GB2312" w:cs="Times New Roman"/>
          <w:sz w:val="32"/>
          <w:szCs w:val="32"/>
          <w:u w:val="none"/>
        </w:rPr>
        <w:t>建筑垃圾</w:t>
      </w:r>
      <w:r>
        <w:rPr>
          <w:rFonts w:hint="default" w:ascii="仿宋_GB2312" w:hAnsi="Times New Roman" w:eastAsia="仿宋_GB2312" w:cs="Times New Roman"/>
          <w:sz w:val="32"/>
          <w:szCs w:val="32"/>
          <w:u w:val="none"/>
          <w:lang w:eastAsia="zh-CN"/>
        </w:rPr>
        <w:t>处置</w:t>
      </w:r>
      <w:r>
        <w:rPr>
          <w:rFonts w:hint="eastAsia" w:ascii="仿宋_GB2312" w:hAnsi="仿宋_GB2312" w:eastAsia="仿宋_GB2312" w:cs="仿宋_GB2312"/>
          <w:sz w:val="32"/>
          <w:szCs w:val="32"/>
          <w:lang w:val="en-US" w:eastAsia="zh-CN"/>
        </w:rPr>
        <w:t>未区分拆除垃圾和装修垃圾，全部垃圾统一按照高价进行计价支付，</w:t>
      </w:r>
      <w:r>
        <w:rPr>
          <w:rFonts w:hint="default" w:ascii="仿宋_GB2312" w:hAnsi="Times New Roman" w:eastAsia="仿宋_GB2312" w:cs="Times New Roman"/>
          <w:sz w:val="32"/>
          <w:szCs w:val="32"/>
          <w:u w:val="none"/>
        </w:rPr>
        <w:t>未</w:t>
      </w:r>
      <w:r>
        <w:rPr>
          <w:rFonts w:hint="default" w:ascii="仿宋_GB2312" w:hAnsi="Times New Roman" w:eastAsia="仿宋_GB2312" w:cs="Times New Roman"/>
          <w:sz w:val="32"/>
          <w:szCs w:val="32"/>
          <w:u w:val="none"/>
          <w:lang w:eastAsia="zh-CN"/>
        </w:rPr>
        <w:t>坚决</w:t>
      </w:r>
      <w:r>
        <w:rPr>
          <w:rFonts w:hint="default" w:ascii="仿宋_GB2312" w:hAnsi="Times New Roman" w:eastAsia="仿宋_GB2312" w:cs="Times New Roman"/>
          <w:sz w:val="32"/>
          <w:szCs w:val="32"/>
          <w:u w:val="none"/>
        </w:rPr>
        <w:t>落实</w:t>
      </w:r>
      <w:r>
        <w:rPr>
          <w:rFonts w:hint="default" w:ascii="仿宋_GB2312" w:hAnsi="Times New Roman" w:eastAsia="仿宋_GB2312" w:cs="Times New Roman"/>
          <w:sz w:val="32"/>
          <w:szCs w:val="32"/>
          <w:u w:val="none"/>
          <w:lang w:eastAsia="zh-CN"/>
        </w:rPr>
        <w:t>过</w:t>
      </w:r>
      <w:r>
        <w:rPr>
          <w:rFonts w:hint="default" w:ascii="仿宋_GB2312" w:hAnsi="Times New Roman" w:eastAsia="仿宋_GB2312" w:cs="Times New Roman"/>
          <w:sz w:val="32"/>
          <w:szCs w:val="32"/>
          <w:u w:val="none"/>
        </w:rPr>
        <w:t>“紧日子”要求</w:t>
      </w:r>
      <w:r>
        <w:rPr>
          <w:rFonts w:hint="eastAsia" w:ascii="仿宋_GB2312" w:hAnsi="Times New Roman" w:eastAsia="仿宋_GB2312" w:cs="Times New Roman"/>
          <w:sz w:val="32"/>
          <w:szCs w:val="32"/>
          <w:u w:val="none"/>
          <w:lang w:eastAsia="zh-CN"/>
        </w:rPr>
        <w:t>。</w:t>
      </w:r>
      <w:r>
        <w:rPr>
          <w:rFonts w:hint="eastAsia" w:ascii="楷体_GB2312" w:hAnsi="楷体_GB2312" w:eastAsia="楷体_GB2312" w:cs="楷体_GB2312"/>
          <w:b/>
          <w:bCs/>
          <w:sz w:val="32"/>
          <w:szCs w:val="32"/>
          <w:lang w:val="en-US" w:eastAsia="zh-CN"/>
        </w:rPr>
        <w:t>五是</w:t>
      </w:r>
      <w:r>
        <w:rPr>
          <w:rFonts w:hint="eastAsia" w:ascii="仿宋_GB2312" w:hAnsi="仿宋_GB2312" w:eastAsia="仿宋_GB2312" w:cs="仿宋_GB2312"/>
          <w:sz w:val="32"/>
          <w:szCs w:val="32"/>
          <w:lang w:val="en-US" w:eastAsia="zh-CN"/>
        </w:rPr>
        <w:t>个别河长制事项未实施。</w:t>
      </w:r>
    </w:p>
    <w:p>
      <w:pPr>
        <w:keepNext w:val="0"/>
        <w:keepLines w:val="0"/>
        <w:pageBreakBefore w:val="0"/>
        <w:widowControl w:val="0"/>
        <w:numPr>
          <w:ilvl w:val="-1"/>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黑体" w:hAnsi="黑体" w:eastAsia="黑体" w:cs="黑体"/>
          <w:b w:val="0"/>
          <w:bCs/>
          <w:color w:val="auto"/>
          <w:kern w:val="2"/>
          <w:sz w:val="32"/>
          <w:szCs w:val="32"/>
          <w:highlight w:val="none"/>
          <w:u w:val="none"/>
          <w:lang w:val="en-US" w:eastAsia="zh-CN" w:bidi="ar-SA"/>
        </w:rPr>
      </w:pPr>
      <w:r>
        <w:rPr>
          <w:rFonts w:hint="eastAsia" w:ascii="黑体" w:hAnsi="黑体" w:eastAsia="黑体" w:cs="黑体"/>
          <w:b w:val="0"/>
          <w:bCs/>
          <w:color w:val="auto"/>
          <w:kern w:val="2"/>
          <w:sz w:val="32"/>
          <w:szCs w:val="32"/>
          <w:highlight w:val="none"/>
          <w:u w:val="none"/>
          <w:lang w:val="en-US" w:eastAsia="zh-CN" w:bidi="ar-SA"/>
        </w:rPr>
        <w:t>五、审计建议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（一）深化精细管控体系，全面提升财政治理效能</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hAnsi="Times New Roman" w:eastAsia="仿宋_GB2312" w:cs="Times New Roman"/>
          <w:b w:val="0"/>
          <w:bCs w:val="0"/>
          <w:color w:val="auto"/>
          <w:kern w:val="2"/>
          <w:sz w:val="32"/>
          <w:szCs w:val="32"/>
          <w:highlight w:val="none"/>
          <w:lang w:val="en-US" w:eastAsia="zh-CN" w:bidi="ar-SA"/>
        </w:rPr>
      </w:pPr>
      <w:r>
        <w:rPr>
          <w:rFonts w:hint="eastAsia" w:ascii="仿宋_GB2312" w:hAnsi="Times New Roman" w:eastAsia="仿宋_GB2312" w:cs="Times New Roman"/>
          <w:b w:val="0"/>
          <w:bCs w:val="0"/>
          <w:color w:val="auto"/>
          <w:kern w:val="2"/>
          <w:sz w:val="32"/>
          <w:szCs w:val="32"/>
          <w:highlight w:val="none"/>
          <w:lang w:val="en-US" w:eastAsia="zh-CN" w:bidi="ar-SA"/>
        </w:rPr>
        <w:t>对低效闲置、沉淀滞留、违规使用的财政资金及时预警、及时纠偏、及时盘活。将事前评估、事中监控与事后评价结果，作为下一年度预算安排、政策调整的重要依据，实现绩效与预算的实质性挂钩。持续规范国有资产管理，深化公物仓统筹调配功能，推进资产与预算、资金、账务一体化管理。</w:t>
      </w:r>
    </w:p>
    <w:p>
      <w:pPr>
        <w:keepNext w:val="0"/>
        <w:keepLines w:val="0"/>
        <w:pageBreakBefore w:val="0"/>
        <w:widowControl w:val="0"/>
        <w:numPr>
          <w:ilvl w:val="0"/>
          <w:numId w:val="2"/>
        </w:numPr>
        <w:pBdr>
          <w:bottom w:val="single" w:color="FFFFFF" w:sz="4" w:space="31"/>
        </w:pBdr>
        <w:kinsoku/>
        <w:wordWrap/>
        <w:overflowPunct/>
        <w:topLinePunct w:val="0"/>
        <w:autoSpaceDE/>
        <w:autoSpaceDN/>
        <w:bidi w:val="0"/>
        <w:adjustRightInd w:val="0"/>
        <w:snapToGrid w:val="0"/>
        <w:spacing w:line="600" w:lineRule="exact"/>
        <w:ind w:left="0" w:leftChars="0" w:right="0" w:rightChars="0" w:firstLine="640" w:firstLineChars="200"/>
        <w:textAlignment w:val="baseline"/>
        <w:outlineLvl w:val="1"/>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健全制度体系建设，构建全周期闭环管理机制</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hAnsi="Times New Roman" w:eastAsia="仿宋_GB2312" w:cs="Times New Roman"/>
          <w:b w:val="0"/>
          <w:bCs w:val="0"/>
          <w:color w:val="auto"/>
          <w:kern w:val="2"/>
          <w:sz w:val="32"/>
          <w:szCs w:val="32"/>
          <w:highlight w:val="none"/>
          <w:lang w:val="en-US" w:eastAsia="zh-CN" w:bidi="ar-SA"/>
        </w:rPr>
        <w:t>全面梳理并修订内控制度，严格推行“预算编制、采购执行、合同签订、履约验收、资产入账、资金支付”的全链条管理</w:t>
      </w:r>
      <w:r>
        <w:rPr>
          <w:rFonts w:hint="eastAsia" w:ascii="仿宋_GB2312" w:eastAsia="仿宋_GB2312" w:cs="Times New Roman"/>
          <w:b w:val="0"/>
          <w:bCs w:val="0"/>
          <w:color w:val="auto"/>
          <w:kern w:val="2"/>
          <w:sz w:val="32"/>
          <w:szCs w:val="32"/>
          <w:highlight w:val="none"/>
          <w:lang w:val="en-US" w:eastAsia="zh-CN" w:bidi="ar-SA"/>
        </w:rPr>
        <w:t>。</w:t>
      </w:r>
      <w:r>
        <w:rPr>
          <w:rFonts w:hint="eastAsia" w:ascii="仿宋_GB2312" w:hAnsi="Times New Roman" w:eastAsia="仿宋_GB2312" w:cs="Times New Roman"/>
          <w:b w:val="0"/>
          <w:bCs w:val="0"/>
          <w:color w:val="auto"/>
          <w:kern w:val="2"/>
          <w:sz w:val="32"/>
          <w:szCs w:val="32"/>
          <w:highlight w:val="none"/>
          <w:lang w:val="en-US" w:eastAsia="zh-CN" w:bidi="ar-SA"/>
        </w:rPr>
        <w:t>强化预算源头管控，牢固树立过“紧日子”思想，坚决纠正政府购买服务中的“甩手掌柜”现象，确保财政资金安全高效运行</w:t>
      </w:r>
      <w:r>
        <w:rPr>
          <w:rFonts w:hint="eastAsia" w:ascii="仿宋_GB2312" w:eastAsia="仿宋_GB2312" w:cs="Times New Roman"/>
          <w:b w:val="0"/>
          <w:bCs w:val="0"/>
          <w:color w:val="auto"/>
          <w:kern w:val="2"/>
          <w:sz w:val="32"/>
          <w:szCs w:val="32"/>
          <w:highlight w:val="none"/>
          <w:lang w:val="en-US" w:eastAsia="zh-CN" w:bidi="ar-SA"/>
        </w:rPr>
        <w:t>。</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(三）持续优化审计整改工作体系，推动监督成果转化为治理效能</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hAnsi="Times New Roman" w:eastAsia="仿宋_GB2312" w:cs="Times New Roman"/>
          <w:bCs w:val="0"/>
          <w:dstrike w:val="0"/>
          <w:color w:val="auto"/>
          <w:kern w:val="2"/>
          <w:sz w:val="32"/>
          <w:szCs w:val="32"/>
          <w:highlight w:val="none"/>
          <w:u w:val="none"/>
          <w:lang w:val="en-US" w:eastAsia="zh-CN" w:bidi="ar-SA"/>
        </w:rPr>
      </w:pPr>
      <w:r>
        <w:rPr>
          <w:rFonts w:hint="eastAsia" w:ascii="仿宋_GB2312" w:hAnsi="仿宋_GB2312" w:eastAsia="仿宋_GB2312" w:cs="仿宋_GB2312"/>
          <w:sz w:val="32"/>
          <w:szCs w:val="32"/>
          <w:highlight w:val="none"/>
          <w:lang w:val="en-US" w:eastAsia="zh-CN"/>
        </w:rPr>
        <w:t>全面压紧压实全链条整改责任，把各类问题逐项精准分解，细化到人、量化到岗、限定到时。严格对标整改标准逐项核验把关，坚决纠治纸面整改、虚假整改、浅层整改等。深化贯通协同与结果运用，加强与纪检监察、组织人事等部门的联</w:t>
      </w:r>
      <w:r>
        <w:rPr>
          <w:rFonts w:hint="eastAsia" w:ascii="仿宋_GB2312" w:hAnsi="Times New Roman" w:eastAsia="仿宋_GB2312" w:cs="Times New Roman"/>
          <w:bCs w:val="0"/>
          <w:dstrike w:val="0"/>
          <w:color w:val="auto"/>
          <w:kern w:val="2"/>
          <w:sz w:val="32"/>
          <w:szCs w:val="32"/>
          <w:highlight w:val="none"/>
          <w:u w:val="none"/>
          <w:lang w:val="en-US" w:eastAsia="zh-CN" w:bidi="ar-SA"/>
        </w:rPr>
        <w:t>动。</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600" w:lineRule="exact"/>
        <w:ind w:right="0" w:rightChars="0" w:firstLine="640" w:firstLineChars="200"/>
        <w:textAlignment w:val="baseline"/>
        <w:outlineLvl w:val="1"/>
        <w:rPr>
          <w:rFonts w:hint="eastAsia" w:ascii="仿宋_GB2312" w:hAnsi="Times New Roman" w:eastAsia="仿宋_GB2312" w:cs="Times New Roman"/>
          <w:bCs w:val="0"/>
          <w:dstrike w:val="0"/>
          <w:color w:val="auto"/>
          <w:kern w:val="2"/>
          <w:sz w:val="32"/>
          <w:szCs w:val="32"/>
          <w:highlight w:val="none"/>
          <w:u w:val="none"/>
          <w:lang w:val="en-US" w:eastAsia="zh-CN" w:bidi="ar-SA"/>
        </w:rPr>
      </w:pPr>
      <w:r>
        <w:rPr>
          <w:rFonts w:hint="eastAsia" w:ascii="仿宋_GB2312" w:hAnsi="Times New Roman" w:eastAsia="仿宋_GB2312" w:cs="Times New Roman"/>
          <w:bCs w:val="0"/>
          <w:dstrike w:val="0"/>
          <w:color w:val="auto"/>
          <w:kern w:val="2"/>
          <w:sz w:val="32"/>
          <w:szCs w:val="32"/>
          <w:highlight w:val="none"/>
          <w:u w:val="none"/>
          <w:lang w:val="en-US" w:eastAsia="zh-CN" w:bidi="ar-SA"/>
        </w:rPr>
        <w:t>针对本报告反映的审计问题,</w:t>
      </w:r>
      <w:r>
        <w:rPr>
          <w:rFonts w:hint="default" w:ascii="仿宋_GB2312" w:hAnsi="Times New Roman" w:eastAsia="仿宋_GB2312" w:cs="Times New Roman"/>
          <w:bCs w:val="0"/>
          <w:dstrike w:val="0"/>
          <w:color w:val="auto"/>
          <w:kern w:val="2"/>
          <w:sz w:val="32"/>
          <w:szCs w:val="32"/>
          <w:highlight w:val="none"/>
          <w:u w:val="none"/>
          <w:lang w:val="en-US" w:eastAsia="zh-CN" w:bidi="ar-SA"/>
        </w:rPr>
        <w:t>区审计局</w:t>
      </w:r>
      <w:r>
        <w:rPr>
          <w:rFonts w:hint="eastAsia" w:ascii="仿宋_GB2312" w:hAnsi="Times New Roman" w:eastAsia="仿宋_GB2312" w:cs="Times New Roman"/>
          <w:bCs w:val="0"/>
          <w:dstrike w:val="0"/>
          <w:color w:val="auto"/>
          <w:kern w:val="2"/>
          <w:sz w:val="32"/>
          <w:szCs w:val="32"/>
          <w:highlight w:val="none"/>
          <w:u w:val="none"/>
          <w:lang w:val="en-US" w:eastAsia="zh-CN" w:bidi="ar-SA"/>
        </w:rPr>
        <w:t>依法征求了被审计单位意见，提出了整改要求。相关单位正在积极整改。区审计局将持续跟踪督促，年底前报告全面整改情况。</w:t>
      </w:r>
    </w:p>
    <w:p>
      <w:pPr>
        <w:pStyle w:val="2"/>
        <w:keepNext w:val="0"/>
        <w:keepLines w:val="0"/>
        <w:pageBreakBefore w:val="0"/>
        <w:kinsoku/>
        <w:overflowPunct/>
        <w:topLinePunct w:val="0"/>
        <w:bidi w:val="0"/>
        <w:spacing w:line="600" w:lineRule="exact"/>
        <w:ind w:left="0" w:leftChars="0" w:firstLine="0" w:firstLineChars="0"/>
        <w:rPr>
          <w:rFonts w:hint="eastAsia"/>
          <w:lang w:val="en-US" w:eastAsia="zh-CN"/>
        </w:rPr>
      </w:pPr>
    </w:p>
    <w:sectPr>
      <w:footerReference r:id="rId3" w:type="default"/>
      <w:pgSz w:w="11906" w:h="16838"/>
      <w:pgMar w:top="1701" w:right="1701" w:bottom="170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BE2F91"/>
    <w:multiLevelType w:val="singleLevel"/>
    <w:tmpl w:val="E4BE2F91"/>
    <w:lvl w:ilvl="0" w:tentative="0">
      <w:start w:val="1"/>
      <w:numFmt w:val="chineseCounting"/>
      <w:suff w:val="nothing"/>
      <w:lvlText w:val="（%1）"/>
      <w:lvlJc w:val="left"/>
      <w:rPr>
        <w:rFonts w:hint="eastAsia"/>
      </w:rPr>
    </w:lvl>
  </w:abstractNum>
  <w:abstractNum w:abstractNumId="1">
    <w:nsid w:val="6A0F839F"/>
    <w:multiLevelType w:val="singleLevel"/>
    <w:tmpl w:val="6A0F839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5C016C"/>
    <w:rsid w:val="004E2611"/>
    <w:rsid w:val="006A67BD"/>
    <w:rsid w:val="006A72B0"/>
    <w:rsid w:val="006F69AF"/>
    <w:rsid w:val="0082203E"/>
    <w:rsid w:val="008369C9"/>
    <w:rsid w:val="00871B08"/>
    <w:rsid w:val="008B1DB2"/>
    <w:rsid w:val="00933AE0"/>
    <w:rsid w:val="009C6502"/>
    <w:rsid w:val="00F07D1B"/>
    <w:rsid w:val="01113D23"/>
    <w:rsid w:val="016D676E"/>
    <w:rsid w:val="019E58B5"/>
    <w:rsid w:val="01BD17FD"/>
    <w:rsid w:val="01C55775"/>
    <w:rsid w:val="01ED4312"/>
    <w:rsid w:val="01F65203"/>
    <w:rsid w:val="021037DF"/>
    <w:rsid w:val="021138F7"/>
    <w:rsid w:val="022F4B93"/>
    <w:rsid w:val="02301922"/>
    <w:rsid w:val="025C116B"/>
    <w:rsid w:val="027E6CA8"/>
    <w:rsid w:val="02B47744"/>
    <w:rsid w:val="02D84338"/>
    <w:rsid w:val="02FF15BC"/>
    <w:rsid w:val="03171BF9"/>
    <w:rsid w:val="0330405B"/>
    <w:rsid w:val="03336B6E"/>
    <w:rsid w:val="03555A65"/>
    <w:rsid w:val="03580109"/>
    <w:rsid w:val="036B5288"/>
    <w:rsid w:val="037E0D65"/>
    <w:rsid w:val="038468F8"/>
    <w:rsid w:val="038B2ADC"/>
    <w:rsid w:val="038C3C46"/>
    <w:rsid w:val="039D1529"/>
    <w:rsid w:val="03CB2647"/>
    <w:rsid w:val="03DE5DE4"/>
    <w:rsid w:val="03F8077C"/>
    <w:rsid w:val="041871BE"/>
    <w:rsid w:val="04210788"/>
    <w:rsid w:val="042F5BFA"/>
    <w:rsid w:val="0444548E"/>
    <w:rsid w:val="044C2E74"/>
    <w:rsid w:val="044C3196"/>
    <w:rsid w:val="04675D48"/>
    <w:rsid w:val="048C653B"/>
    <w:rsid w:val="04A62A1C"/>
    <w:rsid w:val="04DC643E"/>
    <w:rsid w:val="04E66BCB"/>
    <w:rsid w:val="0503746C"/>
    <w:rsid w:val="055810C2"/>
    <w:rsid w:val="058410D2"/>
    <w:rsid w:val="059A1144"/>
    <w:rsid w:val="05C150F4"/>
    <w:rsid w:val="05DB1FEE"/>
    <w:rsid w:val="05FA4B8D"/>
    <w:rsid w:val="06102256"/>
    <w:rsid w:val="06141C07"/>
    <w:rsid w:val="063120E8"/>
    <w:rsid w:val="06582C75"/>
    <w:rsid w:val="06626E08"/>
    <w:rsid w:val="066C7717"/>
    <w:rsid w:val="06746DC7"/>
    <w:rsid w:val="06A42F8B"/>
    <w:rsid w:val="06B225E3"/>
    <w:rsid w:val="06D2293F"/>
    <w:rsid w:val="06DD4DB4"/>
    <w:rsid w:val="07485E01"/>
    <w:rsid w:val="074966B9"/>
    <w:rsid w:val="074F1C14"/>
    <w:rsid w:val="07545AC9"/>
    <w:rsid w:val="0768769C"/>
    <w:rsid w:val="07C33D77"/>
    <w:rsid w:val="07F10452"/>
    <w:rsid w:val="07F6436F"/>
    <w:rsid w:val="082A6FA6"/>
    <w:rsid w:val="082A74C0"/>
    <w:rsid w:val="082C76F8"/>
    <w:rsid w:val="085C3EA8"/>
    <w:rsid w:val="086A71DD"/>
    <w:rsid w:val="089F4594"/>
    <w:rsid w:val="08C571E9"/>
    <w:rsid w:val="08D8516E"/>
    <w:rsid w:val="08DD1743"/>
    <w:rsid w:val="08E1269F"/>
    <w:rsid w:val="08E73603"/>
    <w:rsid w:val="091B521B"/>
    <w:rsid w:val="09C90A38"/>
    <w:rsid w:val="0A00672A"/>
    <w:rsid w:val="0A1516A2"/>
    <w:rsid w:val="0A1A250B"/>
    <w:rsid w:val="0A5B7E05"/>
    <w:rsid w:val="0A682522"/>
    <w:rsid w:val="0A762E91"/>
    <w:rsid w:val="0A79499C"/>
    <w:rsid w:val="0A8E1F88"/>
    <w:rsid w:val="0A943999"/>
    <w:rsid w:val="0AEF0DDC"/>
    <w:rsid w:val="0B305081"/>
    <w:rsid w:val="0B347691"/>
    <w:rsid w:val="0B3531E8"/>
    <w:rsid w:val="0B5C7530"/>
    <w:rsid w:val="0B6251C3"/>
    <w:rsid w:val="0B8F3DF2"/>
    <w:rsid w:val="0B914186"/>
    <w:rsid w:val="0BAA57E2"/>
    <w:rsid w:val="0BAB3521"/>
    <w:rsid w:val="0BCA33E7"/>
    <w:rsid w:val="0BF26090"/>
    <w:rsid w:val="0BFE70D3"/>
    <w:rsid w:val="0C045364"/>
    <w:rsid w:val="0C4848FF"/>
    <w:rsid w:val="0C493935"/>
    <w:rsid w:val="0C727688"/>
    <w:rsid w:val="0C732813"/>
    <w:rsid w:val="0C97456B"/>
    <w:rsid w:val="0CB62088"/>
    <w:rsid w:val="0CB642E9"/>
    <w:rsid w:val="0CD914B5"/>
    <w:rsid w:val="0D092B01"/>
    <w:rsid w:val="0D130BA3"/>
    <w:rsid w:val="0D232759"/>
    <w:rsid w:val="0D233659"/>
    <w:rsid w:val="0D462A1D"/>
    <w:rsid w:val="0D6214AA"/>
    <w:rsid w:val="0D8A5898"/>
    <w:rsid w:val="0D914F51"/>
    <w:rsid w:val="0DE23A56"/>
    <w:rsid w:val="0E0B1115"/>
    <w:rsid w:val="0E1D18E9"/>
    <w:rsid w:val="0E255F60"/>
    <w:rsid w:val="0E371232"/>
    <w:rsid w:val="0E903615"/>
    <w:rsid w:val="0EC56195"/>
    <w:rsid w:val="0EEE23D0"/>
    <w:rsid w:val="0F304B10"/>
    <w:rsid w:val="0F487A7D"/>
    <w:rsid w:val="0F6375D4"/>
    <w:rsid w:val="0F7F1C65"/>
    <w:rsid w:val="0F9A4F2B"/>
    <w:rsid w:val="0FB04F4B"/>
    <w:rsid w:val="0FCC20AD"/>
    <w:rsid w:val="0FD94A24"/>
    <w:rsid w:val="0FDD130A"/>
    <w:rsid w:val="107C63BF"/>
    <w:rsid w:val="10982CE6"/>
    <w:rsid w:val="10C27E10"/>
    <w:rsid w:val="112C7CBB"/>
    <w:rsid w:val="11685F36"/>
    <w:rsid w:val="11AE1F62"/>
    <w:rsid w:val="11F50CA6"/>
    <w:rsid w:val="12134735"/>
    <w:rsid w:val="124666C8"/>
    <w:rsid w:val="12496FCE"/>
    <w:rsid w:val="125D5E2E"/>
    <w:rsid w:val="12656690"/>
    <w:rsid w:val="12757FE2"/>
    <w:rsid w:val="128D521B"/>
    <w:rsid w:val="129D5715"/>
    <w:rsid w:val="12A02537"/>
    <w:rsid w:val="12A0561E"/>
    <w:rsid w:val="12A559A2"/>
    <w:rsid w:val="12B51D40"/>
    <w:rsid w:val="12B72AA0"/>
    <w:rsid w:val="12ED7A68"/>
    <w:rsid w:val="13361161"/>
    <w:rsid w:val="13727D5F"/>
    <w:rsid w:val="13753078"/>
    <w:rsid w:val="137B2A44"/>
    <w:rsid w:val="137E1B3E"/>
    <w:rsid w:val="13EC3030"/>
    <w:rsid w:val="13EF22C9"/>
    <w:rsid w:val="13FC61B5"/>
    <w:rsid w:val="1405745D"/>
    <w:rsid w:val="142D2826"/>
    <w:rsid w:val="143A0A8B"/>
    <w:rsid w:val="1458496F"/>
    <w:rsid w:val="148235B5"/>
    <w:rsid w:val="149518B7"/>
    <w:rsid w:val="14A315EF"/>
    <w:rsid w:val="14B0449D"/>
    <w:rsid w:val="15660581"/>
    <w:rsid w:val="156C2EC6"/>
    <w:rsid w:val="15883A78"/>
    <w:rsid w:val="15D45280"/>
    <w:rsid w:val="15E31EF8"/>
    <w:rsid w:val="15EB6A9A"/>
    <w:rsid w:val="162D2CD7"/>
    <w:rsid w:val="16757273"/>
    <w:rsid w:val="167B2F48"/>
    <w:rsid w:val="16AF7C78"/>
    <w:rsid w:val="16C22A14"/>
    <w:rsid w:val="16CF1CED"/>
    <w:rsid w:val="16DF69C1"/>
    <w:rsid w:val="16F97D93"/>
    <w:rsid w:val="17147CB9"/>
    <w:rsid w:val="171C1A5F"/>
    <w:rsid w:val="174D24DD"/>
    <w:rsid w:val="175A4A2E"/>
    <w:rsid w:val="17A64ABB"/>
    <w:rsid w:val="17D80701"/>
    <w:rsid w:val="17F2775E"/>
    <w:rsid w:val="18427458"/>
    <w:rsid w:val="184719C8"/>
    <w:rsid w:val="185773FE"/>
    <w:rsid w:val="186C142F"/>
    <w:rsid w:val="189D12B1"/>
    <w:rsid w:val="189F1D85"/>
    <w:rsid w:val="18A06DAC"/>
    <w:rsid w:val="18AC0EA2"/>
    <w:rsid w:val="18BB7AA9"/>
    <w:rsid w:val="18F047CE"/>
    <w:rsid w:val="18F804E4"/>
    <w:rsid w:val="19021497"/>
    <w:rsid w:val="19613133"/>
    <w:rsid w:val="19634701"/>
    <w:rsid w:val="199669A9"/>
    <w:rsid w:val="19D76DA8"/>
    <w:rsid w:val="19F34C20"/>
    <w:rsid w:val="1A0575B6"/>
    <w:rsid w:val="1A324576"/>
    <w:rsid w:val="1A3D3083"/>
    <w:rsid w:val="1A7836F1"/>
    <w:rsid w:val="1A954C6D"/>
    <w:rsid w:val="1AC9700C"/>
    <w:rsid w:val="1AD93C19"/>
    <w:rsid w:val="1AFF18DB"/>
    <w:rsid w:val="1B037CDD"/>
    <w:rsid w:val="1B3449FA"/>
    <w:rsid w:val="1B3C23B8"/>
    <w:rsid w:val="1B4C60EF"/>
    <w:rsid w:val="1B54654D"/>
    <w:rsid w:val="1B5C39DD"/>
    <w:rsid w:val="1B6C61EC"/>
    <w:rsid w:val="1B746F78"/>
    <w:rsid w:val="1B8118CE"/>
    <w:rsid w:val="1B894681"/>
    <w:rsid w:val="1B950C9D"/>
    <w:rsid w:val="1BA01B1B"/>
    <w:rsid w:val="1BA328BD"/>
    <w:rsid w:val="1BC3580A"/>
    <w:rsid w:val="1BCA7075"/>
    <w:rsid w:val="1BDA123E"/>
    <w:rsid w:val="1C4F3541"/>
    <w:rsid w:val="1C930C10"/>
    <w:rsid w:val="1CA46958"/>
    <w:rsid w:val="1CAD2D24"/>
    <w:rsid w:val="1CB27013"/>
    <w:rsid w:val="1CC7132A"/>
    <w:rsid w:val="1CD23654"/>
    <w:rsid w:val="1CDC1BD7"/>
    <w:rsid w:val="1CF8640D"/>
    <w:rsid w:val="1CFC1581"/>
    <w:rsid w:val="1D3E2C93"/>
    <w:rsid w:val="1D4571D1"/>
    <w:rsid w:val="1D7003DA"/>
    <w:rsid w:val="1D7E40DE"/>
    <w:rsid w:val="1DA640BA"/>
    <w:rsid w:val="1E0D5CDA"/>
    <w:rsid w:val="1E182BC2"/>
    <w:rsid w:val="1E354CE7"/>
    <w:rsid w:val="1E483DCE"/>
    <w:rsid w:val="1E7170D2"/>
    <w:rsid w:val="1E8C513F"/>
    <w:rsid w:val="1E8F2A30"/>
    <w:rsid w:val="1E9B1D09"/>
    <w:rsid w:val="1F3134DE"/>
    <w:rsid w:val="1F5228AE"/>
    <w:rsid w:val="1F667210"/>
    <w:rsid w:val="1F720A5F"/>
    <w:rsid w:val="1F8510A8"/>
    <w:rsid w:val="1F8F25D3"/>
    <w:rsid w:val="1F904557"/>
    <w:rsid w:val="1F9F6471"/>
    <w:rsid w:val="1FA97878"/>
    <w:rsid w:val="1FAC2ECC"/>
    <w:rsid w:val="1FE6066A"/>
    <w:rsid w:val="1FEA15B7"/>
    <w:rsid w:val="20076D9A"/>
    <w:rsid w:val="2021020D"/>
    <w:rsid w:val="203A6BC1"/>
    <w:rsid w:val="20B03F37"/>
    <w:rsid w:val="20F326ED"/>
    <w:rsid w:val="21210953"/>
    <w:rsid w:val="21472A39"/>
    <w:rsid w:val="21645399"/>
    <w:rsid w:val="216D6D60"/>
    <w:rsid w:val="21B85624"/>
    <w:rsid w:val="21B955C6"/>
    <w:rsid w:val="21C05AA9"/>
    <w:rsid w:val="21D267A7"/>
    <w:rsid w:val="21EB7868"/>
    <w:rsid w:val="21FC1A76"/>
    <w:rsid w:val="225368FE"/>
    <w:rsid w:val="22A22ED7"/>
    <w:rsid w:val="22B60C01"/>
    <w:rsid w:val="22C3204C"/>
    <w:rsid w:val="22EC7DFB"/>
    <w:rsid w:val="230C7A96"/>
    <w:rsid w:val="2312222F"/>
    <w:rsid w:val="231959E9"/>
    <w:rsid w:val="231B7273"/>
    <w:rsid w:val="231F5029"/>
    <w:rsid w:val="23201794"/>
    <w:rsid w:val="23254B8A"/>
    <w:rsid w:val="232F19D7"/>
    <w:rsid w:val="233911DB"/>
    <w:rsid w:val="236B3BA8"/>
    <w:rsid w:val="2399736C"/>
    <w:rsid w:val="239A32F4"/>
    <w:rsid w:val="23BE1843"/>
    <w:rsid w:val="23D12AD9"/>
    <w:rsid w:val="24044C11"/>
    <w:rsid w:val="242D034E"/>
    <w:rsid w:val="24311EAA"/>
    <w:rsid w:val="248249F5"/>
    <w:rsid w:val="24975894"/>
    <w:rsid w:val="24A85F3F"/>
    <w:rsid w:val="24B46637"/>
    <w:rsid w:val="24D74ACE"/>
    <w:rsid w:val="25396722"/>
    <w:rsid w:val="25453733"/>
    <w:rsid w:val="25676427"/>
    <w:rsid w:val="25900E53"/>
    <w:rsid w:val="25995E07"/>
    <w:rsid w:val="260D5FFF"/>
    <w:rsid w:val="26174A8B"/>
    <w:rsid w:val="26265313"/>
    <w:rsid w:val="26681488"/>
    <w:rsid w:val="2688125E"/>
    <w:rsid w:val="268C49EB"/>
    <w:rsid w:val="26C82FA1"/>
    <w:rsid w:val="26D364C3"/>
    <w:rsid w:val="26E30CDC"/>
    <w:rsid w:val="270A56FC"/>
    <w:rsid w:val="270D48EF"/>
    <w:rsid w:val="270F75CF"/>
    <w:rsid w:val="271B11EF"/>
    <w:rsid w:val="2730304F"/>
    <w:rsid w:val="273419E0"/>
    <w:rsid w:val="27360AC4"/>
    <w:rsid w:val="27426BDF"/>
    <w:rsid w:val="27490869"/>
    <w:rsid w:val="27580C09"/>
    <w:rsid w:val="278E4F1E"/>
    <w:rsid w:val="27C92388"/>
    <w:rsid w:val="27D56FF1"/>
    <w:rsid w:val="27DD5632"/>
    <w:rsid w:val="27F75178"/>
    <w:rsid w:val="28156F15"/>
    <w:rsid w:val="281A0EA7"/>
    <w:rsid w:val="2835183D"/>
    <w:rsid w:val="284D2BFA"/>
    <w:rsid w:val="28853887"/>
    <w:rsid w:val="289D35C5"/>
    <w:rsid w:val="28A56F26"/>
    <w:rsid w:val="28BD5FE3"/>
    <w:rsid w:val="28D62AB7"/>
    <w:rsid w:val="28EA2628"/>
    <w:rsid w:val="296D77AF"/>
    <w:rsid w:val="2975638C"/>
    <w:rsid w:val="29A924E3"/>
    <w:rsid w:val="29FA689B"/>
    <w:rsid w:val="2A040529"/>
    <w:rsid w:val="2A1D4E7B"/>
    <w:rsid w:val="2A2611BF"/>
    <w:rsid w:val="2A3D6EA6"/>
    <w:rsid w:val="2A45764B"/>
    <w:rsid w:val="2AF7727E"/>
    <w:rsid w:val="2B033E75"/>
    <w:rsid w:val="2B35044C"/>
    <w:rsid w:val="2B3E30FF"/>
    <w:rsid w:val="2B97636B"/>
    <w:rsid w:val="2B9E19C4"/>
    <w:rsid w:val="2BAB1949"/>
    <w:rsid w:val="2BD80AF3"/>
    <w:rsid w:val="2BE35CD1"/>
    <w:rsid w:val="2C077D25"/>
    <w:rsid w:val="2C542347"/>
    <w:rsid w:val="2C632EFC"/>
    <w:rsid w:val="2CCB4E56"/>
    <w:rsid w:val="2CD81465"/>
    <w:rsid w:val="2CD930DF"/>
    <w:rsid w:val="2CDE1189"/>
    <w:rsid w:val="2D3A599F"/>
    <w:rsid w:val="2D4E4640"/>
    <w:rsid w:val="2D686136"/>
    <w:rsid w:val="2D92328E"/>
    <w:rsid w:val="2DA7698E"/>
    <w:rsid w:val="2DB226E2"/>
    <w:rsid w:val="2DB32B9B"/>
    <w:rsid w:val="2DCA2A1D"/>
    <w:rsid w:val="2E051C5F"/>
    <w:rsid w:val="2E0F5469"/>
    <w:rsid w:val="2E2A554B"/>
    <w:rsid w:val="2E311789"/>
    <w:rsid w:val="2E464212"/>
    <w:rsid w:val="2E951288"/>
    <w:rsid w:val="2EA50DF9"/>
    <w:rsid w:val="2EE144CD"/>
    <w:rsid w:val="2EEA15D4"/>
    <w:rsid w:val="2EEF3FB3"/>
    <w:rsid w:val="2EF91817"/>
    <w:rsid w:val="2F031064"/>
    <w:rsid w:val="2F54442E"/>
    <w:rsid w:val="2F5B47B2"/>
    <w:rsid w:val="2F724069"/>
    <w:rsid w:val="2FB818C1"/>
    <w:rsid w:val="2FFA0EC4"/>
    <w:rsid w:val="30173865"/>
    <w:rsid w:val="30260A8E"/>
    <w:rsid w:val="3069046A"/>
    <w:rsid w:val="307A6E68"/>
    <w:rsid w:val="307F49A0"/>
    <w:rsid w:val="308176AA"/>
    <w:rsid w:val="30B030EF"/>
    <w:rsid w:val="30B55C11"/>
    <w:rsid w:val="30BA4D13"/>
    <w:rsid w:val="30DA5678"/>
    <w:rsid w:val="30F31FBE"/>
    <w:rsid w:val="31014161"/>
    <w:rsid w:val="312A28E8"/>
    <w:rsid w:val="313B0BDD"/>
    <w:rsid w:val="318A0E4C"/>
    <w:rsid w:val="31A458E0"/>
    <w:rsid w:val="31AD1B8F"/>
    <w:rsid w:val="31D40270"/>
    <w:rsid w:val="31EE45D3"/>
    <w:rsid w:val="32216284"/>
    <w:rsid w:val="322577D6"/>
    <w:rsid w:val="3242018E"/>
    <w:rsid w:val="3253123E"/>
    <w:rsid w:val="326A2A2B"/>
    <w:rsid w:val="326F1DF0"/>
    <w:rsid w:val="327B0795"/>
    <w:rsid w:val="3283428E"/>
    <w:rsid w:val="32870EE7"/>
    <w:rsid w:val="329F0927"/>
    <w:rsid w:val="32BA0A47"/>
    <w:rsid w:val="32E4768D"/>
    <w:rsid w:val="32F75029"/>
    <w:rsid w:val="330963F9"/>
    <w:rsid w:val="332A457E"/>
    <w:rsid w:val="33550FE6"/>
    <w:rsid w:val="33686F6B"/>
    <w:rsid w:val="337519B6"/>
    <w:rsid w:val="33A27013"/>
    <w:rsid w:val="33CA0E5E"/>
    <w:rsid w:val="33D53ED4"/>
    <w:rsid w:val="33F16546"/>
    <w:rsid w:val="33F407FF"/>
    <w:rsid w:val="340B4EF1"/>
    <w:rsid w:val="34262373"/>
    <w:rsid w:val="342D43A8"/>
    <w:rsid w:val="34384B8F"/>
    <w:rsid w:val="343A28C5"/>
    <w:rsid w:val="34822315"/>
    <w:rsid w:val="34A95CF4"/>
    <w:rsid w:val="34BC61DB"/>
    <w:rsid w:val="34D01C11"/>
    <w:rsid w:val="34DB6659"/>
    <w:rsid w:val="35040F15"/>
    <w:rsid w:val="35062BEA"/>
    <w:rsid w:val="351A6043"/>
    <w:rsid w:val="35244754"/>
    <w:rsid w:val="352944D8"/>
    <w:rsid w:val="35380BBF"/>
    <w:rsid w:val="353B766B"/>
    <w:rsid w:val="35904557"/>
    <w:rsid w:val="35987209"/>
    <w:rsid w:val="35A26038"/>
    <w:rsid w:val="35AF0E81"/>
    <w:rsid w:val="35B00AA5"/>
    <w:rsid w:val="35B069A7"/>
    <w:rsid w:val="35C00FD4"/>
    <w:rsid w:val="35D51566"/>
    <w:rsid w:val="35FC7E3E"/>
    <w:rsid w:val="362A49AB"/>
    <w:rsid w:val="36504750"/>
    <w:rsid w:val="36505762"/>
    <w:rsid w:val="368478BB"/>
    <w:rsid w:val="368B3C8B"/>
    <w:rsid w:val="368C170D"/>
    <w:rsid w:val="369C290D"/>
    <w:rsid w:val="369F5A51"/>
    <w:rsid w:val="36B24E67"/>
    <w:rsid w:val="37050677"/>
    <w:rsid w:val="372A4E59"/>
    <w:rsid w:val="37637976"/>
    <w:rsid w:val="376F1E40"/>
    <w:rsid w:val="3794667D"/>
    <w:rsid w:val="37A159D2"/>
    <w:rsid w:val="37A42346"/>
    <w:rsid w:val="37DC3E21"/>
    <w:rsid w:val="37DF17C6"/>
    <w:rsid w:val="38153792"/>
    <w:rsid w:val="38192198"/>
    <w:rsid w:val="38244B3F"/>
    <w:rsid w:val="386E605D"/>
    <w:rsid w:val="387C0DC3"/>
    <w:rsid w:val="387C6CD3"/>
    <w:rsid w:val="38AD142A"/>
    <w:rsid w:val="38BD1B07"/>
    <w:rsid w:val="38F96C02"/>
    <w:rsid w:val="39006C13"/>
    <w:rsid w:val="3905525C"/>
    <w:rsid w:val="391C1085"/>
    <w:rsid w:val="392668B8"/>
    <w:rsid w:val="395A7356"/>
    <w:rsid w:val="39657C8F"/>
    <w:rsid w:val="3969383E"/>
    <w:rsid w:val="398B4D6E"/>
    <w:rsid w:val="398E0DAD"/>
    <w:rsid w:val="399842F8"/>
    <w:rsid w:val="39CB41A4"/>
    <w:rsid w:val="39CF2A49"/>
    <w:rsid w:val="39D93CA5"/>
    <w:rsid w:val="39DC5FBD"/>
    <w:rsid w:val="39EA2249"/>
    <w:rsid w:val="3A0F6545"/>
    <w:rsid w:val="3A287454"/>
    <w:rsid w:val="3A2C7F77"/>
    <w:rsid w:val="3A50591E"/>
    <w:rsid w:val="3A900623"/>
    <w:rsid w:val="3AA472C4"/>
    <w:rsid w:val="3AE53EB3"/>
    <w:rsid w:val="3B302256"/>
    <w:rsid w:val="3B48156F"/>
    <w:rsid w:val="3B5C320A"/>
    <w:rsid w:val="3B70245C"/>
    <w:rsid w:val="3B844B55"/>
    <w:rsid w:val="3B862684"/>
    <w:rsid w:val="3B8A40BE"/>
    <w:rsid w:val="3BF16F66"/>
    <w:rsid w:val="3C045F86"/>
    <w:rsid w:val="3C08753D"/>
    <w:rsid w:val="3C296AC3"/>
    <w:rsid w:val="3C48306C"/>
    <w:rsid w:val="3CB52107"/>
    <w:rsid w:val="3CD978EF"/>
    <w:rsid w:val="3CFB49AC"/>
    <w:rsid w:val="3D1729DA"/>
    <w:rsid w:val="3D307C72"/>
    <w:rsid w:val="3D486B26"/>
    <w:rsid w:val="3D504924"/>
    <w:rsid w:val="3D5A264F"/>
    <w:rsid w:val="3D912525"/>
    <w:rsid w:val="3E6F668D"/>
    <w:rsid w:val="3E817133"/>
    <w:rsid w:val="3EE85404"/>
    <w:rsid w:val="3EED6576"/>
    <w:rsid w:val="3F0538C0"/>
    <w:rsid w:val="3F2B10E3"/>
    <w:rsid w:val="3F491C06"/>
    <w:rsid w:val="3F4A39C9"/>
    <w:rsid w:val="3F684F93"/>
    <w:rsid w:val="3F88629F"/>
    <w:rsid w:val="3F8B25E9"/>
    <w:rsid w:val="3FAF1A7E"/>
    <w:rsid w:val="3FB57611"/>
    <w:rsid w:val="3FC42276"/>
    <w:rsid w:val="3FC723EC"/>
    <w:rsid w:val="3FC7688B"/>
    <w:rsid w:val="3FE60717"/>
    <w:rsid w:val="3FF15277"/>
    <w:rsid w:val="4001384F"/>
    <w:rsid w:val="402E6F2B"/>
    <w:rsid w:val="403F6FE2"/>
    <w:rsid w:val="40436D96"/>
    <w:rsid w:val="405D23A8"/>
    <w:rsid w:val="40636452"/>
    <w:rsid w:val="409749EB"/>
    <w:rsid w:val="40C477AB"/>
    <w:rsid w:val="40C72178"/>
    <w:rsid w:val="40ED6D01"/>
    <w:rsid w:val="40F82226"/>
    <w:rsid w:val="414E75EC"/>
    <w:rsid w:val="41555C82"/>
    <w:rsid w:val="415F2FAE"/>
    <w:rsid w:val="417C2FC4"/>
    <w:rsid w:val="419329F4"/>
    <w:rsid w:val="41A540D5"/>
    <w:rsid w:val="41A80C0E"/>
    <w:rsid w:val="41AA2E44"/>
    <w:rsid w:val="42075BA1"/>
    <w:rsid w:val="42291FBB"/>
    <w:rsid w:val="42311CE8"/>
    <w:rsid w:val="427D40B5"/>
    <w:rsid w:val="42931FC8"/>
    <w:rsid w:val="429A316A"/>
    <w:rsid w:val="42A15FF5"/>
    <w:rsid w:val="42C10946"/>
    <w:rsid w:val="42C34D15"/>
    <w:rsid w:val="42C70660"/>
    <w:rsid w:val="42CA554C"/>
    <w:rsid w:val="42FA68A3"/>
    <w:rsid w:val="434F5454"/>
    <w:rsid w:val="43655275"/>
    <w:rsid w:val="436A2008"/>
    <w:rsid w:val="4391606A"/>
    <w:rsid w:val="439250B6"/>
    <w:rsid w:val="43A5385B"/>
    <w:rsid w:val="43E63B53"/>
    <w:rsid w:val="43EC51D3"/>
    <w:rsid w:val="440F2F43"/>
    <w:rsid w:val="442B596F"/>
    <w:rsid w:val="443800FA"/>
    <w:rsid w:val="448324CB"/>
    <w:rsid w:val="44AF36C1"/>
    <w:rsid w:val="44D437FB"/>
    <w:rsid w:val="44E21AAF"/>
    <w:rsid w:val="45006172"/>
    <w:rsid w:val="450771CA"/>
    <w:rsid w:val="450E28A6"/>
    <w:rsid w:val="45230F44"/>
    <w:rsid w:val="452E1696"/>
    <w:rsid w:val="453F0F61"/>
    <w:rsid w:val="454F3AE7"/>
    <w:rsid w:val="45533857"/>
    <w:rsid w:val="4554273F"/>
    <w:rsid w:val="45542AAA"/>
    <w:rsid w:val="45631F3D"/>
    <w:rsid w:val="45684BA8"/>
    <w:rsid w:val="45694DD6"/>
    <w:rsid w:val="45EC3A2B"/>
    <w:rsid w:val="45ED1125"/>
    <w:rsid w:val="45F97A71"/>
    <w:rsid w:val="460A3878"/>
    <w:rsid w:val="46342CDD"/>
    <w:rsid w:val="46443940"/>
    <w:rsid w:val="46860C43"/>
    <w:rsid w:val="46965745"/>
    <w:rsid w:val="46C91677"/>
    <w:rsid w:val="46CE1383"/>
    <w:rsid w:val="46D324F5"/>
    <w:rsid w:val="470229C2"/>
    <w:rsid w:val="473B1C1A"/>
    <w:rsid w:val="47513B8F"/>
    <w:rsid w:val="47560768"/>
    <w:rsid w:val="47AD71EA"/>
    <w:rsid w:val="47C666DA"/>
    <w:rsid w:val="47CA2E28"/>
    <w:rsid w:val="47E06E7C"/>
    <w:rsid w:val="47F471D7"/>
    <w:rsid w:val="480B4572"/>
    <w:rsid w:val="482A7C30"/>
    <w:rsid w:val="48474715"/>
    <w:rsid w:val="4861761A"/>
    <w:rsid w:val="4870267D"/>
    <w:rsid w:val="487815A6"/>
    <w:rsid w:val="48790E7B"/>
    <w:rsid w:val="487E6ACF"/>
    <w:rsid w:val="489A776F"/>
    <w:rsid w:val="48B70C5B"/>
    <w:rsid w:val="48D01A82"/>
    <w:rsid w:val="48E561A4"/>
    <w:rsid w:val="48E812DD"/>
    <w:rsid w:val="4902281E"/>
    <w:rsid w:val="49127059"/>
    <w:rsid w:val="491971CD"/>
    <w:rsid w:val="49204B5B"/>
    <w:rsid w:val="4958642C"/>
    <w:rsid w:val="49637605"/>
    <w:rsid w:val="49641B2B"/>
    <w:rsid w:val="497D499A"/>
    <w:rsid w:val="498A6419"/>
    <w:rsid w:val="499479C3"/>
    <w:rsid w:val="49A77BE4"/>
    <w:rsid w:val="49AD5280"/>
    <w:rsid w:val="49FD4A73"/>
    <w:rsid w:val="4A1452FF"/>
    <w:rsid w:val="4A203CA4"/>
    <w:rsid w:val="4A315EB1"/>
    <w:rsid w:val="4A4200BE"/>
    <w:rsid w:val="4A6D24AB"/>
    <w:rsid w:val="4A734F27"/>
    <w:rsid w:val="4A8D1910"/>
    <w:rsid w:val="4AA46948"/>
    <w:rsid w:val="4ABF0BD6"/>
    <w:rsid w:val="4ADB5E1D"/>
    <w:rsid w:val="4AEC002A"/>
    <w:rsid w:val="4AF15640"/>
    <w:rsid w:val="4B221912"/>
    <w:rsid w:val="4B3D36F4"/>
    <w:rsid w:val="4B8A2056"/>
    <w:rsid w:val="4BBB5019"/>
    <w:rsid w:val="4C726B05"/>
    <w:rsid w:val="4C940B01"/>
    <w:rsid w:val="4CAD5597"/>
    <w:rsid w:val="4CDA4118"/>
    <w:rsid w:val="4CDB2104"/>
    <w:rsid w:val="4CF17718"/>
    <w:rsid w:val="4D0C6B88"/>
    <w:rsid w:val="4D1D3ADF"/>
    <w:rsid w:val="4D3267B3"/>
    <w:rsid w:val="4D875DE8"/>
    <w:rsid w:val="4DFA5C63"/>
    <w:rsid w:val="4E185E4E"/>
    <w:rsid w:val="4E1C29D4"/>
    <w:rsid w:val="4E683E6B"/>
    <w:rsid w:val="4E6879C7"/>
    <w:rsid w:val="4E7E67D5"/>
    <w:rsid w:val="4EBE09B9"/>
    <w:rsid w:val="4ECF6557"/>
    <w:rsid w:val="4ED63D69"/>
    <w:rsid w:val="4EDE7E32"/>
    <w:rsid w:val="4F574619"/>
    <w:rsid w:val="4F60605A"/>
    <w:rsid w:val="4F6C798B"/>
    <w:rsid w:val="4F7D74A2"/>
    <w:rsid w:val="4F877DBE"/>
    <w:rsid w:val="4FA2707A"/>
    <w:rsid w:val="4FA964E9"/>
    <w:rsid w:val="4FB358F3"/>
    <w:rsid w:val="4FBB7FCB"/>
    <w:rsid w:val="4FCE64BA"/>
    <w:rsid w:val="4FE67C5A"/>
    <w:rsid w:val="4FF26C3F"/>
    <w:rsid w:val="4FF534DD"/>
    <w:rsid w:val="501D79A8"/>
    <w:rsid w:val="50305133"/>
    <w:rsid w:val="504D17F3"/>
    <w:rsid w:val="50840A87"/>
    <w:rsid w:val="510E36AA"/>
    <w:rsid w:val="51163629"/>
    <w:rsid w:val="512B23A4"/>
    <w:rsid w:val="51345A4A"/>
    <w:rsid w:val="514064B2"/>
    <w:rsid w:val="514312BB"/>
    <w:rsid w:val="51437FCF"/>
    <w:rsid w:val="51611D91"/>
    <w:rsid w:val="516B68C8"/>
    <w:rsid w:val="51A02DA3"/>
    <w:rsid w:val="51FE415D"/>
    <w:rsid w:val="52002DEE"/>
    <w:rsid w:val="5221680B"/>
    <w:rsid w:val="522E7D28"/>
    <w:rsid w:val="523D50F7"/>
    <w:rsid w:val="525C0D2F"/>
    <w:rsid w:val="526D1A50"/>
    <w:rsid w:val="52734A43"/>
    <w:rsid w:val="52F07F1E"/>
    <w:rsid w:val="52F15C61"/>
    <w:rsid w:val="531075C0"/>
    <w:rsid w:val="53130849"/>
    <w:rsid w:val="532442CE"/>
    <w:rsid w:val="53260D0E"/>
    <w:rsid w:val="53285977"/>
    <w:rsid w:val="5337347A"/>
    <w:rsid w:val="534244A5"/>
    <w:rsid w:val="5356179F"/>
    <w:rsid w:val="537D0E07"/>
    <w:rsid w:val="538A6632"/>
    <w:rsid w:val="539223BE"/>
    <w:rsid w:val="539D2159"/>
    <w:rsid w:val="53A876CC"/>
    <w:rsid w:val="53AE0572"/>
    <w:rsid w:val="53B4545D"/>
    <w:rsid w:val="53DA4EC3"/>
    <w:rsid w:val="53DB6E8D"/>
    <w:rsid w:val="541C54DC"/>
    <w:rsid w:val="545A6DC6"/>
    <w:rsid w:val="545D3CF8"/>
    <w:rsid w:val="548968E9"/>
    <w:rsid w:val="54901979"/>
    <w:rsid w:val="54901A26"/>
    <w:rsid w:val="54945265"/>
    <w:rsid w:val="54A46E3B"/>
    <w:rsid w:val="55004DFD"/>
    <w:rsid w:val="550F6DEF"/>
    <w:rsid w:val="55515659"/>
    <w:rsid w:val="559F4616"/>
    <w:rsid w:val="55A0038E"/>
    <w:rsid w:val="55C119CC"/>
    <w:rsid w:val="55C42398"/>
    <w:rsid w:val="55C723EE"/>
    <w:rsid w:val="55E9250B"/>
    <w:rsid w:val="56010E2D"/>
    <w:rsid w:val="560578F7"/>
    <w:rsid w:val="563F226F"/>
    <w:rsid w:val="565863BB"/>
    <w:rsid w:val="566E5DAA"/>
    <w:rsid w:val="567D3C79"/>
    <w:rsid w:val="56933A4F"/>
    <w:rsid w:val="56C1680E"/>
    <w:rsid w:val="570010E5"/>
    <w:rsid w:val="57122BC6"/>
    <w:rsid w:val="574A6804"/>
    <w:rsid w:val="57702120"/>
    <w:rsid w:val="57A40CFD"/>
    <w:rsid w:val="57D66FE3"/>
    <w:rsid w:val="57DF495C"/>
    <w:rsid w:val="57E148BE"/>
    <w:rsid w:val="581B7F1B"/>
    <w:rsid w:val="58223736"/>
    <w:rsid w:val="58767A29"/>
    <w:rsid w:val="587C702D"/>
    <w:rsid w:val="58847AF3"/>
    <w:rsid w:val="588D6F55"/>
    <w:rsid w:val="58B425AE"/>
    <w:rsid w:val="58C83E84"/>
    <w:rsid w:val="58D06F50"/>
    <w:rsid w:val="59047163"/>
    <w:rsid w:val="59464DA9"/>
    <w:rsid w:val="59902149"/>
    <w:rsid w:val="59A0481F"/>
    <w:rsid w:val="59B87E57"/>
    <w:rsid w:val="5A0D31D7"/>
    <w:rsid w:val="5A3410A5"/>
    <w:rsid w:val="5A4C4641"/>
    <w:rsid w:val="5A7F7588"/>
    <w:rsid w:val="5A824BD8"/>
    <w:rsid w:val="5A8D7133"/>
    <w:rsid w:val="5A981F36"/>
    <w:rsid w:val="5AD07020"/>
    <w:rsid w:val="5ADD1E8F"/>
    <w:rsid w:val="5AE825BC"/>
    <w:rsid w:val="5B173696"/>
    <w:rsid w:val="5B27469B"/>
    <w:rsid w:val="5B2F7529"/>
    <w:rsid w:val="5B301566"/>
    <w:rsid w:val="5B5C08B4"/>
    <w:rsid w:val="5B78127C"/>
    <w:rsid w:val="5B816272"/>
    <w:rsid w:val="5BAA5A78"/>
    <w:rsid w:val="5BAD2C69"/>
    <w:rsid w:val="5BB46942"/>
    <w:rsid w:val="5BE97733"/>
    <w:rsid w:val="5BF84BEC"/>
    <w:rsid w:val="5C0827EA"/>
    <w:rsid w:val="5C164F06"/>
    <w:rsid w:val="5C182A2D"/>
    <w:rsid w:val="5C282FD3"/>
    <w:rsid w:val="5C2B7526"/>
    <w:rsid w:val="5C2E428B"/>
    <w:rsid w:val="5C3464F9"/>
    <w:rsid w:val="5C374FA0"/>
    <w:rsid w:val="5C3D6937"/>
    <w:rsid w:val="5C4A4F8E"/>
    <w:rsid w:val="5C5D5A52"/>
    <w:rsid w:val="5C6A5542"/>
    <w:rsid w:val="5CA72002"/>
    <w:rsid w:val="5CDE4BCF"/>
    <w:rsid w:val="5D0732B7"/>
    <w:rsid w:val="5D231D8A"/>
    <w:rsid w:val="5D41665C"/>
    <w:rsid w:val="5DBC1901"/>
    <w:rsid w:val="5DDE6C37"/>
    <w:rsid w:val="5DF432BB"/>
    <w:rsid w:val="5DFA1BBA"/>
    <w:rsid w:val="5E066072"/>
    <w:rsid w:val="5E1467C4"/>
    <w:rsid w:val="5E1C432A"/>
    <w:rsid w:val="5E1C50E7"/>
    <w:rsid w:val="5E281158"/>
    <w:rsid w:val="5E420DAF"/>
    <w:rsid w:val="5E5B4E53"/>
    <w:rsid w:val="5E5C016C"/>
    <w:rsid w:val="5E631F59"/>
    <w:rsid w:val="5E680B0A"/>
    <w:rsid w:val="5E6E18E1"/>
    <w:rsid w:val="5E7B54F5"/>
    <w:rsid w:val="5E872AA3"/>
    <w:rsid w:val="5E883734"/>
    <w:rsid w:val="5E9345EC"/>
    <w:rsid w:val="5E934BE3"/>
    <w:rsid w:val="5ECA4C47"/>
    <w:rsid w:val="5EDD5669"/>
    <w:rsid w:val="5EF03BC5"/>
    <w:rsid w:val="5F2F7659"/>
    <w:rsid w:val="5F351B48"/>
    <w:rsid w:val="5F4B4EC7"/>
    <w:rsid w:val="5F5244A8"/>
    <w:rsid w:val="5F5543F5"/>
    <w:rsid w:val="5F685614"/>
    <w:rsid w:val="5FA7351D"/>
    <w:rsid w:val="5FC32A9C"/>
    <w:rsid w:val="60251BBC"/>
    <w:rsid w:val="60255718"/>
    <w:rsid w:val="60410C81"/>
    <w:rsid w:val="605129B1"/>
    <w:rsid w:val="607C010D"/>
    <w:rsid w:val="60B833F2"/>
    <w:rsid w:val="60B87214"/>
    <w:rsid w:val="61114ABA"/>
    <w:rsid w:val="61174C1D"/>
    <w:rsid w:val="61343606"/>
    <w:rsid w:val="6162474A"/>
    <w:rsid w:val="616B76C1"/>
    <w:rsid w:val="61BE4346"/>
    <w:rsid w:val="61C15117"/>
    <w:rsid w:val="61EA1B28"/>
    <w:rsid w:val="62265778"/>
    <w:rsid w:val="62326865"/>
    <w:rsid w:val="62392EB4"/>
    <w:rsid w:val="62A768B8"/>
    <w:rsid w:val="62C66FF8"/>
    <w:rsid w:val="62CA46BF"/>
    <w:rsid w:val="62D34A7C"/>
    <w:rsid w:val="62DA00CF"/>
    <w:rsid w:val="63487ADE"/>
    <w:rsid w:val="634D0C03"/>
    <w:rsid w:val="635A0C3C"/>
    <w:rsid w:val="63693B8C"/>
    <w:rsid w:val="63C03FB5"/>
    <w:rsid w:val="63E1229E"/>
    <w:rsid w:val="641A7B61"/>
    <w:rsid w:val="642E473C"/>
    <w:rsid w:val="64371EBE"/>
    <w:rsid w:val="643F2B04"/>
    <w:rsid w:val="64403ED8"/>
    <w:rsid w:val="647C4368"/>
    <w:rsid w:val="64D16632"/>
    <w:rsid w:val="64F56A29"/>
    <w:rsid w:val="65106F49"/>
    <w:rsid w:val="653603C7"/>
    <w:rsid w:val="65622F6B"/>
    <w:rsid w:val="65775884"/>
    <w:rsid w:val="6578552E"/>
    <w:rsid w:val="6593581A"/>
    <w:rsid w:val="65D66F23"/>
    <w:rsid w:val="65FD0998"/>
    <w:rsid w:val="663F32AC"/>
    <w:rsid w:val="6667518D"/>
    <w:rsid w:val="66684EBF"/>
    <w:rsid w:val="669C5B77"/>
    <w:rsid w:val="66DE0D17"/>
    <w:rsid w:val="67140294"/>
    <w:rsid w:val="6748428C"/>
    <w:rsid w:val="6759214B"/>
    <w:rsid w:val="67666B8F"/>
    <w:rsid w:val="676A4CE7"/>
    <w:rsid w:val="67A67551"/>
    <w:rsid w:val="67B1772D"/>
    <w:rsid w:val="67ED14E8"/>
    <w:rsid w:val="6802264A"/>
    <w:rsid w:val="6828049B"/>
    <w:rsid w:val="683B27F5"/>
    <w:rsid w:val="684921C0"/>
    <w:rsid w:val="684A2AF9"/>
    <w:rsid w:val="684B51DE"/>
    <w:rsid w:val="686937E5"/>
    <w:rsid w:val="68790CF7"/>
    <w:rsid w:val="68907DEF"/>
    <w:rsid w:val="68A1024E"/>
    <w:rsid w:val="68E87C2B"/>
    <w:rsid w:val="690347A6"/>
    <w:rsid w:val="690E5779"/>
    <w:rsid w:val="6911334C"/>
    <w:rsid w:val="69313380"/>
    <w:rsid w:val="693370F8"/>
    <w:rsid w:val="69421A9D"/>
    <w:rsid w:val="6949691B"/>
    <w:rsid w:val="698C5205"/>
    <w:rsid w:val="699644F6"/>
    <w:rsid w:val="69AF3E09"/>
    <w:rsid w:val="69F753E9"/>
    <w:rsid w:val="6A0546FF"/>
    <w:rsid w:val="6A161253"/>
    <w:rsid w:val="6A4A545B"/>
    <w:rsid w:val="6A7318D2"/>
    <w:rsid w:val="6A7A2B04"/>
    <w:rsid w:val="6AF1729C"/>
    <w:rsid w:val="6B03516D"/>
    <w:rsid w:val="6B146DBB"/>
    <w:rsid w:val="6B6347D6"/>
    <w:rsid w:val="6BC5172A"/>
    <w:rsid w:val="6BEE7306"/>
    <w:rsid w:val="6BFA3D38"/>
    <w:rsid w:val="6BFB1336"/>
    <w:rsid w:val="6C2C23C0"/>
    <w:rsid w:val="6C3311BD"/>
    <w:rsid w:val="6C39469E"/>
    <w:rsid w:val="6C5345E4"/>
    <w:rsid w:val="6C73414A"/>
    <w:rsid w:val="6CA404CA"/>
    <w:rsid w:val="6CA95923"/>
    <w:rsid w:val="6CB00A5F"/>
    <w:rsid w:val="6CBB6F2A"/>
    <w:rsid w:val="6D4B5697"/>
    <w:rsid w:val="6D6966DD"/>
    <w:rsid w:val="6D84218E"/>
    <w:rsid w:val="6D8B573A"/>
    <w:rsid w:val="6D8E6FF3"/>
    <w:rsid w:val="6DB97DE8"/>
    <w:rsid w:val="6DC36570"/>
    <w:rsid w:val="6DCE2F61"/>
    <w:rsid w:val="6DCF3167"/>
    <w:rsid w:val="6E5D4C17"/>
    <w:rsid w:val="6E7716CA"/>
    <w:rsid w:val="6EC435F5"/>
    <w:rsid w:val="6EE56679"/>
    <w:rsid w:val="6EF61DD6"/>
    <w:rsid w:val="6EF812D3"/>
    <w:rsid w:val="6F0B000E"/>
    <w:rsid w:val="6F1B60C3"/>
    <w:rsid w:val="6F481423"/>
    <w:rsid w:val="6F6A5C0E"/>
    <w:rsid w:val="6F800BBD"/>
    <w:rsid w:val="6F8468C5"/>
    <w:rsid w:val="6F8E34A0"/>
    <w:rsid w:val="6F8F6824"/>
    <w:rsid w:val="6FA973ED"/>
    <w:rsid w:val="6FEF7AF1"/>
    <w:rsid w:val="6FF84BF7"/>
    <w:rsid w:val="7036571F"/>
    <w:rsid w:val="704B28CA"/>
    <w:rsid w:val="70674A70"/>
    <w:rsid w:val="70950698"/>
    <w:rsid w:val="70E91AA9"/>
    <w:rsid w:val="70EC7854"/>
    <w:rsid w:val="70F33611"/>
    <w:rsid w:val="71072C7D"/>
    <w:rsid w:val="711A7A04"/>
    <w:rsid w:val="715910D4"/>
    <w:rsid w:val="715916C6"/>
    <w:rsid w:val="71633397"/>
    <w:rsid w:val="7167651A"/>
    <w:rsid w:val="717C1858"/>
    <w:rsid w:val="717E19C2"/>
    <w:rsid w:val="718371A0"/>
    <w:rsid w:val="719646C8"/>
    <w:rsid w:val="71B15694"/>
    <w:rsid w:val="71D13952"/>
    <w:rsid w:val="71D46B4E"/>
    <w:rsid w:val="71D65715"/>
    <w:rsid w:val="71DB06EC"/>
    <w:rsid w:val="71DB64D8"/>
    <w:rsid w:val="71DE2CE0"/>
    <w:rsid w:val="724709FB"/>
    <w:rsid w:val="727A45F8"/>
    <w:rsid w:val="7298346A"/>
    <w:rsid w:val="72A74928"/>
    <w:rsid w:val="72F316A6"/>
    <w:rsid w:val="731C568E"/>
    <w:rsid w:val="734C2EB7"/>
    <w:rsid w:val="73A55905"/>
    <w:rsid w:val="73AE56FF"/>
    <w:rsid w:val="73B85C63"/>
    <w:rsid w:val="73D54DAE"/>
    <w:rsid w:val="73E12BDA"/>
    <w:rsid w:val="73F310C6"/>
    <w:rsid w:val="73F67ACD"/>
    <w:rsid w:val="74320B5B"/>
    <w:rsid w:val="744E5F5D"/>
    <w:rsid w:val="744F18F0"/>
    <w:rsid w:val="7456703A"/>
    <w:rsid w:val="746D6957"/>
    <w:rsid w:val="746E1B45"/>
    <w:rsid w:val="74793E2D"/>
    <w:rsid w:val="748044F1"/>
    <w:rsid w:val="748A31C5"/>
    <w:rsid w:val="748A4EA4"/>
    <w:rsid w:val="74AE4914"/>
    <w:rsid w:val="74CA0478"/>
    <w:rsid w:val="74CB0B2C"/>
    <w:rsid w:val="74D76839"/>
    <w:rsid w:val="74F31E31"/>
    <w:rsid w:val="75017A4C"/>
    <w:rsid w:val="750D52B9"/>
    <w:rsid w:val="75206021"/>
    <w:rsid w:val="754B00E5"/>
    <w:rsid w:val="757329BF"/>
    <w:rsid w:val="757B0F4D"/>
    <w:rsid w:val="75880263"/>
    <w:rsid w:val="758E7EDD"/>
    <w:rsid w:val="758F7BEB"/>
    <w:rsid w:val="759C7DD3"/>
    <w:rsid w:val="75B77AAE"/>
    <w:rsid w:val="76521EAA"/>
    <w:rsid w:val="766A10B5"/>
    <w:rsid w:val="766F0A02"/>
    <w:rsid w:val="76D9199F"/>
    <w:rsid w:val="770C014E"/>
    <w:rsid w:val="771E6884"/>
    <w:rsid w:val="772C5091"/>
    <w:rsid w:val="77335669"/>
    <w:rsid w:val="773E2DA9"/>
    <w:rsid w:val="773E5D87"/>
    <w:rsid w:val="77446974"/>
    <w:rsid w:val="77975F4C"/>
    <w:rsid w:val="77E837A3"/>
    <w:rsid w:val="77FA7283"/>
    <w:rsid w:val="78121E8B"/>
    <w:rsid w:val="78591FAB"/>
    <w:rsid w:val="788E78BC"/>
    <w:rsid w:val="789A30B7"/>
    <w:rsid w:val="78D244C8"/>
    <w:rsid w:val="78FC5F1E"/>
    <w:rsid w:val="79112F30"/>
    <w:rsid w:val="79182224"/>
    <w:rsid w:val="79183C14"/>
    <w:rsid w:val="791E369D"/>
    <w:rsid w:val="794B6523"/>
    <w:rsid w:val="796E2148"/>
    <w:rsid w:val="79754594"/>
    <w:rsid w:val="79D378EE"/>
    <w:rsid w:val="79DD5C7F"/>
    <w:rsid w:val="79DE6C0E"/>
    <w:rsid w:val="79E104AA"/>
    <w:rsid w:val="7A5746B8"/>
    <w:rsid w:val="7A5E2DE0"/>
    <w:rsid w:val="7A7A4314"/>
    <w:rsid w:val="7AA914ED"/>
    <w:rsid w:val="7AC322A6"/>
    <w:rsid w:val="7B14364B"/>
    <w:rsid w:val="7B3A013A"/>
    <w:rsid w:val="7B522AFF"/>
    <w:rsid w:val="7B5D0004"/>
    <w:rsid w:val="7B8053BB"/>
    <w:rsid w:val="7B900D80"/>
    <w:rsid w:val="7B962A52"/>
    <w:rsid w:val="7B9A0769"/>
    <w:rsid w:val="7BD07123"/>
    <w:rsid w:val="7BD70286"/>
    <w:rsid w:val="7C235250"/>
    <w:rsid w:val="7C256E3D"/>
    <w:rsid w:val="7C43229D"/>
    <w:rsid w:val="7C4371FA"/>
    <w:rsid w:val="7C746959"/>
    <w:rsid w:val="7C7E0232"/>
    <w:rsid w:val="7C8810E0"/>
    <w:rsid w:val="7C947A56"/>
    <w:rsid w:val="7C9D0080"/>
    <w:rsid w:val="7CA5610C"/>
    <w:rsid w:val="7CF3625E"/>
    <w:rsid w:val="7D0820AD"/>
    <w:rsid w:val="7D60202E"/>
    <w:rsid w:val="7D6C3CC5"/>
    <w:rsid w:val="7D9C12B8"/>
    <w:rsid w:val="7DDF6B15"/>
    <w:rsid w:val="7DE828B4"/>
    <w:rsid w:val="7DF12B70"/>
    <w:rsid w:val="7E097515"/>
    <w:rsid w:val="7E33329E"/>
    <w:rsid w:val="7E435E0B"/>
    <w:rsid w:val="7E7C6FA1"/>
    <w:rsid w:val="7E823CED"/>
    <w:rsid w:val="7E896766"/>
    <w:rsid w:val="7EE540B8"/>
    <w:rsid w:val="7EFA6583"/>
    <w:rsid w:val="7F0332B5"/>
    <w:rsid w:val="7F0919DB"/>
    <w:rsid w:val="7F215141"/>
    <w:rsid w:val="7F231565"/>
    <w:rsid w:val="7FC815F0"/>
    <w:rsid w:val="7FCA5F95"/>
    <w:rsid w:val="7FE77C21"/>
    <w:rsid w:val="7FED6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unhideWhenUsed/>
    <w:qFormat/>
    <w:uiPriority w:val="0"/>
    <w:pPr>
      <w:keepNext/>
      <w:keepLines/>
      <w:spacing w:before="260" w:after="260" w:line="415" w:lineRule="auto"/>
      <w:outlineLvl w:val="2"/>
    </w:pPr>
    <w:rPr>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style>
  <w:style w:type="paragraph" w:styleId="4">
    <w:name w:val="index 5"/>
    <w:basedOn w:val="1"/>
    <w:next w:val="1"/>
    <w:unhideWhenUsed/>
    <w:qFormat/>
    <w:uiPriority w:val="99"/>
    <w:rPr>
      <w:rFonts w:ascii="黑体" w:hAnsi="黑体" w:eastAsia="黑体"/>
      <w:sz w:val="32"/>
      <w:szCs w:val="32"/>
    </w:rPr>
  </w:style>
  <w:style w:type="paragraph" w:styleId="5">
    <w:name w:val="Body Text"/>
    <w:basedOn w:val="1"/>
    <w:next w:val="1"/>
    <w:qFormat/>
    <w:uiPriority w:val="0"/>
    <w:pPr>
      <w:snapToGrid w:val="0"/>
      <w:spacing w:line="579" w:lineRule="exact"/>
    </w:pPr>
    <w:rPr>
      <w:rFonts w:eastAsia="仿宋_GB2312"/>
      <w:kern w:val="2"/>
      <w:sz w:val="32"/>
    </w:rPr>
  </w:style>
  <w:style w:type="paragraph" w:styleId="6">
    <w:name w:val="Body Text Indent"/>
    <w:basedOn w:val="1"/>
    <w:qFormat/>
    <w:uiPriority w:val="0"/>
    <w:pPr>
      <w:ind w:firstLine="540"/>
    </w:pPr>
    <w:rPr>
      <w:sz w:val="30"/>
    </w:rPr>
  </w:style>
  <w:style w:type="paragraph" w:styleId="7">
    <w:name w:val="Plain Text"/>
    <w:basedOn w:val="1"/>
    <w:qFormat/>
    <w:uiPriority w:val="0"/>
    <w:rPr>
      <w:rFonts w:ascii="宋体" w:hAnsi="Courier New"/>
      <w:kern w:val="2"/>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footnote text"/>
    <w:basedOn w:val="1"/>
    <w:next w:val="5"/>
    <w:qFormat/>
    <w:uiPriority w:val="0"/>
    <w:pPr>
      <w:snapToGrid w:val="0"/>
      <w:jc w:val="left"/>
    </w:pPr>
    <w:rPr>
      <w:sz w:val="18"/>
      <w:szCs w:val="18"/>
    </w:rPr>
  </w:style>
  <w:style w:type="paragraph" w:styleId="10">
    <w:name w:val="Normal (Web)"/>
    <w:basedOn w:val="1"/>
    <w:qFormat/>
    <w:uiPriority w:val="0"/>
    <w:pPr>
      <w:widowControl w:val="0"/>
      <w:spacing w:before="100" w:beforeAutospacing="1" w:after="100" w:afterAutospacing="1"/>
      <w:ind w:left="0" w:right="0"/>
      <w:jc w:val="left"/>
    </w:pPr>
    <w:rPr>
      <w:rFonts w:ascii="Calibri" w:hAnsi="Calibri" w:eastAsia="宋体" w:cs="黑体"/>
      <w:kern w:val="0"/>
      <w:sz w:val="24"/>
      <w:szCs w:val="24"/>
      <w:lang w:val="en-US" w:eastAsia="zh-CN"/>
    </w:rPr>
  </w:style>
  <w:style w:type="paragraph" w:styleId="11">
    <w:name w:val="Title"/>
    <w:basedOn w:val="1"/>
    <w:next w:val="1"/>
    <w:qFormat/>
    <w:uiPriority w:val="99"/>
    <w:pPr>
      <w:spacing w:before="240" w:after="60"/>
      <w:jc w:val="center"/>
      <w:outlineLvl w:val="0"/>
    </w:pPr>
    <w:rPr>
      <w:rFonts w:ascii="Cambria" w:hAnsi="Cambria"/>
      <w:b/>
      <w:sz w:val="32"/>
      <w:szCs w:val="32"/>
    </w:rPr>
  </w:style>
  <w:style w:type="paragraph" w:styleId="12">
    <w:name w:val="Body Text First Indent 2"/>
    <w:basedOn w:val="6"/>
    <w:next w:val="1"/>
    <w:qFormat/>
    <w:uiPriority w:val="0"/>
    <w:pPr>
      <w:widowControl w:val="0"/>
      <w:ind w:firstLine="420" w:firstLineChars="200"/>
      <w:jc w:val="both"/>
    </w:pPr>
    <w:rPr>
      <w:rFonts w:ascii="Times New Roman" w:hAnsi="Times New Roman" w:eastAsia="宋体" w:cs="Times New Roman"/>
      <w:kern w:val="2"/>
      <w:sz w:val="30"/>
      <w:lang w:val="en-US" w:eastAsia="zh-CN" w:bidi="ar-SA"/>
    </w:rPr>
  </w:style>
  <w:style w:type="character" w:styleId="15">
    <w:name w:val="Strong"/>
    <w:basedOn w:val="14"/>
    <w:qFormat/>
    <w:uiPriority w:val="0"/>
    <w:rPr>
      <w:b/>
      <w:bCs/>
      <w:sz w:val="24"/>
      <w:szCs w:val="24"/>
    </w:rPr>
  </w:style>
  <w:style w:type="character" w:styleId="16">
    <w:name w:val="FollowedHyperlink"/>
    <w:basedOn w:val="14"/>
    <w:qFormat/>
    <w:uiPriority w:val="0"/>
    <w:rPr>
      <w:color w:val="333333"/>
      <w:u w:val="none"/>
    </w:rPr>
  </w:style>
  <w:style w:type="character" w:styleId="17">
    <w:name w:val="Emphasis"/>
    <w:basedOn w:val="14"/>
    <w:qFormat/>
    <w:uiPriority w:val="0"/>
    <w:rPr>
      <w:b/>
      <w:bCs/>
      <w:sz w:val="24"/>
      <w:szCs w:val="24"/>
    </w:rPr>
  </w:style>
  <w:style w:type="character" w:styleId="18">
    <w:name w:val="HTML Definition"/>
    <w:basedOn w:val="14"/>
    <w:qFormat/>
    <w:uiPriority w:val="0"/>
  </w:style>
  <w:style w:type="character" w:styleId="19">
    <w:name w:val="HTML Acronym"/>
    <w:basedOn w:val="14"/>
    <w:qFormat/>
    <w:uiPriority w:val="0"/>
  </w:style>
  <w:style w:type="character" w:styleId="20">
    <w:name w:val="HTML Variable"/>
    <w:basedOn w:val="14"/>
    <w:qFormat/>
    <w:uiPriority w:val="0"/>
  </w:style>
  <w:style w:type="character" w:styleId="21">
    <w:name w:val="Hyperlink"/>
    <w:basedOn w:val="14"/>
    <w:qFormat/>
    <w:uiPriority w:val="0"/>
    <w:rPr>
      <w:color w:val="333333"/>
      <w:u w:val="none"/>
    </w:rPr>
  </w:style>
  <w:style w:type="character" w:styleId="22">
    <w:name w:val="HTML Code"/>
    <w:basedOn w:val="14"/>
    <w:qFormat/>
    <w:uiPriority w:val="0"/>
    <w:rPr>
      <w:rFonts w:hint="default" w:ascii="monospace" w:hAnsi="monospace" w:eastAsia="monospace" w:cs="monospace"/>
      <w:sz w:val="21"/>
      <w:szCs w:val="21"/>
    </w:rPr>
  </w:style>
  <w:style w:type="character" w:styleId="23">
    <w:name w:val="HTML Cite"/>
    <w:basedOn w:val="14"/>
    <w:qFormat/>
    <w:uiPriority w:val="0"/>
  </w:style>
  <w:style w:type="character" w:styleId="24">
    <w:name w:val="HTML Keyboard"/>
    <w:basedOn w:val="14"/>
    <w:qFormat/>
    <w:uiPriority w:val="0"/>
    <w:rPr>
      <w:rFonts w:hint="default" w:ascii="monospace" w:hAnsi="monospace" w:eastAsia="monospace" w:cs="monospace"/>
      <w:sz w:val="21"/>
      <w:szCs w:val="21"/>
    </w:rPr>
  </w:style>
  <w:style w:type="character" w:styleId="25">
    <w:name w:val="HTML Sample"/>
    <w:basedOn w:val="14"/>
    <w:qFormat/>
    <w:uiPriority w:val="0"/>
    <w:rPr>
      <w:rFonts w:ascii="monospace" w:hAnsi="monospace" w:eastAsia="monospace" w:cs="monospace"/>
      <w:sz w:val="21"/>
      <w:szCs w:val="21"/>
    </w:rPr>
  </w:style>
  <w:style w:type="paragraph" w:customStyle="1" w:styleId="2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7">
    <w:name w:val="Char Char Char Char Char Char Char Char Char Char Char Char"/>
    <w:basedOn w:val="1"/>
    <w:qFormat/>
    <w:uiPriority w:val="0"/>
    <w:rPr>
      <w:rFonts w:ascii="宋体" w:hAnsi="宋体" w:cs="Courier New"/>
      <w:sz w:val="32"/>
      <w:szCs w:val="32"/>
    </w:rPr>
  </w:style>
  <w:style w:type="paragraph" w:customStyle="1" w:styleId="28">
    <w:name w:val="样式1"/>
    <w:basedOn w:val="1"/>
    <w:qFormat/>
    <w:uiPriority w:val="0"/>
    <w:pPr>
      <w:snapToGrid w:val="0"/>
      <w:spacing w:line="600" w:lineRule="exact"/>
      <w:ind w:firstLine="640" w:firstLineChars="200"/>
    </w:pPr>
    <w:rPr>
      <w:rFonts w:hint="eastAsia" w:ascii="宋体" w:hAnsi="宋体" w:eastAsia="黑体" w:cs="黑体"/>
      <w:bCs/>
      <w:color w:val="auto"/>
      <w:sz w:val="32"/>
      <w:szCs w:val="32"/>
      <w:lang w:val="zh-CN"/>
    </w:rPr>
  </w:style>
  <w:style w:type="character" w:customStyle="1" w:styleId="29">
    <w:name w:val="owl-numbers"/>
    <w:basedOn w:val="14"/>
    <w:qFormat/>
    <w:uiPriority w:val="0"/>
    <w:rPr>
      <w:color w:val="FFFFFF"/>
      <w:sz w:val="18"/>
      <w:szCs w:val="18"/>
    </w:rPr>
  </w:style>
  <w:style w:type="character" w:customStyle="1" w:styleId="30">
    <w:name w:val="nr2"/>
    <w:basedOn w:val="14"/>
    <w:qFormat/>
    <w:uiPriority w:val="0"/>
  </w:style>
  <w:style w:type="character" w:customStyle="1" w:styleId="31">
    <w:name w:val="c3"/>
    <w:basedOn w:val="14"/>
    <w:qFormat/>
    <w:uiPriority w:val="0"/>
  </w:style>
  <w:style w:type="character" w:customStyle="1" w:styleId="32">
    <w:name w:val="c1"/>
    <w:basedOn w:val="14"/>
    <w:qFormat/>
    <w:uiPriority w:val="0"/>
  </w:style>
  <w:style w:type="character" w:customStyle="1" w:styleId="33">
    <w:name w:val="note-content"/>
    <w:basedOn w:val="14"/>
    <w:qFormat/>
    <w:uiPriority w:val="0"/>
  </w:style>
  <w:style w:type="character" w:customStyle="1" w:styleId="34">
    <w:name w:val="note-content1"/>
    <w:basedOn w:val="14"/>
    <w:qFormat/>
    <w:uiPriority w:val="0"/>
    <w:rPr>
      <w:color w:val="333333"/>
    </w:rPr>
  </w:style>
  <w:style w:type="character" w:customStyle="1" w:styleId="35">
    <w:name w:val="share_box"/>
    <w:basedOn w:val="14"/>
    <w:qFormat/>
    <w:uiPriority w:val="0"/>
  </w:style>
  <w:style w:type="character" w:customStyle="1" w:styleId="36">
    <w:name w:val="left"/>
    <w:basedOn w:val="14"/>
    <w:qFormat/>
    <w:uiPriority w:val="0"/>
  </w:style>
  <w:style w:type="character" w:customStyle="1" w:styleId="37">
    <w:name w:val="msg-box22"/>
    <w:basedOn w:val="14"/>
    <w:qFormat/>
    <w:uiPriority w:val="0"/>
  </w:style>
  <w:style w:type="character" w:customStyle="1" w:styleId="38">
    <w:name w:val="c2"/>
    <w:basedOn w:val="14"/>
    <w:qFormat/>
    <w:uiPriority w:val="0"/>
  </w:style>
  <w:style w:type="character" w:customStyle="1" w:styleId="39">
    <w:name w:val="bt19"/>
    <w:basedOn w:val="14"/>
    <w:qFormat/>
    <w:uiPriority w:val="0"/>
    <w:rPr>
      <w:b/>
      <w:bCs/>
      <w:color w:val="355E92"/>
      <w:sz w:val="24"/>
      <w:szCs w:val="24"/>
    </w:rPr>
  </w:style>
  <w:style w:type="character" w:customStyle="1" w:styleId="40">
    <w:name w:val="hover2"/>
    <w:basedOn w:val="14"/>
    <w:qFormat/>
    <w:uiPriority w:val="0"/>
    <w:rPr>
      <w:color w:val="FFFFFF"/>
    </w:rPr>
  </w:style>
  <w:style w:type="character" w:customStyle="1" w:styleId="41">
    <w:name w:val="hover3"/>
    <w:basedOn w:val="14"/>
    <w:qFormat/>
    <w:uiPriority w:val="0"/>
    <w:rPr>
      <w:color w:val="5FB878"/>
    </w:rPr>
  </w:style>
  <w:style w:type="character" w:customStyle="1" w:styleId="42">
    <w:name w:val="hover4"/>
    <w:basedOn w:val="14"/>
    <w:qFormat/>
    <w:uiPriority w:val="0"/>
    <w:rPr>
      <w:color w:val="5FB878"/>
    </w:rPr>
  </w:style>
  <w:style w:type="character" w:customStyle="1" w:styleId="43">
    <w:name w:val="layui-this2"/>
    <w:basedOn w:val="14"/>
    <w:qFormat/>
    <w:uiPriority w:val="0"/>
    <w:rPr>
      <w:bdr w:val="single" w:color="EEEEEE" w:sz="6" w:space="0"/>
      <w:shd w:val="clear" w:fill="FFFFFF"/>
    </w:rPr>
  </w:style>
  <w:style w:type="character" w:customStyle="1" w:styleId="44">
    <w:name w:val="first-child"/>
    <w:basedOn w:val="14"/>
    <w:qFormat/>
    <w:uiPriority w:val="0"/>
  </w:style>
  <w:style w:type="character" w:customStyle="1" w:styleId="45">
    <w:name w:val="layui-this"/>
    <w:basedOn w:val="14"/>
    <w:qFormat/>
    <w:uiPriority w:val="0"/>
    <w:rPr>
      <w:bdr w:val="single" w:color="EEEEEE" w:sz="6" w:space="0"/>
      <w:shd w:val="clear" w:fill="FFFFFF"/>
    </w:rPr>
  </w:style>
  <w:style w:type="character" w:customStyle="1" w:styleId="46">
    <w:name w:val="hover"/>
    <w:basedOn w:val="14"/>
    <w:qFormat/>
    <w:uiPriority w:val="0"/>
    <w:rPr>
      <w:color w:val="FFFFFF"/>
    </w:rPr>
  </w:style>
  <w:style w:type="character" w:customStyle="1" w:styleId="47">
    <w:name w:val="hover1"/>
    <w:basedOn w:val="14"/>
    <w:qFormat/>
    <w:uiPriority w:val="0"/>
    <w:rPr>
      <w:color w:val="5FB878"/>
    </w:rPr>
  </w:style>
  <w:style w:type="character" w:customStyle="1" w:styleId="48">
    <w:name w:val="hover5"/>
    <w:basedOn w:val="14"/>
    <w:qFormat/>
    <w:uiPriority w:val="0"/>
    <w:rPr>
      <w:color w:val="FFFFFF"/>
    </w:rPr>
  </w:style>
  <w:style w:type="paragraph" w:customStyle="1" w:styleId="49">
    <w:name w:val="Normal Indent1"/>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6729</Words>
  <Characters>7001</Characters>
  <Lines>0</Lines>
  <Paragraphs>0</Paragraphs>
  <TotalTime>17</TotalTime>
  <ScaleCrop>false</ScaleCrop>
  <LinksUpToDate>false</LinksUpToDate>
  <CharactersWithSpaces>7003</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2026-05-18T02:47:00Z</dcterms:created>
  <dc:creator>张文</dc:creator>
  <cp:lastModifiedBy>赵永华</cp:lastModifiedBy>
  <cp:lastPrinted>2026-07-28T08:10:00Z</cp:lastPrinted>
  <dcterms:modified xsi:type="dcterms:W3CDTF">2026-07-29T01:23:09Z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010B0410C1BB4AD5A14C77456B68D90A</vt:lpwstr>
  </property>
  <property fmtid="{D5CDD505-2E9C-101B-9397-08002B2CF9AE}" pid="4" name="KSOTemplateDocerSaveRecord">
    <vt:lpwstr>eyJoZGlkIjoiNWI5OWExY2ZiYmRkYjk3MTM0ZmI0YTg4OTY1MjhiNTQifQ==</vt:lpwstr>
  </property>
</Properties>
</file>