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0"/>
        <w:jc w:val="center"/>
        <w:rPr>
          <w:rFonts w:hint="eastAsia" w:ascii="微软雅黑" w:hAnsi="微软雅黑" w:eastAsia="微软雅黑" w:cs="微软雅黑"/>
          <w:b w:val="0"/>
          <w:bCs w:val="0"/>
          <w:i w:val="0"/>
          <w:iCs w:val="0"/>
          <w:caps w:val="0"/>
          <w:color w:val="000000"/>
          <w:spacing w:val="0"/>
          <w:kern w:val="2"/>
          <w:sz w:val="36"/>
          <w:szCs w:val="36"/>
          <w:lang w:val="en-US" w:eastAsia="zh-CN" w:bidi="ar-SA"/>
        </w:rPr>
      </w:pPr>
      <w:r>
        <w:rPr>
          <w:rFonts w:hint="eastAsia" w:ascii="微软雅黑" w:hAnsi="微软雅黑" w:eastAsia="微软雅黑" w:cs="微软雅黑"/>
          <w:b w:val="0"/>
          <w:bCs w:val="0"/>
          <w:i w:val="0"/>
          <w:iCs w:val="0"/>
          <w:caps w:val="0"/>
          <w:color w:val="000000"/>
          <w:spacing w:val="0"/>
          <w:kern w:val="2"/>
          <w:sz w:val="36"/>
          <w:szCs w:val="36"/>
          <w:lang w:val="en-US" w:eastAsia="zh-CN" w:bidi="ar-SA"/>
        </w:rPr>
        <w:t>科学规范开展审计 全面提升监督质效 </w:t>
      </w:r>
    </w:p>
    <w:p>
      <w:pPr>
        <w:pStyle w:val="17"/>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ascii="微软雅黑" w:hAnsi="微软雅黑" w:eastAsia="微软雅黑" w:cs="微软雅黑"/>
          <w:i w:val="0"/>
          <w:iCs w:val="0"/>
          <w:caps w:val="0"/>
          <w:color w:val="000000"/>
          <w:spacing w:val="0"/>
          <w:sz w:val="36"/>
          <w:szCs w:val="36"/>
        </w:rPr>
      </w:pPr>
      <w:r>
        <w:rPr>
          <w:rFonts w:ascii="微软雅黑" w:hAnsi="微软雅黑" w:eastAsia="微软雅黑" w:cs="微软雅黑"/>
          <w:i w:val="0"/>
          <w:iCs w:val="0"/>
          <w:caps w:val="0"/>
          <w:color w:val="000000"/>
          <w:spacing w:val="0"/>
          <w:sz w:val="36"/>
          <w:szCs w:val="36"/>
        </w:rPr>
        <w:t>护航</w:t>
      </w:r>
      <w:r>
        <w:rPr>
          <w:rFonts w:hint="eastAsia" w:ascii="微软雅黑" w:hAnsi="微软雅黑" w:eastAsia="微软雅黑" w:cs="微软雅黑"/>
          <w:i w:val="0"/>
          <w:iCs w:val="0"/>
          <w:caps w:val="0"/>
          <w:color w:val="000000"/>
          <w:spacing w:val="0"/>
          <w:sz w:val="36"/>
          <w:szCs w:val="36"/>
          <w:lang w:eastAsia="zh-CN"/>
        </w:rPr>
        <w:t>西城</w:t>
      </w:r>
      <w:r>
        <w:rPr>
          <w:rFonts w:ascii="微软雅黑" w:hAnsi="微软雅黑" w:eastAsia="微软雅黑" w:cs="微软雅黑"/>
          <w:i w:val="0"/>
          <w:iCs w:val="0"/>
          <w:caps w:val="0"/>
          <w:color w:val="000000"/>
          <w:spacing w:val="0"/>
          <w:sz w:val="36"/>
          <w:szCs w:val="36"/>
        </w:rPr>
        <w:t>经济</w:t>
      </w:r>
      <w:r>
        <w:rPr>
          <w:rFonts w:hint="eastAsia" w:ascii="微软雅黑" w:hAnsi="微软雅黑" w:eastAsia="微软雅黑" w:cs="微软雅黑"/>
          <w:i w:val="0"/>
          <w:iCs w:val="0"/>
          <w:caps w:val="0"/>
          <w:color w:val="000000"/>
          <w:spacing w:val="0"/>
          <w:sz w:val="36"/>
          <w:szCs w:val="36"/>
          <w:lang w:eastAsia="zh-CN"/>
        </w:rPr>
        <w:t>社会</w:t>
      </w:r>
      <w:r>
        <w:rPr>
          <w:rFonts w:ascii="微软雅黑" w:hAnsi="微软雅黑" w:eastAsia="微软雅黑" w:cs="微软雅黑"/>
          <w:i w:val="0"/>
          <w:iCs w:val="0"/>
          <w:caps w:val="0"/>
          <w:color w:val="000000"/>
          <w:spacing w:val="0"/>
          <w:sz w:val="36"/>
          <w:szCs w:val="36"/>
        </w:rPr>
        <w:t>高质量发展</w:t>
      </w:r>
    </w:p>
    <w:p>
      <w:pPr>
        <w:pStyle w:val="17"/>
        <w:keepNext w:val="0"/>
        <w:keepLines w:val="0"/>
        <w:pageBreakBefore w:val="0"/>
        <w:widowControl/>
        <w:kinsoku/>
        <w:wordWrap/>
        <w:overflowPunct/>
        <w:topLinePunct w:val="0"/>
        <w:autoSpaceDE/>
        <w:autoSpaceDN/>
        <w:bidi w:val="0"/>
        <w:adjustRightInd/>
        <w:snapToGrid w:val="0"/>
        <w:spacing w:line="560" w:lineRule="exact"/>
        <w:jc w:val="right"/>
        <w:textAlignment w:val="auto"/>
        <w:rPr>
          <w:rFonts w:hint="eastAsia" w:ascii="楷体_GB2312" w:hAnsi="楷体_GB2312" w:eastAsia="楷体_GB2312" w:cs="楷体_GB2312"/>
          <w:b w:val="0"/>
          <w:bCs w:val="0"/>
          <w:color w:val="000000"/>
          <w:sz w:val="36"/>
          <w:szCs w:val="36"/>
          <w:lang w:val="zh-CN"/>
        </w:rPr>
      </w:pPr>
      <w:r>
        <w:rPr>
          <w:rFonts w:hint="eastAsia" w:ascii="楷体_GB2312" w:hAnsi="楷体_GB2312" w:eastAsia="楷体_GB2312" w:cs="楷体_GB2312"/>
          <w:b w:val="0"/>
          <w:bCs w:val="0"/>
          <w:color w:val="000000"/>
          <w:sz w:val="36"/>
          <w:szCs w:val="36"/>
          <w:lang w:val="zh-CN"/>
        </w:rPr>
        <w:t>——关于西城区202</w:t>
      </w:r>
      <w:r>
        <w:rPr>
          <w:rFonts w:hint="eastAsia" w:ascii="楷体_GB2312" w:hAnsi="楷体_GB2312" w:eastAsia="楷体_GB2312" w:cs="楷体_GB2312"/>
          <w:b w:val="0"/>
          <w:bCs w:val="0"/>
          <w:color w:val="000000"/>
          <w:sz w:val="36"/>
          <w:szCs w:val="36"/>
          <w:lang w:val="en-US" w:eastAsia="zh-CN"/>
        </w:rPr>
        <w:t>5</w:t>
      </w:r>
      <w:r>
        <w:rPr>
          <w:rFonts w:hint="eastAsia" w:ascii="楷体_GB2312" w:hAnsi="楷体_GB2312" w:eastAsia="楷体_GB2312" w:cs="楷体_GB2312"/>
          <w:b w:val="0"/>
          <w:bCs w:val="0"/>
          <w:color w:val="000000"/>
          <w:sz w:val="36"/>
          <w:szCs w:val="36"/>
          <w:lang w:val="zh-CN"/>
        </w:rPr>
        <w:t>年度预算执行和其他财政收支</w:t>
      </w:r>
    </w:p>
    <w:p>
      <w:pPr>
        <w:pStyle w:val="17"/>
        <w:keepNext w:val="0"/>
        <w:keepLines w:val="0"/>
        <w:pageBreakBefore w:val="0"/>
        <w:widowControl/>
        <w:kinsoku/>
        <w:wordWrap/>
        <w:overflowPunct/>
        <w:topLinePunct w:val="0"/>
        <w:autoSpaceDE/>
        <w:autoSpaceDN/>
        <w:bidi w:val="0"/>
        <w:adjustRightInd/>
        <w:snapToGrid w:val="0"/>
        <w:spacing w:line="560" w:lineRule="exact"/>
        <w:ind w:firstLine="1440" w:firstLineChars="400"/>
        <w:jc w:val="left"/>
        <w:textAlignment w:val="auto"/>
        <w:rPr>
          <w:rFonts w:hint="eastAsia" w:ascii="楷体_GB2312" w:hAnsi="楷体_GB2312" w:eastAsia="楷体_GB2312" w:cs="楷体_GB2312"/>
          <w:b w:val="0"/>
          <w:bCs w:val="0"/>
          <w:color w:val="000000"/>
          <w:sz w:val="36"/>
          <w:szCs w:val="36"/>
          <w:lang w:val="zh-CN"/>
        </w:rPr>
      </w:pPr>
      <w:r>
        <w:rPr>
          <w:rFonts w:hint="eastAsia" w:ascii="楷体_GB2312" w:hAnsi="楷体_GB2312" w:eastAsia="楷体_GB2312" w:cs="楷体_GB2312"/>
          <w:b w:val="0"/>
          <w:bCs w:val="0"/>
          <w:color w:val="000000"/>
          <w:sz w:val="36"/>
          <w:szCs w:val="36"/>
          <w:lang w:val="zh-CN"/>
        </w:rPr>
        <w:t>的审计工作报告解读</w:t>
      </w:r>
    </w:p>
    <w:p>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宋体" w:hAnsi="宋体" w:eastAsia="仿宋_GB2312" w:cs="Times New Roman"/>
          <w:b w:val="0"/>
          <w:bCs w:val="0"/>
          <w:color w:val="auto"/>
          <w:sz w:val="32"/>
          <w:szCs w:val="32"/>
          <w:highlight w:val="none"/>
          <w:u w:val="none"/>
          <w:lang w:val="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480"/>
        <w:jc w:val="both"/>
        <w:rPr>
          <w:rFonts w:hint="eastAsia" w:ascii="宋体" w:hAnsi="宋体" w:eastAsia="仿宋_GB2312" w:cs="Times New Roman"/>
          <w:b w:val="0"/>
          <w:bCs w:val="0"/>
          <w:color w:val="auto"/>
          <w:sz w:val="32"/>
          <w:szCs w:val="32"/>
          <w:highlight w:val="none"/>
          <w:u w:val="none"/>
          <w:lang w:val="zh-CN"/>
        </w:rPr>
      </w:pPr>
      <w:r>
        <w:rPr>
          <w:rFonts w:hint="eastAsia" w:ascii="宋体" w:hAnsi="宋体" w:eastAsia="仿宋_GB2312" w:cs="Times New Roman"/>
          <w:b w:val="0"/>
          <w:bCs w:val="0"/>
          <w:color w:val="auto"/>
          <w:sz w:val="32"/>
          <w:szCs w:val="32"/>
          <w:highlight w:val="none"/>
          <w:u w:val="none"/>
          <w:lang w:val="en-US" w:eastAsia="zh-CN"/>
        </w:rPr>
        <w:t>7</w:t>
      </w:r>
      <w:r>
        <w:rPr>
          <w:rFonts w:hint="eastAsia" w:ascii="宋体" w:hAnsi="宋体" w:eastAsia="仿宋_GB2312" w:cs="Times New Roman"/>
          <w:b w:val="0"/>
          <w:bCs w:val="0"/>
          <w:color w:val="auto"/>
          <w:sz w:val="32"/>
          <w:szCs w:val="32"/>
          <w:highlight w:val="none"/>
          <w:u w:val="none"/>
          <w:lang w:val="zh-CN"/>
        </w:rPr>
        <w:t>月</w:t>
      </w:r>
      <w:r>
        <w:rPr>
          <w:rFonts w:hint="eastAsia" w:ascii="宋体" w:hAnsi="宋体" w:eastAsia="仿宋_GB2312" w:cs="Times New Roman"/>
          <w:b w:val="0"/>
          <w:bCs w:val="0"/>
          <w:color w:val="auto"/>
          <w:sz w:val="32"/>
          <w:szCs w:val="32"/>
          <w:highlight w:val="none"/>
          <w:u w:val="none"/>
          <w:lang w:val="en-US" w:eastAsia="zh-CN"/>
        </w:rPr>
        <w:t>16</w:t>
      </w:r>
      <w:r>
        <w:rPr>
          <w:rFonts w:hint="eastAsia" w:ascii="宋体" w:hAnsi="宋体" w:eastAsia="仿宋_GB2312" w:cs="Times New Roman"/>
          <w:b w:val="0"/>
          <w:bCs w:val="0"/>
          <w:color w:val="auto"/>
          <w:sz w:val="32"/>
          <w:szCs w:val="32"/>
          <w:highlight w:val="none"/>
          <w:u w:val="none"/>
          <w:lang w:val="zh-CN"/>
        </w:rPr>
        <w:t>日，受区政府委托，区审计局局长</w:t>
      </w:r>
      <w:r>
        <w:rPr>
          <w:rFonts w:hint="eastAsia" w:ascii="宋体" w:hAnsi="宋体" w:eastAsia="仿宋_GB2312" w:cs="Times New Roman"/>
          <w:b w:val="0"/>
          <w:bCs w:val="0"/>
          <w:color w:val="auto"/>
          <w:sz w:val="32"/>
          <w:szCs w:val="32"/>
          <w:highlight w:val="none"/>
          <w:u w:val="none"/>
          <w:lang w:val="zh-CN" w:eastAsia="zh-CN"/>
        </w:rPr>
        <w:t>杨挺</w:t>
      </w:r>
      <w:r>
        <w:rPr>
          <w:rFonts w:hint="eastAsia" w:ascii="宋体" w:hAnsi="宋体" w:eastAsia="仿宋_GB2312" w:cs="Times New Roman"/>
          <w:b w:val="0"/>
          <w:bCs w:val="0"/>
          <w:color w:val="auto"/>
          <w:sz w:val="32"/>
          <w:szCs w:val="32"/>
          <w:highlight w:val="none"/>
          <w:u w:val="none"/>
          <w:lang w:val="zh-CN"/>
        </w:rPr>
        <w:t>向区十七届人大常委会第四十七次会议作了《关于西城区202</w:t>
      </w:r>
      <w:r>
        <w:rPr>
          <w:rFonts w:hint="eastAsia" w:ascii="宋体" w:hAnsi="宋体" w:eastAsia="仿宋_GB2312" w:cs="Times New Roman"/>
          <w:b w:val="0"/>
          <w:bCs w:val="0"/>
          <w:color w:val="auto"/>
          <w:sz w:val="32"/>
          <w:szCs w:val="32"/>
          <w:highlight w:val="none"/>
          <w:u w:val="none"/>
          <w:lang w:val="en-US" w:eastAsia="zh-CN"/>
        </w:rPr>
        <w:t>5</w:t>
      </w:r>
      <w:r>
        <w:rPr>
          <w:rFonts w:hint="eastAsia" w:ascii="宋体" w:hAnsi="宋体" w:eastAsia="仿宋_GB2312" w:cs="Times New Roman"/>
          <w:b w:val="0"/>
          <w:bCs w:val="0"/>
          <w:color w:val="auto"/>
          <w:sz w:val="32"/>
          <w:szCs w:val="32"/>
          <w:highlight w:val="none"/>
          <w:u w:val="none"/>
          <w:lang w:val="zh-CN"/>
        </w:rPr>
        <w:t>年度预算执行和其他财政收支的审计工作报告》。</w:t>
      </w:r>
      <w:r>
        <w:rPr>
          <w:rFonts w:hint="eastAsia" w:ascii="宋体" w:hAnsi="宋体" w:eastAsia="仿宋_GB2312" w:cs="Times New Roman"/>
          <w:b w:val="0"/>
          <w:bCs w:val="0"/>
          <w:color w:val="auto"/>
          <w:sz w:val="32"/>
          <w:szCs w:val="32"/>
          <w:highlight w:val="none"/>
          <w:u w:val="none"/>
          <w:lang w:val="zh-CN" w:eastAsia="zh-CN"/>
        </w:rPr>
        <w:t>一</w:t>
      </w:r>
      <w:r>
        <w:rPr>
          <w:rFonts w:hint="eastAsia" w:ascii="宋体" w:hAnsi="宋体" w:eastAsia="仿宋_GB2312" w:cs="Times New Roman"/>
          <w:b w:val="0"/>
          <w:bCs w:val="0"/>
          <w:color w:val="auto"/>
          <w:sz w:val="32"/>
          <w:szCs w:val="32"/>
          <w:highlight w:val="none"/>
          <w:u w:val="none"/>
          <w:lang w:val="zh-CN"/>
        </w:rPr>
        <w:t>年以来，审计监督工作始终坚持以习近平新时代中国特色社会主义思想为指导，深入学习贯彻党的二十大和二十届</w:t>
      </w:r>
      <w:r>
        <w:rPr>
          <w:rFonts w:hint="eastAsia" w:ascii="宋体" w:hAnsi="宋体" w:eastAsia="仿宋_GB2312" w:cs="Times New Roman"/>
          <w:b w:val="0"/>
          <w:bCs w:val="0"/>
          <w:color w:val="auto"/>
          <w:sz w:val="32"/>
          <w:szCs w:val="32"/>
          <w:highlight w:val="none"/>
          <w:u w:val="none"/>
          <w:lang w:val="zh-CN" w:eastAsia="zh-CN"/>
        </w:rPr>
        <w:t>历次</w:t>
      </w:r>
      <w:r>
        <w:rPr>
          <w:rFonts w:hint="eastAsia" w:ascii="宋体" w:hAnsi="宋体" w:eastAsia="仿宋_GB2312" w:cs="Times New Roman"/>
          <w:b w:val="0"/>
          <w:bCs w:val="0"/>
          <w:color w:val="auto"/>
          <w:sz w:val="32"/>
          <w:szCs w:val="32"/>
          <w:highlight w:val="none"/>
          <w:u w:val="none"/>
          <w:lang w:val="zh-CN"/>
        </w:rPr>
        <w:t>中全会精神，全面贯彻落实习近平总书记关于审计工作的重要讲话精神，立足经济监督定位，加强对重大战略实施、重大政策落实、重大项目建设、重点领域经济风险、重点民生资金和项目的审计监督。反映在今年的审计工作报告中，主要体现为以下</w:t>
      </w:r>
      <w:r>
        <w:rPr>
          <w:rFonts w:hint="eastAsia" w:ascii="宋体" w:hAnsi="宋体" w:eastAsia="仿宋_GB2312" w:cs="Times New Roman"/>
          <w:b w:val="0"/>
          <w:bCs w:val="0"/>
          <w:color w:val="auto"/>
          <w:sz w:val="32"/>
          <w:szCs w:val="32"/>
          <w:highlight w:val="none"/>
          <w:u w:val="none"/>
          <w:lang w:val="en-US" w:eastAsia="zh-CN"/>
        </w:rPr>
        <w:t>5</w:t>
      </w:r>
      <w:r>
        <w:rPr>
          <w:rFonts w:hint="eastAsia" w:ascii="宋体" w:hAnsi="宋体" w:eastAsia="仿宋_GB2312" w:cs="Times New Roman"/>
          <w:b w:val="0"/>
          <w:bCs w:val="0"/>
          <w:color w:val="auto"/>
          <w:sz w:val="32"/>
          <w:szCs w:val="32"/>
          <w:highlight w:val="none"/>
          <w:u w:val="none"/>
          <w:lang w:val="zh-CN"/>
        </w:rPr>
        <w:t>个方面：</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firstLine="640" w:firstLineChars="200"/>
        <w:textAlignment w:val="auto"/>
        <w:outlineLvl w:val="9"/>
        <w:rPr>
          <w:rFonts w:hint="eastAsia" w:ascii="宋体" w:hAnsi="宋体" w:eastAsia="仿宋_GB2312" w:cs="Times New Roman"/>
          <w:b w:val="0"/>
          <w:bCs w:val="0"/>
          <w:color w:val="auto"/>
          <w:sz w:val="32"/>
          <w:szCs w:val="32"/>
          <w:highlight w:val="none"/>
          <w:u w:val="none"/>
          <w:lang w:val="zh-CN"/>
        </w:rPr>
      </w:pPr>
      <w:r>
        <w:rPr>
          <w:rFonts w:hint="eastAsia" w:ascii="宋体" w:hAnsi="宋体" w:eastAsia="仿宋_GB2312" w:cs="Times New Roman"/>
          <w:b w:val="0"/>
          <w:bCs w:val="0"/>
          <w:color w:val="auto"/>
          <w:sz w:val="32"/>
          <w:szCs w:val="32"/>
          <w:highlight w:val="none"/>
          <w:u w:val="none"/>
          <w:lang w:val="zh-CN"/>
        </w:rPr>
        <w:t>一是坚持和加强党中央集中统一领导，服务保障重大决策部署有效落实。坚持和加强党的领导是做好审计工作的根本保证，是中国特色社会主义审计制度最本质、最鲜明的特征。一年来，全区审计工作坚决按照区委区政府要求谋划审计工作，做到全区工作重点抓什么、审计就审什么，以高质量审计监督保障区委、区政府决策部署、战略目标有效落实。</w:t>
      </w:r>
      <w:r>
        <w:rPr>
          <w:rFonts w:hint="eastAsia" w:ascii="仿宋_GB2312" w:hAnsi="仿宋_GB2312" w:eastAsia="仿宋_GB2312" w:cs="仿宋_GB2312"/>
          <w:color w:val="auto"/>
          <w:sz w:val="32"/>
          <w:szCs w:val="32"/>
        </w:rPr>
        <w:t>审计工作报告“</w:t>
      </w:r>
      <w:r>
        <w:rPr>
          <w:rFonts w:hint="eastAsia" w:ascii="仿宋_GB2312" w:hAnsi="仿宋_GB2312" w:eastAsia="仿宋_GB2312" w:cs="仿宋_GB2312"/>
          <w:color w:val="auto"/>
          <w:sz w:val="32"/>
          <w:szCs w:val="32"/>
          <w:lang w:eastAsia="zh-CN"/>
        </w:rPr>
        <w:t>区本</w:t>
      </w:r>
      <w:r>
        <w:rPr>
          <w:rFonts w:hint="eastAsia" w:ascii="仿宋_GB2312" w:hAnsi="仿宋_GB2312" w:eastAsia="仿宋_GB2312" w:cs="仿宋_GB2312"/>
          <w:color w:val="auto"/>
          <w:sz w:val="32"/>
          <w:szCs w:val="32"/>
        </w:rPr>
        <w:t>级财政管理审计”和“</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级部门预算执行审计”</w:t>
      </w:r>
      <w:r>
        <w:rPr>
          <w:rFonts w:hint="eastAsia" w:ascii="仿宋_GB2312" w:hAnsi="仿宋_GB2312" w:eastAsia="仿宋_GB2312" w:cs="仿宋_GB2312"/>
          <w:color w:val="auto"/>
          <w:sz w:val="32"/>
          <w:szCs w:val="32"/>
          <w:lang w:eastAsia="zh-CN"/>
        </w:rPr>
        <w:t>围绕提升财政政策效能，</w:t>
      </w:r>
      <w:r>
        <w:rPr>
          <w:rFonts w:hint="eastAsia" w:ascii="仿宋_GB2312" w:hAnsi="仿宋_GB2312" w:eastAsia="仿宋_GB2312" w:cs="仿宋_GB2312"/>
          <w:color w:val="auto"/>
          <w:sz w:val="32"/>
          <w:szCs w:val="32"/>
        </w:rPr>
        <w:t>密切关注财政资源统筹、预算分配下达、资金使用绩效等情况，提升财政资金支持高质量发展的效果。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重点项目和民生资金审计</w:t>
      </w:r>
      <w:r>
        <w:rPr>
          <w:rFonts w:hint="eastAsia" w:ascii="仿宋_GB2312" w:hAnsi="仿宋_GB2312" w:eastAsia="仿宋_GB2312" w:cs="仿宋_GB2312"/>
          <w:color w:val="auto"/>
          <w:sz w:val="32"/>
          <w:szCs w:val="32"/>
          <w:lang w:eastAsia="zh-CN"/>
        </w:rPr>
        <w:t>”坚持人民至上理念，紧盯医疗等群众急难愁盼领域，用审计丽都提升民生温度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国资国企</w:t>
      </w:r>
      <w:r>
        <w:rPr>
          <w:rFonts w:hint="eastAsia" w:ascii="仿宋_GB2312" w:hAnsi="仿宋_GB2312" w:eastAsia="仿宋_GB2312" w:cs="仿宋_GB2312"/>
          <w:color w:val="auto"/>
          <w:sz w:val="32"/>
          <w:szCs w:val="32"/>
        </w:rPr>
        <w:t>审计”围绕推动国企改革深化和风险防范，持续</w:t>
      </w:r>
      <w:r>
        <w:rPr>
          <w:rFonts w:hint="eastAsia" w:ascii="仿宋_GB2312" w:hAnsi="仿宋_GB2312" w:eastAsia="仿宋_GB2312" w:cs="仿宋_GB2312"/>
          <w:color w:val="auto"/>
          <w:sz w:val="32"/>
          <w:szCs w:val="32"/>
          <w:lang w:eastAsia="zh-CN"/>
        </w:rPr>
        <w:t>关注体制机制优化、资源整合、提质增效等核心工作，从源头上防范经营风险，提升企业治理能</w:t>
      </w:r>
      <w:bookmarkStart w:id="0" w:name="_GoBack"/>
      <w:bookmarkEnd w:id="0"/>
      <w:r>
        <w:rPr>
          <w:rFonts w:hint="eastAsia" w:ascii="仿宋_GB2312" w:hAnsi="仿宋_GB2312" w:eastAsia="仿宋_GB2312" w:cs="仿宋_GB2312"/>
          <w:color w:val="auto"/>
          <w:sz w:val="32"/>
          <w:szCs w:val="32"/>
          <w:lang w:eastAsia="zh-CN"/>
        </w:rPr>
        <w:t>力</w:t>
      </w:r>
      <w:r>
        <w:rPr>
          <w:rFonts w:hint="eastAsia" w:ascii="仿宋_GB2312" w:hAnsi="仿宋_GB2312" w:eastAsia="仿宋_GB2312" w:cs="仿宋_GB2312"/>
          <w:color w:val="auto"/>
          <w:sz w:val="32"/>
          <w:szCs w:val="32"/>
        </w:rPr>
        <w:t>。</w:t>
      </w:r>
    </w:p>
    <w:p>
      <w:pPr>
        <w:pStyle w:val="4"/>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宋体" w:hAnsi="宋体" w:eastAsia="仿宋_GB2312" w:cs="Times New Roman"/>
          <w:b w:val="0"/>
          <w:bCs w:val="0"/>
          <w:color w:val="auto"/>
          <w:sz w:val="32"/>
          <w:szCs w:val="32"/>
          <w:highlight w:val="none"/>
          <w:u w:val="none"/>
          <w:lang w:val="zh-CN"/>
        </w:rPr>
      </w:pPr>
      <w:r>
        <w:rPr>
          <w:rFonts w:hint="eastAsia" w:ascii="宋体" w:hAnsi="宋体" w:cs="Times New Roman"/>
          <w:b w:val="0"/>
          <w:bCs w:val="0"/>
          <w:color w:val="auto"/>
          <w:sz w:val="32"/>
          <w:szCs w:val="32"/>
          <w:highlight w:val="none"/>
          <w:u w:val="none"/>
          <w:lang w:val="zh-CN"/>
        </w:rPr>
        <w:t>二是</w:t>
      </w:r>
      <w:r>
        <w:rPr>
          <w:rFonts w:hint="eastAsia" w:ascii="宋体" w:hAnsi="宋体" w:eastAsia="仿宋_GB2312" w:cs="Times New Roman"/>
          <w:b w:val="0"/>
          <w:bCs w:val="0"/>
          <w:color w:val="auto"/>
          <w:sz w:val="32"/>
          <w:szCs w:val="32"/>
          <w:highlight w:val="none"/>
          <w:u w:val="none"/>
          <w:lang w:val="zh-CN"/>
        </w:rPr>
        <w:t>坚持立足经济监督定位，紧紧围绕财政财务收支主责主业开展审计。立足“审计首先是经济监督”定位，开展常态化“经济体检”。今年</w:t>
      </w:r>
      <w:r>
        <w:rPr>
          <w:rFonts w:hint="eastAsia" w:ascii="仿宋_GB2312" w:hAnsi="仿宋_GB2312" w:eastAsia="仿宋_GB2312" w:cs="仿宋_GB2312"/>
          <w:kern w:val="2"/>
          <w:sz w:val="32"/>
          <w:szCs w:val="32"/>
          <w:highlight w:val="none"/>
          <w:lang w:val="en-US" w:eastAsia="zh-CN" w:bidi="ar-SA"/>
        </w:rPr>
        <w:t>对12个部门开展预算执行审计，</w:t>
      </w:r>
      <w:r>
        <w:rPr>
          <w:rFonts w:hint="eastAsia" w:ascii="宋体" w:hAnsi="宋体" w:eastAsia="仿宋_GB2312" w:cs="Times New Roman"/>
          <w:b w:val="0"/>
          <w:bCs w:val="0"/>
          <w:color w:val="auto"/>
          <w:sz w:val="32"/>
          <w:szCs w:val="32"/>
          <w:highlight w:val="none"/>
          <w:u w:val="none"/>
          <w:lang w:val="en-US" w:eastAsia="zh-CN"/>
        </w:rPr>
        <w:t>重点关注预算编制、预算执行、项目绩效、政府采购等情况。</w:t>
      </w:r>
      <w:r>
        <w:rPr>
          <w:rFonts w:hint="eastAsia" w:ascii="宋体" w:hAnsi="宋体" w:eastAsia="仿宋_GB2312" w:cs="Times New Roman"/>
          <w:b w:val="0"/>
          <w:bCs w:val="0"/>
          <w:color w:val="auto"/>
          <w:sz w:val="32"/>
          <w:szCs w:val="32"/>
          <w:highlight w:val="none"/>
          <w:u w:val="none"/>
          <w:lang w:val="zh-CN"/>
        </w:rPr>
        <w:t>审计工作报告主要反映了</w:t>
      </w:r>
      <w:r>
        <w:rPr>
          <w:rFonts w:hint="eastAsia" w:ascii="宋体" w:hAnsi="宋体" w:eastAsia="仿宋_GB2312" w:cs="Times New Roman"/>
          <w:b w:val="0"/>
          <w:bCs w:val="0"/>
          <w:color w:val="auto"/>
          <w:sz w:val="32"/>
          <w:szCs w:val="32"/>
          <w:highlight w:val="none"/>
          <w:u w:val="none"/>
          <w:lang w:val="en-US" w:eastAsia="zh-CN"/>
        </w:rPr>
        <w:t>预决算编制和执行不严格</w:t>
      </w:r>
      <w:r>
        <w:rPr>
          <w:rFonts w:hint="eastAsia" w:ascii="宋体" w:hAnsi="宋体" w:eastAsia="仿宋_GB2312" w:cs="Times New Roman"/>
          <w:b w:val="0"/>
          <w:bCs w:val="0"/>
          <w:color w:val="auto"/>
          <w:sz w:val="32"/>
          <w:szCs w:val="32"/>
          <w:highlight w:val="none"/>
          <w:u w:val="none"/>
          <w:lang w:val="zh-CN"/>
        </w:rPr>
        <w:t>、</w:t>
      </w:r>
      <w:r>
        <w:rPr>
          <w:rFonts w:hint="eastAsia" w:ascii="宋体" w:hAnsi="宋体" w:eastAsia="仿宋_GB2312" w:cs="Times New Roman"/>
          <w:b w:val="0"/>
          <w:bCs w:val="0"/>
          <w:color w:val="auto"/>
          <w:sz w:val="32"/>
          <w:szCs w:val="32"/>
          <w:highlight w:val="none"/>
          <w:u w:val="none"/>
          <w:lang w:val="en-US" w:eastAsia="zh-CN"/>
        </w:rPr>
        <w:t>资金使用效益不高</w:t>
      </w:r>
      <w:r>
        <w:rPr>
          <w:rFonts w:hint="eastAsia" w:ascii="宋体" w:hAnsi="宋体" w:eastAsia="仿宋_GB2312" w:cs="Times New Roman"/>
          <w:b w:val="0"/>
          <w:bCs w:val="0"/>
          <w:color w:val="auto"/>
          <w:sz w:val="32"/>
          <w:szCs w:val="32"/>
          <w:highlight w:val="none"/>
          <w:u w:val="none"/>
          <w:lang w:val="zh-CN"/>
        </w:rPr>
        <w:t>、</w:t>
      </w:r>
      <w:r>
        <w:rPr>
          <w:rFonts w:hint="eastAsia" w:ascii="宋体" w:hAnsi="宋体" w:eastAsia="仿宋_GB2312" w:cs="Times New Roman"/>
          <w:b w:val="0"/>
          <w:bCs w:val="0"/>
          <w:color w:val="auto"/>
          <w:sz w:val="32"/>
          <w:szCs w:val="32"/>
          <w:highlight w:val="none"/>
          <w:u w:val="none"/>
          <w:lang w:val="en-US" w:eastAsia="zh-CN"/>
        </w:rPr>
        <w:t>政府购买服务或委托外包事项管理不规范</w:t>
      </w:r>
      <w:r>
        <w:rPr>
          <w:rFonts w:hint="eastAsia" w:ascii="宋体" w:hAnsi="宋体" w:eastAsia="仿宋_GB2312" w:cs="Times New Roman"/>
          <w:b w:val="0"/>
          <w:bCs w:val="0"/>
          <w:color w:val="auto"/>
          <w:sz w:val="32"/>
          <w:szCs w:val="32"/>
          <w:highlight w:val="none"/>
          <w:u w:val="none"/>
          <w:lang w:val="zh-CN"/>
        </w:rPr>
        <w:t>、</w:t>
      </w:r>
      <w:r>
        <w:rPr>
          <w:rFonts w:hint="eastAsia" w:ascii="宋体" w:hAnsi="宋体" w:eastAsia="仿宋_GB2312" w:cs="Times New Roman"/>
          <w:b w:val="0"/>
          <w:bCs w:val="0"/>
          <w:color w:val="auto"/>
          <w:sz w:val="32"/>
          <w:szCs w:val="32"/>
          <w:highlight w:val="none"/>
          <w:u w:val="none"/>
          <w:lang w:val="en-US" w:eastAsia="zh-CN"/>
        </w:rPr>
        <w:t>内控制度制定、执行不严谨</w:t>
      </w:r>
      <w:r>
        <w:rPr>
          <w:rFonts w:hint="eastAsia" w:ascii="宋体" w:hAnsi="宋体" w:eastAsia="仿宋_GB2312" w:cs="Times New Roman"/>
          <w:b w:val="0"/>
          <w:bCs w:val="0"/>
          <w:color w:val="auto"/>
          <w:sz w:val="32"/>
          <w:szCs w:val="32"/>
          <w:highlight w:val="none"/>
          <w:u w:val="none"/>
          <w:lang w:val="zh-CN"/>
        </w:rPr>
        <w:t>、</w:t>
      </w:r>
      <w:r>
        <w:rPr>
          <w:rFonts w:hint="eastAsia" w:ascii="宋体" w:hAnsi="宋体" w:eastAsia="仿宋_GB2312" w:cs="Times New Roman"/>
          <w:b w:val="0"/>
          <w:bCs w:val="0"/>
          <w:color w:val="auto"/>
          <w:sz w:val="32"/>
          <w:szCs w:val="32"/>
          <w:highlight w:val="none"/>
          <w:u w:val="none"/>
          <w:lang w:val="en-US" w:eastAsia="zh-CN"/>
        </w:rPr>
        <w:t>采购管理仍需加强</w:t>
      </w:r>
      <w:r>
        <w:rPr>
          <w:rFonts w:hint="eastAsia" w:ascii="宋体" w:hAnsi="宋体" w:eastAsia="仿宋_GB2312" w:cs="Times New Roman"/>
          <w:b w:val="0"/>
          <w:bCs w:val="0"/>
          <w:color w:val="auto"/>
          <w:sz w:val="32"/>
          <w:szCs w:val="32"/>
          <w:highlight w:val="none"/>
          <w:u w:val="none"/>
          <w:lang w:val="zh-CN"/>
        </w:rPr>
        <w:t>等问题，更加全面、充分地揭示了预算管理中的短板和薄弱环节，推动相关单位进一步加强预算管理，强化预算刚性约束</w:t>
      </w:r>
      <w:r>
        <w:rPr>
          <w:rFonts w:hint="eastAsia" w:ascii="宋体" w:hAnsi="宋体" w:cs="Times New Roman"/>
          <w:b w:val="0"/>
          <w:bCs w:val="0"/>
          <w:color w:val="auto"/>
          <w:sz w:val="32"/>
          <w:szCs w:val="32"/>
          <w:highlight w:val="none"/>
          <w:u w:val="none"/>
          <w:lang w:val="zh-CN"/>
        </w:rPr>
        <w:t>，</w:t>
      </w:r>
      <w:r>
        <w:rPr>
          <w:rFonts w:hint="eastAsia" w:ascii="宋体" w:hAnsi="宋体" w:eastAsia="仿宋_GB2312" w:cs="Times New Roman"/>
          <w:b w:val="0"/>
          <w:bCs w:val="0"/>
          <w:color w:val="auto"/>
          <w:sz w:val="32"/>
          <w:szCs w:val="32"/>
          <w:highlight w:val="none"/>
          <w:u w:val="none"/>
          <w:lang w:val="zh-CN"/>
        </w:rPr>
        <w:t>促进提升财政资源配置效率和资金使用效益。</w:t>
      </w:r>
    </w:p>
    <w:p>
      <w:pPr>
        <w:keepNext w:val="0"/>
        <w:keepLines w:val="0"/>
        <w:pageBreakBefore w:val="0"/>
        <w:widowControl/>
        <w:numPr>
          <w:ilvl w:val="0"/>
          <w:numId w:val="0"/>
        </w:numPr>
        <w:pBdr>
          <w:bottom w:val="single" w:color="FFFFFF" w:sz="4" w:space="31"/>
        </w:pBdr>
        <w:kinsoku/>
        <w:wordWrap/>
        <w:overflowPunct/>
        <w:topLinePunct w:val="0"/>
        <w:autoSpaceDE/>
        <w:autoSpaceDN/>
        <w:bidi w:val="0"/>
        <w:adjustRightInd w:val="0"/>
        <w:snapToGrid w:val="0"/>
        <w:spacing w:line="560" w:lineRule="exact"/>
        <w:ind w:left="0" w:leftChars="0" w:firstLine="640" w:firstLineChars="200"/>
        <w:textAlignment w:val="baseline"/>
        <w:outlineLvl w:val="1"/>
        <w:rPr>
          <w:rFonts w:hint="eastAsia" w:ascii="宋体" w:hAnsi="宋体" w:eastAsia="仿宋_GB2312" w:cs="Times New Roman"/>
          <w:b w:val="0"/>
          <w:bCs w:val="0"/>
          <w:color w:val="auto"/>
          <w:sz w:val="32"/>
          <w:szCs w:val="32"/>
          <w:highlight w:val="none"/>
          <w:u w:val="none"/>
          <w:lang w:val="en-US" w:eastAsia="zh-CN"/>
        </w:rPr>
      </w:pPr>
      <w:r>
        <w:rPr>
          <w:rFonts w:hint="eastAsia" w:ascii="宋体" w:hAnsi="宋体" w:eastAsia="仿宋_GB2312" w:cs="Times New Roman"/>
          <w:b w:val="0"/>
          <w:bCs w:val="0"/>
          <w:color w:val="auto"/>
          <w:kern w:val="2"/>
          <w:sz w:val="32"/>
          <w:szCs w:val="32"/>
          <w:highlight w:val="none"/>
          <w:u w:val="none"/>
          <w:lang w:val="en-US" w:eastAsia="zh-CN" w:bidi="ar-SA"/>
        </w:rPr>
        <w:t>三是持续加强国有资产管理审计，客观反映管理使用情况，促进国有资产更好发挥效益。贯彻落实《审计法》要求，加大对国有资产审计监督力度，报告区属国有企业、行政事业和自然资源等3类国有资产管理使用情况，促进提升国有资产管理效能。区级行政事业单位能够完善资产管理制度，规范管理程序，逐步提升资产管理效率；相关单位能够履行自然资源管理和生态环境保护相关职责，</w:t>
      </w:r>
      <w:r>
        <w:rPr>
          <w:rFonts w:hint="eastAsia" w:ascii="宋体" w:hAnsi="宋体" w:eastAsia="仿宋_GB2312" w:cs="Times New Roman"/>
          <w:b w:val="0"/>
          <w:bCs w:val="0"/>
          <w:color w:val="auto"/>
          <w:sz w:val="32"/>
          <w:szCs w:val="32"/>
          <w:highlight w:val="none"/>
          <w:u w:val="none"/>
          <w:lang w:val="en-US" w:eastAsia="zh-CN"/>
        </w:rPr>
        <w:t>生态环境进一步改善。在充分肯定成绩的同时，报告也揭示了资产权属与基础管理存在漏洞、资产管理制度制定、执行不规范等问题。</w:t>
      </w:r>
    </w:p>
    <w:p>
      <w:pPr>
        <w:keepNext w:val="0"/>
        <w:keepLines w:val="0"/>
        <w:pageBreakBefore w:val="0"/>
        <w:widowControl/>
        <w:numPr>
          <w:ilvl w:val="0"/>
          <w:numId w:val="0"/>
        </w:numPr>
        <w:pBdr>
          <w:bottom w:val="single" w:color="FFFFFF" w:sz="4" w:space="31"/>
        </w:pBdr>
        <w:kinsoku/>
        <w:wordWrap/>
        <w:overflowPunct/>
        <w:topLinePunct w:val="0"/>
        <w:autoSpaceDE/>
        <w:autoSpaceDN/>
        <w:bidi w:val="0"/>
        <w:adjustRightInd w:val="0"/>
        <w:snapToGrid w:val="0"/>
        <w:spacing w:line="560" w:lineRule="exact"/>
        <w:ind w:left="0" w:leftChars="0" w:firstLine="640" w:firstLineChars="200"/>
        <w:textAlignment w:val="baseline"/>
        <w:outlineLvl w:val="1"/>
        <w:rPr>
          <w:rFonts w:hint="eastAsia" w:ascii="宋体" w:hAnsi="宋体" w:eastAsia="仿宋_GB2312" w:cs="Times New Roman"/>
          <w:b w:val="0"/>
          <w:bCs w:val="0"/>
          <w:color w:val="auto"/>
          <w:kern w:val="2"/>
          <w:sz w:val="32"/>
          <w:szCs w:val="32"/>
          <w:highlight w:val="none"/>
          <w:u w:val="none"/>
          <w:lang w:val="en-US" w:eastAsia="zh-CN" w:bidi="ar-SA"/>
        </w:rPr>
      </w:pPr>
      <w:r>
        <w:rPr>
          <w:rFonts w:hint="eastAsia" w:ascii="宋体" w:hAnsi="宋体" w:eastAsia="仿宋_GB2312" w:cs="Times New Roman"/>
          <w:b w:val="0"/>
          <w:bCs w:val="0"/>
          <w:color w:val="auto"/>
          <w:kern w:val="2"/>
          <w:sz w:val="32"/>
          <w:szCs w:val="32"/>
          <w:highlight w:val="none"/>
          <w:u w:val="none"/>
          <w:lang w:val="en-US" w:eastAsia="zh-CN" w:bidi="ar-SA"/>
        </w:rPr>
        <w:t>四、坚持科学规范开展审计，不断提升审计监督质效。审计质量是审计工作的“生命线”，是审计权威性和公信力的重要保证。今年，审计机关狠抓审计项目全流程审计质量控制，把研究作为前置准备，立项前充分了解行业规划、预算安排、项目计划，科学确定审计项目。加强审计项目实施研究。在揭示问题的同时，深入剖析问题背后的体制机制性缺陷、制度性漏洞，如</w:t>
      </w:r>
      <w:r>
        <w:rPr>
          <w:rFonts w:hint="eastAsia" w:ascii="宋体" w:hAnsi="宋体" w:eastAsia="仿宋_GB2312" w:cs="Times New Roman"/>
          <w:b w:val="0"/>
          <w:bCs w:val="0"/>
          <w:color w:val="auto"/>
          <w:kern w:val="2"/>
          <w:sz w:val="32"/>
          <w:szCs w:val="32"/>
          <w:highlight w:val="none"/>
          <w:u w:val="none"/>
          <w:lang w:val="zh-CN" w:eastAsia="zh-CN" w:bidi="ar-SA"/>
        </w:rPr>
        <w:t>街道政府购买服务规范运行审计</w:t>
      </w:r>
      <w:r>
        <w:rPr>
          <w:rFonts w:hint="eastAsia" w:ascii="宋体" w:hAnsi="宋体" w:eastAsia="仿宋_GB2312" w:cs="Times New Roman"/>
          <w:b w:val="0"/>
          <w:bCs w:val="0"/>
          <w:color w:val="auto"/>
          <w:kern w:val="2"/>
          <w:sz w:val="32"/>
          <w:szCs w:val="32"/>
          <w:highlight w:val="none"/>
          <w:u w:val="none"/>
          <w:lang w:val="en-US" w:eastAsia="zh-CN" w:bidi="ar-SA"/>
        </w:rPr>
        <w:t>反映了政府购买服务监管不到位、</w:t>
      </w:r>
      <w:r>
        <w:rPr>
          <w:rFonts w:hint="eastAsia" w:ascii="仿宋_GB2312" w:hAnsi="仿宋_GB2312" w:eastAsia="仿宋_GB2312" w:cs="仿宋_GB2312"/>
          <w:sz w:val="32"/>
          <w:szCs w:val="32"/>
          <w:highlight w:val="none"/>
          <w:lang w:eastAsia="zh-CN"/>
        </w:rPr>
        <w:t>采购管理不到位</w:t>
      </w:r>
      <w:r>
        <w:rPr>
          <w:rFonts w:hint="eastAsia" w:ascii="宋体" w:hAnsi="宋体" w:eastAsia="仿宋_GB2312" w:cs="Times New Roman"/>
          <w:b w:val="0"/>
          <w:bCs w:val="0"/>
          <w:color w:val="auto"/>
          <w:kern w:val="2"/>
          <w:sz w:val="32"/>
          <w:szCs w:val="32"/>
          <w:highlight w:val="none"/>
          <w:u w:val="none"/>
          <w:lang w:val="en-US" w:eastAsia="zh-CN" w:bidi="ar-SA"/>
        </w:rPr>
        <w:t>，说明仍有个别单位在政策理解和执行中存在偏差。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textAlignment w:val="baseline"/>
        <w:outlineLvl w:val="1"/>
        <w:rPr>
          <w:rFonts w:hint="default" w:ascii="宋体" w:hAnsi="宋体" w:eastAsia="仿宋_GB2312" w:cs="Times New Roman"/>
          <w:b w:val="0"/>
          <w:bCs w:val="0"/>
          <w:color w:val="auto"/>
          <w:kern w:val="2"/>
          <w:sz w:val="32"/>
          <w:szCs w:val="32"/>
          <w:highlight w:val="none"/>
          <w:u w:val="none"/>
          <w:lang w:val="en-US" w:eastAsia="zh-CN" w:bidi="ar-SA"/>
        </w:rPr>
      </w:pPr>
      <w:r>
        <w:rPr>
          <w:rFonts w:hint="eastAsia" w:ascii="宋体" w:hAnsi="宋体" w:eastAsia="仿宋_GB2312" w:cs="Times New Roman"/>
          <w:b w:val="0"/>
          <w:bCs w:val="0"/>
          <w:color w:val="auto"/>
          <w:kern w:val="2"/>
          <w:sz w:val="32"/>
          <w:szCs w:val="32"/>
          <w:highlight w:val="none"/>
          <w:u w:val="none"/>
          <w:lang w:val="en-US" w:eastAsia="zh-CN" w:bidi="ar-SA"/>
        </w:rPr>
        <w:t>五、审计整改总体格局日益完善，进一步彰显权威高效要求。审计机关在工作中坚持边审计、边建议、边督促整改，部分问题在审计过程中已完成整改，审计整改权威进一步树立、质效进一步提升。进一步健全审计整改长效机制，压紧压实相关主管部门和被审计单位整改责任，把审计整改与完善内部治理、强化行业监管结合起来，促进堵塞管理漏洞、提高管理绩效，防止屡审屡犯、反弹回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textAlignment w:val="baseline"/>
        <w:outlineLvl w:val="1"/>
        <w:rPr>
          <w:rFonts w:hint="default" w:ascii="宋体" w:hAnsi="宋体" w:eastAsia="仿宋_GB2312" w:cs="Times New Roman"/>
          <w:b w:val="0"/>
          <w:bCs w:val="0"/>
          <w:color w:val="auto"/>
          <w:kern w:val="2"/>
          <w:sz w:val="32"/>
          <w:szCs w:val="32"/>
          <w:highlight w:val="none"/>
          <w:u w:val="none"/>
          <w:lang w:val="en-US" w:eastAsia="zh-CN" w:bidi="ar-SA"/>
        </w:rPr>
      </w:pPr>
      <w:r>
        <w:rPr>
          <w:rFonts w:hint="eastAsia" w:ascii="宋体" w:hAnsi="宋体" w:eastAsia="仿宋_GB2312" w:cs="Times New Roman"/>
          <w:b w:val="0"/>
          <w:bCs w:val="0"/>
          <w:color w:val="auto"/>
          <w:kern w:val="2"/>
          <w:sz w:val="32"/>
          <w:szCs w:val="32"/>
          <w:highlight w:val="none"/>
          <w:u w:val="none"/>
          <w:lang w:val="en-US" w:eastAsia="zh-CN" w:bidi="ar-SA"/>
        </w:rPr>
        <w:t>下一步，区审计局将按照区委、区政府的部署要求和区人大常委会的审议意见，加大对审计工作报告反映问题整改情况的跟踪督促检查力度。全面整改情况将于年底前依法公告。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textAlignment w:val="auto"/>
        <w:outlineLvl w:val="9"/>
        <w:rPr>
          <w:rFonts w:hint="eastAsia" w:ascii="宋体" w:hAnsi="宋体" w:eastAsia="仿宋_GB2312" w:cs="Times New Roman"/>
          <w:b w:val="0"/>
          <w:bCs w:val="0"/>
          <w:color w:val="auto"/>
          <w:sz w:val="32"/>
          <w:szCs w:val="32"/>
          <w:highlight w:val="none"/>
          <w:u w:val="none"/>
          <w:lang w:val="en-US" w:eastAsia="zh-CN"/>
        </w:rPr>
      </w:pPr>
    </w:p>
    <w:sectPr>
      <w:footerReference r:id="rId3" w:type="default"/>
      <w:pgSz w:w="11906" w:h="16838"/>
      <w:pgMar w:top="2098" w:right="1474" w:bottom="1984" w:left="1587" w:header="850"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wODA2MjcyOWQxZDgwYmZiMTM5OTk2MjZhZmMyMzAifQ=="/>
  </w:docVars>
  <w:rsids>
    <w:rsidRoot w:val="00000000"/>
    <w:rsid w:val="00083919"/>
    <w:rsid w:val="00DE7B94"/>
    <w:rsid w:val="01202E9F"/>
    <w:rsid w:val="012D1E96"/>
    <w:rsid w:val="01400398"/>
    <w:rsid w:val="014640DC"/>
    <w:rsid w:val="017B11E4"/>
    <w:rsid w:val="01C42B8B"/>
    <w:rsid w:val="027D0EB3"/>
    <w:rsid w:val="03256B79"/>
    <w:rsid w:val="03EE2141"/>
    <w:rsid w:val="03F85DF0"/>
    <w:rsid w:val="043D6C25"/>
    <w:rsid w:val="045B63A0"/>
    <w:rsid w:val="047D369E"/>
    <w:rsid w:val="04A07EA0"/>
    <w:rsid w:val="04CB7AB4"/>
    <w:rsid w:val="04F441DD"/>
    <w:rsid w:val="04F76DD4"/>
    <w:rsid w:val="05453FE3"/>
    <w:rsid w:val="05632BF5"/>
    <w:rsid w:val="059A4270"/>
    <w:rsid w:val="05A52CD4"/>
    <w:rsid w:val="05B526C2"/>
    <w:rsid w:val="05DD710F"/>
    <w:rsid w:val="05E530D0"/>
    <w:rsid w:val="05EE0E5B"/>
    <w:rsid w:val="05EF6B3E"/>
    <w:rsid w:val="06205282"/>
    <w:rsid w:val="06277B8D"/>
    <w:rsid w:val="06993C7E"/>
    <w:rsid w:val="06A64C35"/>
    <w:rsid w:val="07594DD3"/>
    <w:rsid w:val="076410C3"/>
    <w:rsid w:val="07F1189A"/>
    <w:rsid w:val="08056409"/>
    <w:rsid w:val="08103071"/>
    <w:rsid w:val="08144587"/>
    <w:rsid w:val="086679C8"/>
    <w:rsid w:val="08B457E7"/>
    <w:rsid w:val="091617B1"/>
    <w:rsid w:val="094B1630"/>
    <w:rsid w:val="097D2529"/>
    <w:rsid w:val="09AB2443"/>
    <w:rsid w:val="09AD2157"/>
    <w:rsid w:val="0AFB34F9"/>
    <w:rsid w:val="0AFC5AB9"/>
    <w:rsid w:val="0B325009"/>
    <w:rsid w:val="0B4B087E"/>
    <w:rsid w:val="0BEE20DC"/>
    <w:rsid w:val="0BFA30B5"/>
    <w:rsid w:val="0C3C77C2"/>
    <w:rsid w:val="0C6E1671"/>
    <w:rsid w:val="0C804552"/>
    <w:rsid w:val="0C852349"/>
    <w:rsid w:val="0CCD48BE"/>
    <w:rsid w:val="0CF04635"/>
    <w:rsid w:val="0DA72958"/>
    <w:rsid w:val="0DC938E4"/>
    <w:rsid w:val="0DEC53D8"/>
    <w:rsid w:val="0DF30354"/>
    <w:rsid w:val="0DF74345"/>
    <w:rsid w:val="0DFE2EE2"/>
    <w:rsid w:val="0E211365"/>
    <w:rsid w:val="0E4312DC"/>
    <w:rsid w:val="0E7E1404"/>
    <w:rsid w:val="0EED0CB1"/>
    <w:rsid w:val="102F3975"/>
    <w:rsid w:val="10375178"/>
    <w:rsid w:val="1083539F"/>
    <w:rsid w:val="10AB3168"/>
    <w:rsid w:val="10F15FB3"/>
    <w:rsid w:val="110F1949"/>
    <w:rsid w:val="11201E87"/>
    <w:rsid w:val="115D412C"/>
    <w:rsid w:val="11F87262"/>
    <w:rsid w:val="11FF19BD"/>
    <w:rsid w:val="1202371C"/>
    <w:rsid w:val="12674668"/>
    <w:rsid w:val="12D037F8"/>
    <w:rsid w:val="13345FCF"/>
    <w:rsid w:val="13CF478A"/>
    <w:rsid w:val="13D529D6"/>
    <w:rsid w:val="14106DC1"/>
    <w:rsid w:val="14155FFA"/>
    <w:rsid w:val="144B2281"/>
    <w:rsid w:val="144F1C55"/>
    <w:rsid w:val="14614856"/>
    <w:rsid w:val="146C51D7"/>
    <w:rsid w:val="14D90A44"/>
    <w:rsid w:val="14F96B98"/>
    <w:rsid w:val="14FC3F92"/>
    <w:rsid w:val="15233C64"/>
    <w:rsid w:val="152734FA"/>
    <w:rsid w:val="15804BC3"/>
    <w:rsid w:val="15834320"/>
    <w:rsid w:val="15A1394C"/>
    <w:rsid w:val="160A4336"/>
    <w:rsid w:val="160B549D"/>
    <w:rsid w:val="1632283F"/>
    <w:rsid w:val="163D0008"/>
    <w:rsid w:val="167D201D"/>
    <w:rsid w:val="16B60519"/>
    <w:rsid w:val="16CE0B7D"/>
    <w:rsid w:val="17176494"/>
    <w:rsid w:val="172D48D7"/>
    <w:rsid w:val="17497230"/>
    <w:rsid w:val="17731CE3"/>
    <w:rsid w:val="1797590F"/>
    <w:rsid w:val="17B15508"/>
    <w:rsid w:val="17FB4561"/>
    <w:rsid w:val="18B24E72"/>
    <w:rsid w:val="18BA03EC"/>
    <w:rsid w:val="19242EBC"/>
    <w:rsid w:val="192B33A3"/>
    <w:rsid w:val="192C3C0C"/>
    <w:rsid w:val="19376A6C"/>
    <w:rsid w:val="19904744"/>
    <w:rsid w:val="19A5599D"/>
    <w:rsid w:val="19B26295"/>
    <w:rsid w:val="19C31ED3"/>
    <w:rsid w:val="19E164BA"/>
    <w:rsid w:val="19E5593D"/>
    <w:rsid w:val="1A054770"/>
    <w:rsid w:val="1A9516F2"/>
    <w:rsid w:val="1B074DBE"/>
    <w:rsid w:val="1B880C21"/>
    <w:rsid w:val="1BB16F47"/>
    <w:rsid w:val="1BE13414"/>
    <w:rsid w:val="1BE54009"/>
    <w:rsid w:val="1BF92BC2"/>
    <w:rsid w:val="1BFD7F6D"/>
    <w:rsid w:val="1C5A308F"/>
    <w:rsid w:val="1C6C3F7E"/>
    <w:rsid w:val="1CA16557"/>
    <w:rsid w:val="1CEE68B6"/>
    <w:rsid w:val="1DAB201B"/>
    <w:rsid w:val="1DFE4BD5"/>
    <w:rsid w:val="1EF001CF"/>
    <w:rsid w:val="1EF34658"/>
    <w:rsid w:val="1F4B1DA5"/>
    <w:rsid w:val="1F4C4682"/>
    <w:rsid w:val="1FA871F0"/>
    <w:rsid w:val="20117C39"/>
    <w:rsid w:val="201B3E66"/>
    <w:rsid w:val="21310D1B"/>
    <w:rsid w:val="213D4BC5"/>
    <w:rsid w:val="216435EB"/>
    <w:rsid w:val="217421F1"/>
    <w:rsid w:val="218E7F84"/>
    <w:rsid w:val="21D908F7"/>
    <w:rsid w:val="22BF36AA"/>
    <w:rsid w:val="22FA64C2"/>
    <w:rsid w:val="231F4DAE"/>
    <w:rsid w:val="232A7B8B"/>
    <w:rsid w:val="23834AD2"/>
    <w:rsid w:val="2393541D"/>
    <w:rsid w:val="23CB0B1B"/>
    <w:rsid w:val="23CB5DFA"/>
    <w:rsid w:val="23DC66CD"/>
    <w:rsid w:val="24031718"/>
    <w:rsid w:val="24224138"/>
    <w:rsid w:val="24414F55"/>
    <w:rsid w:val="244E625C"/>
    <w:rsid w:val="24897B3B"/>
    <w:rsid w:val="249B5576"/>
    <w:rsid w:val="24CC06A1"/>
    <w:rsid w:val="24D528C8"/>
    <w:rsid w:val="24DF529A"/>
    <w:rsid w:val="25342EB8"/>
    <w:rsid w:val="25A45B22"/>
    <w:rsid w:val="25DB2AE9"/>
    <w:rsid w:val="26A52D3E"/>
    <w:rsid w:val="26E21245"/>
    <w:rsid w:val="270B4A53"/>
    <w:rsid w:val="272E1912"/>
    <w:rsid w:val="277005AD"/>
    <w:rsid w:val="27C82E0F"/>
    <w:rsid w:val="27D233F6"/>
    <w:rsid w:val="2865484F"/>
    <w:rsid w:val="28AD5E7E"/>
    <w:rsid w:val="28BF41F7"/>
    <w:rsid w:val="28DE3A87"/>
    <w:rsid w:val="29C64E6E"/>
    <w:rsid w:val="29E001BB"/>
    <w:rsid w:val="2A787BC3"/>
    <w:rsid w:val="2B2A0E31"/>
    <w:rsid w:val="2B3312DE"/>
    <w:rsid w:val="2B391645"/>
    <w:rsid w:val="2B98304D"/>
    <w:rsid w:val="2BA06E71"/>
    <w:rsid w:val="2BA50E41"/>
    <w:rsid w:val="2BC36EFA"/>
    <w:rsid w:val="2BD967CE"/>
    <w:rsid w:val="2BFB4B4C"/>
    <w:rsid w:val="2CDC13EF"/>
    <w:rsid w:val="2D04529F"/>
    <w:rsid w:val="2D1A5C83"/>
    <w:rsid w:val="2D204585"/>
    <w:rsid w:val="2D643359"/>
    <w:rsid w:val="2D71422B"/>
    <w:rsid w:val="2D8566DE"/>
    <w:rsid w:val="2DDA5E4B"/>
    <w:rsid w:val="2E1F2D74"/>
    <w:rsid w:val="2E4B562C"/>
    <w:rsid w:val="2E80471D"/>
    <w:rsid w:val="2EC418A8"/>
    <w:rsid w:val="2EC4391B"/>
    <w:rsid w:val="2F584E16"/>
    <w:rsid w:val="2F9F4D71"/>
    <w:rsid w:val="2FA07EE4"/>
    <w:rsid w:val="2FA86D99"/>
    <w:rsid w:val="2FB725D1"/>
    <w:rsid w:val="2FB90FA6"/>
    <w:rsid w:val="2FE72D81"/>
    <w:rsid w:val="2FEC2319"/>
    <w:rsid w:val="30135F84"/>
    <w:rsid w:val="303A0A0C"/>
    <w:rsid w:val="30766339"/>
    <w:rsid w:val="30AA7103"/>
    <w:rsid w:val="30D456D5"/>
    <w:rsid w:val="30E262DA"/>
    <w:rsid w:val="31005BEB"/>
    <w:rsid w:val="312C54B2"/>
    <w:rsid w:val="316177D1"/>
    <w:rsid w:val="3163741B"/>
    <w:rsid w:val="33072028"/>
    <w:rsid w:val="33232C4B"/>
    <w:rsid w:val="337050F9"/>
    <w:rsid w:val="338673F1"/>
    <w:rsid w:val="33971EAE"/>
    <w:rsid w:val="33A97DD7"/>
    <w:rsid w:val="33C87AB6"/>
    <w:rsid w:val="33E24718"/>
    <w:rsid w:val="33E459A5"/>
    <w:rsid w:val="349A75F8"/>
    <w:rsid w:val="34E157A5"/>
    <w:rsid w:val="34F44C30"/>
    <w:rsid w:val="350440BF"/>
    <w:rsid w:val="355552CD"/>
    <w:rsid w:val="356A3F23"/>
    <w:rsid w:val="357566C2"/>
    <w:rsid w:val="361D359E"/>
    <w:rsid w:val="36B30238"/>
    <w:rsid w:val="36E64092"/>
    <w:rsid w:val="36EB0EB3"/>
    <w:rsid w:val="36ED48A0"/>
    <w:rsid w:val="36F806AC"/>
    <w:rsid w:val="371574BB"/>
    <w:rsid w:val="37190BC6"/>
    <w:rsid w:val="37194233"/>
    <w:rsid w:val="3781601A"/>
    <w:rsid w:val="378E2D18"/>
    <w:rsid w:val="37E24D33"/>
    <w:rsid w:val="37ED26D7"/>
    <w:rsid w:val="38237904"/>
    <w:rsid w:val="38481119"/>
    <w:rsid w:val="38D8504C"/>
    <w:rsid w:val="38F61CA6"/>
    <w:rsid w:val="394965D9"/>
    <w:rsid w:val="396F4F47"/>
    <w:rsid w:val="39A052B9"/>
    <w:rsid w:val="3A0E0BF9"/>
    <w:rsid w:val="3A2C203E"/>
    <w:rsid w:val="3A8A77C7"/>
    <w:rsid w:val="3AA32719"/>
    <w:rsid w:val="3AB37AB5"/>
    <w:rsid w:val="3AE16320"/>
    <w:rsid w:val="3AF24F9D"/>
    <w:rsid w:val="3AF61FA5"/>
    <w:rsid w:val="3B2C7764"/>
    <w:rsid w:val="3B304812"/>
    <w:rsid w:val="3B36100C"/>
    <w:rsid w:val="3B9D5C20"/>
    <w:rsid w:val="3BE07E5D"/>
    <w:rsid w:val="3BE455FD"/>
    <w:rsid w:val="3BE7454D"/>
    <w:rsid w:val="3BED565D"/>
    <w:rsid w:val="3BF85ABC"/>
    <w:rsid w:val="3BFF49CE"/>
    <w:rsid w:val="3C462BF6"/>
    <w:rsid w:val="3C6B187A"/>
    <w:rsid w:val="3C993525"/>
    <w:rsid w:val="3CEB75EB"/>
    <w:rsid w:val="3CF439AC"/>
    <w:rsid w:val="3D210DFB"/>
    <w:rsid w:val="3D2A36EB"/>
    <w:rsid w:val="3D9646D4"/>
    <w:rsid w:val="3DA823F9"/>
    <w:rsid w:val="3DDF0AAA"/>
    <w:rsid w:val="3DEF7E8E"/>
    <w:rsid w:val="3E5C76CC"/>
    <w:rsid w:val="3EA70758"/>
    <w:rsid w:val="3EC75217"/>
    <w:rsid w:val="3ED951C1"/>
    <w:rsid w:val="3F403283"/>
    <w:rsid w:val="3F5B3E28"/>
    <w:rsid w:val="3F82178F"/>
    <w:rsid w:val="3F8F762D"/>
    <w:rsid w:val="3FAB22D0"/>
    <w:rsid w:val="3FB44E3F"/>
    <w:rsid w:val="3FBC2D17"/>
    <w:rsid w:val="4073794A"/>
    <w:rsid w:val="412E0C6D"/>
    <w:rsid w:val="41386C98"/>
    <w:rsid w:val="417E5BAB"/>
    <w:rsid w:val="41914EBE"/>
    <w:rsid w:val="420A5259"/>
    <w:rsid w:val="42650B37"/>
    <w:rsid w:val="42C44EFE"/>
    <w:rsid w:val="42F500EF"/>
    <w:rsid w:val="42F8373B"/>
    <w:rsid w:val="437C611B"/>
    <w:rsid w:val="4395431C"/>
    <w:rsid w:val="43DB5A08"/>
    <w:rsid w:val="43DF736D"/>
    <w:rsid w:val="43F263DD"/>
    <w:rsid w:val="43FF25CC"/>
    <w:rsid w:val="444E3F5B"/>
    <w:rsid w:val="44C76090"/>
    <w:rsid w:val="4528489A"/>
    <w:rsid w:val="45791C36"/>
    <w:rsid w:val="46291DE8"/>
    <w:rsid w:val="46C36136"/>
    <w:rsid w:val="46FD57C4"/>
    <w:rsid w:val="476668C9"/>
    <w:rsid w:val="476C382D"/>
    <w:rsid w:val="48430F31"/>
    <w:rsid w:val="48766D91"/>
    <w:rsid w:val="48D433F2"/>
    <w:rsid w:val="48DF209C"/>
    <w:rsid w:val="48F50EEE"/>
    <w:rsid w:val="48F51B80"/>
    <w:rsid w:val="491447AA"/>
    <w:rsid w:val="49364693"/>
    <w:rsid w:val="496F33D3"/>
    <w:rsid w:val="49E922BC"/>
    <w:rsid w:val="49FC0652"/>
    <w:rsid w:val="4A0C2FCC"/>
    <w:rsid w:val="4A6022F2"/>
    <w:rsid w:val="4AAA0730"/>
    <w:rsid w:val="4AEC1DD8"/>
    <w:rsid w:val="4B0836CE"/>
    <w:rsid w:val="4B94283C"/>
    <w:rsid w:val="4BFB0965"/>
    <w:rsid w:val="4C03237E"/>
    <w:rsid w:val="4C397B49"/>
    <w:rsid w:val="4C52192A"/>
    <w:rsid w:val="4C983FC5"/>
    <w:rsid w:val="4CA52567"/>
    <w:rsid w:val="4CAB1095"/>
    <w:rsid w:val="4CE10844"/>
    <w:rsid w:val="4CE136D2"/>
    <w:rsid w:val="4CE34708"/>
    <w:rsid w:val="4D4D4947"/>
    <w:rsid w:val="4DFA75E6"/>
    <w:rsid w:val="4E214614"/>
    <w:rsid w:val="4EAD4F32"/>
    <w:rsid w:val="4FC63269"/>
    <w:rsid w:val="4FC7713D"/>
    <w:rsid w:val="4FD87CD3"/>
    <w:rsid w:val="5043693E"/>
    <w:rsid w:val="5055531F"/>
    <w:rsid w:val="50772144"/>
    <w:rsid w:val="50B37886"/>
    <w:rsid w:val="513A16D5"/>
    <w:rsid w:val="515F08C1"/>
    <w:rsid w:val="516D65C3"/>
    <w:rsid w:val="51E50315"/>
    <w:rsid w:val="51F77960"/>
    <w:rsid w:val="52026C0D"/>
    <w:rsid w:val="531F708B"/>
    <w:rsid w:val="53630D86"/>
    <w:rsid w:val="5371691A"/>
    <w:rsid w:val="53AB7A48"/>
    <w:rsid w:val="53DF42D1"/>
    <w:rsid w:val="54161C73"/>
    <w:rsid w:val="54700E3E"/>
    <w:rsid w:val="549110BC"/>
    <w:rsid w:val="549113B3"/>
    <w:rsid w:val="54F77CF7"/>
    <w:rsid w:val="55047236"/>
    <w:rsid w:val="55060354"/>
    <w:rsid w:val="55132900"/>
    <w:rsid w:val="552F7491"/>
    <w:rsid w:val="555D5DAC"/>
    <w:rsid w:val="55B45B88"/>
    <w:rsid w:val="56202B6C"/>
    <w:rsid w:val="56B32F08"/>
    <w:rsid w:val="571C3CF1"/>
    <w:rsid w:val="5730033F"/>
    <w:rsid w:val="57415F32"/>
    <w:rsid w:val="57A40D5C"/>
    <w:rsid w:val="587B1EB6"/>
    <w:rsid w:val="58CB176E"/>
    <w:rsid w:val="592050D3"/>
    <w:rsid w:val="59737978"/>
    <w:rsid w:val="59B07DE2"/>
    <w:rsid w:val="59CF4D9E"/>
    <w:rsid w:val="5A0F41EE"/>
    <w:rsid w:val="5A20541D"/>
    <w:rsid w:val="5A6F4745"/>
    <w:rsid w:val="5AE47614"/>
    <w:rsid w:val="5AFA0B77"/>
    <w:rsid w:val="5B3A26EB"/>
    <w:rsid w:val="5B3C1C49"/>
    <w:rsid w:val="5B775347"/>
    <w:rsid w:val="5B89684D"/>
    <w:rsid w:val="5B8E3BF7"/>
    <w:rsid w:val="5BA55BB8"/>
    <w:rsid w:val="5BB00510"/>
    <w:rsid w:val="5C2561EE"/>
    <w:rsid w:val="5C2802A0"/>
    <w:rsid w:val="5C4E644E"/>
    <w:rsid w:val="5C4F2557"/>
    <w:rsid w:val="5C7010B5"/>
    <w:rsid w:val="5C7834CB"/>
    <w:rsid w:val="5CA11064"/>
    <w:rsid w:val="5CDF673A"/>
    <w:rsid w:val="5D2F1393"/>
    <w:rsid w:val="5D375134"/>
    <w:rsid w:val="5D7B0BC5"/>
    <w:rsid w:val="5D922BE0"/>
    <w:rsid w:val="5DD741D7"/>
    <w:rsid w:val="5DF83FF1"/>
    <w:rsid w:val="5E19746C"/>
    <w:rsid w:val="5E575A76"/>
    <w:rsid w:val="5E782EE9"/>
    <w:rsid w:val="5EC54992"/>
    <w:rsid w:val="5F2673D4"/>
    <w:rsid w:val="5FA55479"/>
    <w:rsid w:val="5FA92E49"/>
    <w:rsid w:val="5FFF3FA5"/>
    <w:rsid w:val="607336EB"/>
    <w:rsid w:val="6095611D"/>
    <w:rsid w:val="60AF087D"/>
    <w:rsid w:val="60EA19A0"/>
    <w:rsid w:val="61841917"/>
    <w:rsid w:val="6199660B"/>
    <w:rsid w:val="623600B0"/>
    <w:rsid w:val="626330E3"/>
    <w:rsid w:val="62B1770D"/>
    <w:rsid w:val="630C4FCF"/>
    <w:rsid w:val="63211DC1"/>
    <w:rsid w:val="632716D0"/>
    <w:rsid w:val="633032C5"/>
    <w:rsid w:val="63396021"/>
    <w:rsid w:val="63BD0C3A"/>
    <w:rsid w:val="641071BA"/>
    <w:rsid w:val="64351664"/>
    <w:rsid w:val="644B7717"/>
    <w:rsid w:val="64772FD9"/>
    <w:rsid w:val="64E21E2A"/>
    <w:rsid w:val="6502427A"/>
    <w:rsid w:val="650A1380"/>
    <w:rsid w:val="658B4970"/>
    <w:rsid w:val="65DF0221"/>
    <w:rsid w:val="65F77EA2"/>
    <w:rsid w:val="662E1B7A"/>
    <w:rsid w:val="6636490F"/>
    <w:rsid w:val="66476B7B"/>
    <w:rsid w:val="66D67A41"/>
    <w:rsid w:val="66F066D4"/>
    <w:rsid w:val="671220D3"/>
    <w:rsid w:val="67473418"/>
    <w:rsid w:val="680F1E0F"/>
    <w:rsid w:val="68150768"/>
    <w:rsid w:val="681F3216"/>
    <w:rsid w:val="68BA4E6C"/>
    <w:rsid w:val="68D67545"/>
    <w:rsid w:val="68FD5F3D"/>
    <w:rsid w:val="693E5A9D"/>
    <w:rsid w:val="696C43B8"/>
    <w:rsid w:val="69E45863"/>
    <w:rsid w:val="6A0455EA"/>
    <w:rsid w:val="6A3B5729"/>
    <w:rsid w:val="6A7230F4"/>
    <w:rsid w:val="6AB04778"/>
    <w:rsid w:val="6B1A7FBB"/>
    <w:rsid w:val="6BA306E0"/>
    <w:rsid w:val="6C0B3E21"/>
    <w:rsid w:val="6CB22A29"/>
    <w:rsid w:val="6CB273CD"/>
    <w:rsid w:val="6CD636D1"/>
    <w:rsid w:val="6D42279F"/>
    <w:rsid w:val="6D5C3A9A"/>
    <w:rsid w:val="6E776AA0"/>
    <w:rsid w:val="6E8D5B1F"/>
    <w:rsid w:val="6E9F0D8B"/>
    <w:rsid w:val="6ECB2C88"/>
    <w:rsid w:val="6F431486"/>
    <w:rsid w:val="6F965FBC"/>
    <w:rsid w:val="6FAB1E15"/>
    <w:rsid w:val="6FD32C38"/>
    <w:rsid w:val="6FD6690C"/>
    <w:rsid w:val="70606E10"/>
    <w:rsid w:val="727F5414"/>
    <w:rsid w:val="72964253"/>
    <w:rsid w:val="729A4E44"/>
    <w:rsid w:val="73191466"/>
    <w:rsid w:val="73612AB3"/>
    <w:rsid w:val="73621237"/>
    <w:rsid w:val="739C299A"/>
    <w:rsid w:val="73AD3F4B"/>
    <w:rsid w:val="73CB1A0F"/>
    <w:rsid w:val="744D7869"/>
    <w:rsid w:val="749573EE"/>
    <w:rsid w:val="74D62C03"/>
    <w:rsid w:val="75032465"/>
    <w:rsid w:val="75BC1A9B"/>
    <w:rsid w:val="75E12BAC"/>
    <w:rsid w:val="75ED0784"/>
    <w:rsid w:val="768C0CCE"/>
    <w:rsid w:val="76DD1BAC"/>
    <w:rsid w:val="7718459C"/>
    <w:rsid w:val="774E77F3"/>
    <w:rsid w:val="775C4910"/>
    <w:rsid w:val="776155EB"/>
    <w:rsid w:val="777E745A"/>
    <w:rsid w:val="77AB353A"/>
    <w:rsid w:val="77BC65FA"/>
    <w:rsid w:val="77F72EC5"/>
    <w:rsid w:val="77FD4F13"/>
    <w:rsid w:val="7888577A"/>
    <w:rsid w:val="78EA4108"/>
    <w:rsid w:val="78F47F26"/>
    <w:rsid w:val="79325328"/>
    <w:rsid w:val="79914BA5"/>
    <w:rsid w:val="799D4AB5"/>
    <w:rsid w:val="7A56779D"/>
    <w:rsid w:val="7A7A10EC"/>
    <w:rsid w:val="7AA965F6"/>
    <w:rsid w:val="7AC31E19"/>
    <w:rsid w:val="7AD701AD"/>
    <w:rsid w:val="7AFD045E"/>
    <w:rsid w:val="7BFB7CC2"/>
    <w:rsid w:val="7C0F0BB5"/>
    <w:rsid w:val="7C183F2B"/>
    <w:rsid w:val="7C63164A"/>
    <w:rsid w:val="7CAD3BF2"/>
    <w:rsid w:val="7CAD7FAA"/>
    <w:rsid w:val="7CB95244"/>
    <w:rsid w:val="7D653826"/>
    <w:rsid w:val="7D697134"/>
    <w:rsid w:val="7DA70411"/>
    <w:rsid w:val="7DE91630"/>
    <w:rsid w:val="7DF26607"/>
    <w:rsid w:val="7E0359AE"/>
    <w:rsid w:val="7E452EBB"/>
    <w:rsid w:val="7E4E09FF"/>
    <w:rsid w:val="7E6C6F4E"/>
    <w:rsid w:val="7E736682"/>
    <w:rsid w:val="7F437511"/>
    <w:rsid w:val="7F5D5BBA"/>
    <w:rsid w:val="7FA51DE9"/>
    <w:rsid w:val="7FB566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style>
  <w:style w:type="paragraph" w:styleId="4">
    <w:name w:val="Body Text"/>
    <w:basedOn w:val="1"/>
    <w:next w:val="1"/>
    <w:qFormat/>
    <w:uiPriority w:val="0"/>
    <w:pPr>
      <w:snapToGrid w:val="0"/>
      <w:spacing w:line="579" w:lineRule="exact"/>
    </w:pPr>
    <w:rPr>
      <w:rFonts w:eastAsia="仿宋_GB2312"/>
      <w:kern w:val="2"/>
      <w:sz w:val="32"/>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sz w:val="18"/>
      <w:szCs w:val="18"/>
    </w:rPr>
  </w:style>
  <w:style w:type="paragraph" w:styleId="8">
    <w:name w:val="Normal (Web)"/>
    <w:basedOn w:val="1"/>
    <w:qFormat/>
    <w:uiPriority w:val="0"/>
    <w:pPr>
      <w:widowControl w:val="0"/>
      <w:spacing w:before="0" w:beforeAutospacing="1" w:after="0" w:afterAutospacing="1"/>
      <w:ind w:left="0" w:right="0"/>
      <w:jc w:val="left"/>
    </w:pPr>
    <w:rPr>
      <w:rFonts w:ascii="Calibri" w:hAnsi="Calibri" w:eastAsia="宋体" w:cs="黑体"/>
      <w:kern w:val="0"/>
      <w:sz w:val="24"/>
      <w:szCs w:val="24"/>
      <w:lang w:val="en-US" w:eastAsia="zh-CN"/>
    </w:rPr>
  </w:style>
  <w:style w:type="paragraph" w:styleId="9">
    <w:name w:val="Title"/>
    <w:basedOn w:val="1"/>
    <w:next w:val="1"/>
    <w:qFormat/>
    <w:uiPriority w:val="10"/>
    <w:pPr>
      <w:spacing w:before="240" w:after="60"/>
      <w:jc w:val="center"/>
      <w:outlineLvl w:val="0"/>
    </w:pPr>
    <w:rPr>
      <w:rFonts w:ascii="Cambria" w:hAnsi="Cambria" w:cs="Times New Roman"/>
      <w:b/>
      <w:bCs/>
      <w:sz w:val="32"/>
      <w:szCs w:val="32"/>
    </w:rPr>
  </w:style>
  <w:style w:type="character" w:styleId="12">
    <w:name w:val="Strong"/>
    <w:basedOn w:val="11"/>
    <w:qFormat/>
    <w:uiPriority w:val="0"/>
    <w:rPr>
      <w:b/>
    </w:rPr>
  </w:style>
  <w:style w:type="character" w:styleId="13">
    <w:name w:val="page number"/>
    <w:qFormat/>
    <w:uiPriority w:val="0"/>
  </w:style>
  <w:style w:type="character" w:styleId="14">
    <w:name w:val="FollowedHyperlink"/>
    <w:basedOn w:val="11"/>
    <w:qFormat/>
    <w:uiPriority w:val="0"/>
    <w:rPr>
      <w:color w:val="333333"/>
      <w:u w:val="none"/>
    </w:rPr>
  </w:style>
  <w:style w:type="character" w:styleId="15">
    <w:name w:val="Hyperlink"/>
    <w:basedOn w:val="11"/>
    <w:qFormat/>
    <w:uiPriority w:val="0"/>
    <w:rPr>
      <w:color w:val="333333"/>
      <w:u w:val="none"/>
    </w:rPr>
  </w:style>
  <w:style w:type="character" w:styleId="16">
    <w:name w:val="footnote reference"/>
    <w:basedOn w:val="11"/>
    <w:qFormat/>
    <w:uiPriority w:val="0"/>
    <w:rPr>
      <w:vertAlign w:val="superscript"/>
    </w:rPr>
  </w:style>
  <w:style w:type="paragraph" w:customStyle="1" w:styleId="17">
    <w:name w:val="Char Char Char Char Char Char Char Char Char Char Char Char"/>
    <w:basedOn w:val="1"/>
    <w:qFormat/>
    <w:uiPriority w:val="0"/>
    <w:rPr>
      <w:rFonts w:ascii="宋体" w:hAnsi="宋体" w:cs="Courier New"/>
      <w:sz w:val="32"/>
      <w:szCs w:val="32"/>
    </w:rPr>
  </w:style>
  <w:style w:type="character" w:customStyle="1" w:styleId="18">
    <w:name w:val="commonfont"/>
    <w:basedOn w:val="11"/>
    <w:qFormat/>
    <w:uiPriority w:val="0"/>
  </w:style>
  <w:style w:type="character" w:customStyle="1" w:styleId="19">
    <w:name w:val="commonfont1"/>
    <w:basedOn w:val="11"/>
    <w:qFormat/>
    <w:uiPriority w:val="0"/>
    <w:rPr>
      <w:color w:val="666666"/>
    </w:rPr>
  </w:style>
  <w:style w:type="character" w:customStyle="1" w:styleId="20">
    <w:name w:val="swiper-active-switch"/>
    <w:basedOn w:val="11"/>
    <w:qFormat/>
    <w:uiPriority w:val="0"/>
    <w:rPr>
      <w:shd w:val="clear" w:fill="FF0000"/>
    </w:rPr>
  </w:style>
  <w:style w:type="character" w:customStyle="1" w:styleId="21">
    <w:name w:val="nth-child(1)"/>
    <w:basedOn w:val="11"/>
    <w:qFormat/>
    <w:uiPriority w:val="0"/>
    <w:rPr>
      <w:color w:val="666666"/>
    </w:rPr>
  </w:style>
  <w:style w:type="character" w:customStyle="1" w:styleId="22">
    <w:name w:val="nth-child(1)1"/>
    <w:basedOn w:val="11"/>
    <w:qFormat/>
    <w:uiPriority w:val="0"/>
    <w:rPr>
      <w:color w:val="1D1D1D"/>
    </w:rPr>
  </w:style>
  <w:style w:type="character" w:customStyle="1" w:styleId="23">
    <w:name w:val="nth-child(1)2"/>
    <w:basedOn w:val="11"/>
    <w:qFormat/>
    <w:uiPriority w:val="0"/>
    <w:rPr>
      <w:color w:val="666666"/>
    </w:rPr>
  </w:style>
  <w:style w:type="character" w:customStyle="1" w:styleId="24">
    <w:name w:val="slide-dot-cur"/>
    <w:basedOn w:val="11"/>
    <w:qFormat/>
    <w:uiPriority w:val="0"/>
    <w:rPr>
      <w:shd w:val="clear" w:fill="6B1B55"/>
    </w:rPr>
  </w:style>
  <w:style w:type="character" w:customStyle="1" w:styleId="25">
    <w:name w:val="nth-child(2)"/>
    <w:basedOn w:val="11"/>
    <w:qFormat/>
    <w:uiPriority w:val="0"/>
    <w:rPr>
      <w:color w:val="9F9F9F"/>
    </w:rPr>
  </w:style>
  <w:style w:type="character" w:customStyle="1" w:styleId="26">
    <w:name w:val="nth-child(2)1"/>
    <w:basedOn w:val="11"/>
    <w:qFormat/>
    <w:uiPriority w:val="0"/>
    <w:rPr>
      <w:color w:val="9F9F9F"/>
    </w:rPr>
  </w:style>
  <w:style w:type="character" w:customStyle="1" w:styleId="27">
    <w:name w:val="nth-child(2)2"/>
    <w:basedOn w:val="11"/>
    <w:qFormat/>
    <w:uiPriority w:val="0"/>
    <w:rPr>
      <w:color w:val="9F9F9F"/>
    </w:rPr>
  </w:style>
  <w:style w:type="character" w:customStyle="1" w:styleId="28">
    <w:name w:val="iconfont2"/>
    <w:basedOn w:val="11"/>
    <w:qFormat/>
    <w:uiPriority w:val="0"/>
    <w:rPr>
      <w:color w:val="666666"/>
    </w:rPr>
  </w:style>
  <w:style w:type="paragraph" w:customStyle="1" w:styleId="2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1140</Words>
  <Characters>1148</Characters>
  <Lines>0</Lines>
  <Paragraphs>0</Paragraphs>
  <TotalTime>13</TotalTime>
  <ScaleCrop>false</ScaleCrop>
  <LinksUpToDate>false</LinksUpToDate>
  <CharactersWithSpaces>1148</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2022-06-09T03:18:00Z</dcterms:created>
  <dc:creator>刘东琪</dc:creator>
  <cp:lastModifiedBy>赵永华</cp:lastModifiedBy>
  <cp:lastPrinted>2026-07-27T03:00:44Z</cp:lastPrinted>
  <dcterms:modified xsi:type="dcterms:W3CDTF">2026-07-27T03:03:53Z</dcterms:modified>
  <dc:title>关于西城区2021年度财政预算执行和其他</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DF7A839687BA41C6984C5632C6F9DFF4_13</vt:lpwstr>
  </property>
  <property fmtid="{D5CDD505-2E9C-101B-9397-08002B2CF9AE}" pid="4" name="KSOTemplateDocerSaveRecord">
    <vt:lpwstr>eyJoZGlkIjoiMWMwODA2MjcyOWQxZDgwYmZiMTM5OTk2MjZhZmMyMzAiLCJ1c2VySWQiOiIyNDI0NzEzODYifQ==</vt:lpwstr>
  </property>
</Properties>
</file>