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2025年度区级部门预算执行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决算草案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其他财政收支审计结果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40404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404040"/>
          <w:sz w:val="32"/>
          <w:szCs w:val="32"/>
        </w:rPr>
        <w:t>根据《中华人民共和国审计法》和《北京市审计条例》</w:t>
      </w:r>
      <w:r>
        <w:rPr>
          <w:rFonts w:hint="eastAsia" w:ascii="仿宋_GB2312" w:hAnsi="仿宋_GB2312" w:eastAsia="仿宋_GB2312" w:cs="仿宋_GB2312"/>
          <w:b w:val="0"/>
          <w:bCs w:val="0"/>
          <w:color w:val="404040"/>
          <w:sz w:val="32"/>
          <w:szCs w:val="32"/>
          <w:lang w:val="en-US" w:eastAsia="zh-CN"/>
        </w:rPr>
        <w:t>的规定，2026年2月至2025年3月，区审计局对部分区级预算单位开展部门预算执行审计，着重关注预算编制与支出、执行中央八项规定及其实施细则精神和落实过紧日子要求、国有资产管理、政府购买服务、政府采购等方面,涉及预算资金35.4亿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404040"/>
          <w:kern w:val="2"/>
          <w:sz w:val="32"/>
          <w:szCs w:val="32"/>
          <w:lang w:val="en-US" w:eastAsia="zh-CN" w:bidi="ar-SA"/>
        </w:rPr>
        <w:t>审计结果表明，相关单位能够履行部门职责，完成重点工作任务；预算管理水平不断提高，预算编制、申报程序基本合规，各项收支能够纳入预算管理；预算支出基本能够按规定执行，履行审批手续。</w:t>
      </w:r>
      <w:r>
        <w:rPr>
          <w:rFonts w:hint="eastAsia" w:ascii="仿宋_GB2312" w:hAnsi="仿宋_GB2312" w:eastAsia="仿宋_GB2312" w:cs="仿宋_GB2312"/>
          <w:b w:val="0"/>
          <w:bCs w:val="0"/>
          <w:color w:val="404040"/>
          <w:sz w:val="32"/>
          <w:szCs w:val="32"/>
          <w:lang w:val="en-US" w:eastAsia="zh-CN"/>
        </w:rPr>
        <w:t xml:space="preserve">但是，审计也发现一些问题。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审计发现的主要问题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-1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预决算编制和执行不严格。5个单位预算编制不科学、6个单位预算执行和绩效管理不规范、4个单位决算草案编制不准确。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-1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资金使用效益不高。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2个单位以前年度结余资金未及时上缴区财政、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1个单位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年报设计制作资金未充分发挥效益、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1个单位项目结余经费未统筹安排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-1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政府购买服务或委托外包事项管理不规范。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个单位部分项目超范围实施政府购买服务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1个单位将个别项目委托外包给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无相关资质企业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1个单位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合同履约监管不到位。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-1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内控制度制定、执行不严谨。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1个单位内控制度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约定与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上级文件条款不符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-1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采购管理仍需加强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2个单位比选程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序不合规、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1个单位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未按合同约定分次付款、1个单位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未按规定选择政府采购会议定点场所。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-10" w:leftChars="0" w:firstLine="64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资产管理存在薄弱环节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2个单位部分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资产闲置、4个单位部分无形资产、固定资产未纳入资产核算、1个单位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资产账实不符。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审计处理和初步整改情况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jc w:val="both"/>
        <w:textAlignment w:val="auto"/>
        <w:rPr>
          <w:rFonts w:hint="eastAsia" w:eastAsia="仿宋_GB2312" w:asciiTheme="minorHAnsi" w:hAnsiTheme="minorHAnsi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仿宋_GB2312" w:asciiTheme="minorHAnsi" w:hAnsiTheme="minorHAnsi" w:cstheme="minorBidi"/>
          <w:kern w:val="2"/>
          <w:sz w:val="32"/>
          <w:szCs w:val="32"/>
          <w:highlight w:val="none"/>
          <w:lang w:val="en-US" w:eastAsia="zh-CN" w:bidi="ar-SA"/>
        </w:rPr>
        <w:t>对上述问题，西城区审计局依法出具审计报告，提出了审计意见和建议：一是提高预算编制的准确性和科学性，严格按照预算批复的支出用途使用资金。二是加强项目绩效管理，强化事前谋划、事中督导，切实提升项目资金使用效益。三是提升政府购买服务项目管理意识，把握政府购买服务范围，避免超范围购买服务问题的发生。四是强化内控管理，梳理单位内控制度，结合国家有关规定和单位实际情况，及时修订完善。五是加强政府采购管理，规范采购行为。严格异地培训管理，强化过程管控，选择政府采购定点场所。六是严格落实资产管理制度，做好资产清查盘点工作；及时盘活利用闲置资产，切实发挥国有资产使用效益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jc w:val="both"/>
        <w:textAlignment w:val="auto"/>
        <w:rPr>
          <w:rFonts w:hint="eastAsia" w:eastAsia="仿宋_GB2312" w:asciiTheme="minorHAnsi" w:hAnsiTheme="minorHAnsi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仿宋_GB2312" w:asciiTheme="minorHAnsi" w:hAnsiTheme="minorHAnsi" w:cstheme="minorBidi"/>
          <w:kern w:val="2"/>
          <w:sz w:val="32"/>
          <w:szCs w:val="32"/>
          <w:highlight w:val="none"/>
          <w:lang w:val="en-US" w:eastAsia="zh-CN" w:bidi="ar-SA"/>
        </w:rPr>
        <w:t>针对本次审计发现的问题，各预算单位高度重视，</w:t>
      </w:r>
      <w:r>
        <w:rPr>
          <w:rFonts w:hint="eastAsia" w:cstheme="minorBidi"/>
          <w:kern w:val="2"/>
          <w:sz w:val="32"/>
          <w:szCs w:val="32"/>
          <w:highlight w:val="none"/>
          <w:lang w:val="en-US" w:eastAsia="zh-CN" w:bidi="ar-SA"/>
        </w:rPr>
        <w:t>层层部署推进整改，压紧压实整改责任</w:t>
      </w:r>
      <w:r>
        <w:rPr>
          <w:rFonts w:hint="eastAsia" w:eastAsia="仿宋_GB2312" w:asciiTheme="minorHAnsi" w:hAnsiTheme="minorHAnsi" w:cstheme="minorBidi"/>
          <w:kern w:val="2"/>
          <w:sz w:val="32"/>
          <w:szCs w:val="32"/>
          <w:highlight w:val="none"/>
          <w:lang w:val="en-US" w:eastAsia="zh-CN" w:bidi="ar-SA"/>
        </w:rPr>
        <w:t>。部分预算单位立行立改，及时将结余资金上</w:t>
      </w:r>
      <w:r>
        <w:rPr>
          <w:rFonts w:hint="eastAsia" w:cstheme="minorBidi"/>
          <w:kern w:val="2"/>
          <w:sz w:val="32"/>
          <w:szCs w:val="32"/>
          <w:highlight w:val="none"/>
          <w:lang w:val="en-US" w:eastAsia="zh-CN" w:bidi="ar-SA"/>
        </w:rPr>
        <w:t>缴区</w:t>
      </w:r>
      <w:r>
        <w:rPr>
          <w:rFonts w:hint="eastAsia" w:eastAsia="仿宋_GB2312" w:asciiTheme="minorHAnsi" w:hAnsiTheme="minorHAnsi" w:cstheme="minorBidi"/>
          <w:kern w:val="2"/>
          <w:sz w:val="32"/>
          <w:szCs w:val="32"/>
          <w:highlight w:val="none"/>
          <w:lang w:val="en-US" w:eastAsia="zh-CN" w:bidi="ar-SA"/>
        </w:rPr>
        <w:t>财政，将未入账资产</w:t>
      </w:r>
      <w:r>
        <w:rPr>
          <w:rFonts w:hint="eastAsia" w:cstheme="minorBidi"/>
          <w:kern w:val="2"/>
          <w:sz w:val="32"/>
          <w:szCs w:val="32"/>
          <w:highlight w:val="none"/>
          <w:lang w:val="en-US" w:eastAsia="zh-CN" w:bidi="ar-SA"/>
        </w:rPr>
        <w:t>记</w:t>
      </w:r>
      <w:r>
        <w:rPr>
          <w:rFonts w:hint="eastAsia" w:eastAsia="仿宋_GB2312" w:asciiTheme="minorHAnsi" w:hAnsiTheme="minorHAnsi" w:cstheme="minorBidi"/>
          <w:kern w:val="2"/>
          <w:sz w:val="32"/>
          <w:szCs w:val="32"/>
          <w:highlight w:val="none"/>
          <w:lang w:val="en-US" w:eastAsia="zh-CN" w:bidi="ar-SA"/>
        </w:rPr>
        <w:t>入固定资产、无形资产账等，同时，相关预算单位进一步加强</w:t>
      </w:r>
      <w:r>
        <w:rPr>
          <w:rFonts w:hint="eastAsia" w:cstheme="minorBidi"/>
          <w:kern w:val="2"/>
          <w:sz w:val="32"/>
          <w:szCs w:val="32"/>
          <w:highlight w:val="none"/>
          <w:lang w:val="en-US" w:eastAsia="zh-CN" w:bidi="ar-SA"/>
        </w:rPr>
        <w:t>预算管理、提高财政资金使用效益。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/>
        <w:textAlignment w:val="auto"/>
        <w:rPr>
          <w:rFonts w:hint="default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40404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44D36A"/>
    <w:multiLevelType w:val="singleLevel"/>
    <w:tmpl w:val="A844D36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0A11A38"/>
    <w:multiLevelType w:val="singleLevel"/>
    <w:tmpl w:val="C0A11A38"/>
    <w:lvl w:ilvl="0" w:tentative="0">
      <w:start w:val="1"/>
      <w:numFmt w:val="chineseCounting"/>
      <w:suff w:val="nothing"/>
      <w:lvlText w:val="（%1）"/>
      <w:lvlJc w:val="left"/>
      <w:pPr>
        <w:ind w:left="-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01E4A"/>
    <w:rsid w:val="18846F52"/>
    <w:rsid w:val="189732A4"/>
    <w:rsid w:val="1B936B22"/>
    <w:rsid w:val="2C136E09"/>
    <w:rsid w:val="48731D33"/>
    <w:rsid w:val="50FE5570"/>
    <w:rsid w:val="62116D8F"/>
    <w:rsid w:val="7672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"/>
    <w:basedOn w:val="1"/>
    <w:qFormat/>
    <w:uiPriority w:val="0"/>
    <w:pPr>
      <w:snapToGrid w:val="0"/>
      <w:spacing w:line="579" w:lineRule="exact"/>
    </w:pPr>
    <w:rPr>
      <w:rFonts w:eastAsia="仿宋_GB2312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2026-05-25T07:48:00Z</dcterms:created>
  <dc:creator>john</dc:creator>
  <cp:lastModifiedBy>李颖</cp:lastModifiedBy>
  <dcterms:modified xsi:type="dcterms:W3CDTF">2026-07-28T10:26:57Z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B240618788A745CEACC2E67045A602C6</vt:lpwstr>
  </property>
</Properties>
</file>