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pacing w:before="0" w:beforeAutospacing="0" w:after="0" w:afterAutospacing="0" w:line="560" w:lineRule="exact"/>
        <w:ind w:left="0" w:right="0"/>
        <w:jc w:val="center"/>
        <w:textAlignment w:val="auto"/>
        <w:rPr>
          <w:b w:val="0"/>
          <w:bCs w:val="0"/>
          <w:color w:val="333333"/>
          <w:sz w:val="39"/>
          <w:szCs w:val="39"/>
        </w:rPr>
      </w:pPr>
      <w:r>
        <w:rPr>
          <w:b w:val="0"/>
          <w:bCs w:val="0"/>
          <w:color w:val="333333"/>
          <w:sz w:val="39"/>
          <w:szCs w:val="39"/>
        </w:rPr>
        <w:t>北京市</w:t>
      </w:r>
      <w:r>
        <w:rPr>
          <w:rFonts w:hint="eastAsia"/>
          <w:b w:val="0"/>
          <w:bCs w:val="0"/>
          <w:color w:val="333333"/>
          <w:sz w:val="39"/>
          <w:szCs w:val="39"/>
          <w:lang w:eastAsia="zh-CN"/>
        </w:rPr>
        <w:t>西城区</w:t>
      </w:r>
      <w:r>
        <w:rPr>
          <w:b w:val="0"/>
          <w:bCs w:val="0"/>
          <w:color w:val="333333"/>
          <w:sz w:val="39"/>
          <w:szCs w:val="39"/>
        </w:rPr>
        <w:t>202</w:t>
      </w:r>
      <w:r>
        <w:rPr>
          <w:rFonts w:hint="eastAsia"/>
          <w:b w:val="0"/>
          <w:bCs w:val="0"/>
          <w:color w:val="333333"/>
          <w:sz w:val="39"/>
          <w:szCs w:val="39"/>
          <w:lang w:val="en-US" w:eastAsia="zh-CN"/>
        </w:rPr>
        <w:t>5</w:t>
      </w:r>
      <w:r>
        <w:rPr>
          <w:b w:val="0"/>
          <w:bCs w:val="0"/>
          <w:color w:val="333333"/>
          <w:sz w:val="39"/>
          <w:szCs w:val="39"/>
        </w:rPr>
        <w:t>年度</w:t>
      </w:r>
      <w:r>
        <w:rPr>
          <w:rFonts w:hint="eastAsia"/>
          <w:b w:val="0"/>
          <w:bCs w:val="0"/>
          <w:color w:val="333333"/>
          <w:sz w:val="39"/>
          <w:szCs w:val="39"/>
          <w:lang w:eastAsia="zh-CN"/>
        </w:rPr>
        <w:t>区</w:t>
      </w:r>
      <w:r>
        <w:rPr>
          <w:b w:val="0"/>
          <w:bCs w:val="0"/>
          <w:color w:val="333333"/>
          <w:sz w:val="39"/>
          <w:szCs w:val="39"/>
        </w:rPr>
        <w:t>级部门预算执行</w:t>
      </w:r>
      <w:r>
        <w:rPr>
          <w:rFonts w:hint="eastAsia"/>
          <w:b w:val="0"/>
          <w:bCs w:val="0"/>
          <w:color w:val="333333"/>
          <w:sz w:val="39"/>
          <w:szCs w:val="39"/>
          <w:lang w:eastAsia="zh-CN"/>
        </w:rPr>
        <w:t>和</w:t>
      </w:r>
      <w:r>
        <w:rPr>
          <w:b w:val="0"/>
          <w:bCs w:val="0"/>
          <w:color w:val="333333"/>
          <w:sz w:val="39"/>
          <w:szCs w:val="39"/>
        </w:rPr>
        <w:t>决算草案</w:t>
      </w:r>
      <w:r>
        <w:rPr>
          <w:rFonts w:hint="eastAsia"/>
          <w:b w:val="0"/>
          <w:bCs w:val="0"/>
          <w:color w:val="333333"/>
          <w:sz w:val="39"/>
          <w:szCs w:val="39"/>
          <w:lang w:eastAsia="zh-CN"/>
        </w:rPr>
        <w:t>及</w:t>
      </w:r>
      <w:r>
        <w:rPr>
          <w:b w:val="0"/>
          <w:bCs w:val="0"/>
          <w:color w:val="333333"/>
          <w:sz w:val="39"/>
          <w:szCs w:val="39"/>
        </w:rPr>
        <w:t xml:space="preserve">其他财政收支审计结果公告解读 </w:t>
      </w:r>
    </w:p>
    <w:p>
      <w:bookmarkStart w:id="0" w:name="_GoBack"/>
      <w:bookmarkEnd w:id="0"/>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404040"/>
          <w:sz w:val="32"/>
          <w:szCs w:val="32"/>
        </w:rPr>
      </w:pPr>
      <w:r>
        <w:rPr>
          <w:rFonts w:hint="eastAsia" w:ascii="仿宋_GB2312" w:hAnsi="仿宋_GB2312" w:eastAsia="仿宋_GB2312" w:cs="仿宋_GB2312"/>
          <w:b/>
          <w:bCs/>
          <w:color w:val="404040"/>
          <w:sz w:val="32"/>
          <w:szCs w:val="32"/>
        </w:rPr>
        <w:t>一、202</w:t>
      </w:r>
      <w:r>
        <w:rPr>
          <w:rFonts w:hint="eastAsia" w:ascii="仿宋_GB2312" w:hAnsi="仿宋_GB2312" w:eastAsia="仿宋_GB2312" w:cs="仿宋_GB2312"/>
          <w:b/>
          <w:bCs/>
          <w:color w:val="404040"/>
          <w:sz w:val="32"/>
          <w:szCs w:val="32"/>
          <w:lang w:val="en-US" w:eastAsia="zh-CN"/>
        </w:rPr>
        <w:t>5</w:t>
      </w:r>
      <w:r>
        <w:rPr>
          <w:rFonts w:hint="eastAsia" w:ascii="仿宋_GB2312" w:hAnsi="仿宋_GB2312" w:eastAsia="仿宋_GB2312" w:cs="仿宋_GB2312"/>
          <w:b/>
          <w:bCs/>
          <w:color w:val="404040"/>
          <w:sz w:val="32"/>
          <w:szCs w:val="32"/>
        </w:rPr>
        <w:t>年度</w:t>
      </w:r>
      <w:r>
        <w:rPr>
          <w:rFonts w:hint="eastAsia" w:ascii="仿宋_GB2312" w:hAnsi="仿宋_GB2312" w:eastAsia="仿宋_GB2312" w:cs="仿宋_GB2312"/>
          <w:b/>
          <w:bCs/>
          <w:color w:val="404040"/>
          <w:sz w:val="32"/>
          <w:szCs w:val="32"/>
          <w:lang w:eastAsia="zh-CN"/>
        </w:rPr>
        <w:t>区</w:t>
      </w:r>
      <w:r>
        <w:rPr>
          <w:rFonts w:hint="eastAsia" w:ascii="仿宋_GB2312" w:hAnsi="仿宋_GB2312" w:eastAsia="仿宋_GB2312" w:cs="仿宋_GB2312"/>
          <w:b/>
          <w:bCs/>
          <w:color w:val="404040"/>
          <w:sz w:val="32"/>
          <w:szCs w:val="32"/>
        </w:rPr>
        <w:t>级部门预算执行</w:t>
      </w:r>
      <w:r>
        <w:rPr>
          <w:rFonts w:hint="eastAsia" w:ascii="仿宋_GB2312" w:hAnsi="仿宋_GB2312" w:eastAsia="仿宋_GB2312" w:cs="仿宋_GB2312"/>
          <w:b/>
          <w:bCs/>
          <w:color w:val="404040"/>
          <w:sz w:val="32"/>
          <w:szCs w:val="32"/>
          <w:lang w:eastAsia="zh-CN"/>
        </w:rPr>
        <w:t>和</w:t>
      </w:r>
      <w:r>
        <w:rPr>
          <w:rFonts w:hint="eastAsia" w:ascii="仿宋_GB2312" w:hAnsi="仿宋_GB2312" w:eastAsia="仿宋_GB2312" w:cs="仿宋_GB2312"/>
          <w:b/>
          <w:bCs/>
          <w:color w:val="404040"/>
          <w:sz w:val="32"/>
          <w:szCs w:val="32"/>
        </w:rPr>
        <w:t>决算草案</w:t>
      </w:r>
      <w:r>
        <w:rPr>
          <w:rFonts w:hint="eastAsia" w:ascii="仿宋_GB2312" w:hAnsi="仿宋_GB2312" w:eastAsia="仿宋_GB2312" w:cs="仿宋_GB2312"/>
          <w:b/>
          <w:bCs/>
          <w:color w:val="404040"/>
          <w:sz w:val="32"/>
          <w:szCs w:val="32"/>
          <w:lang w:eastAsia="zh-CN"/>
        </w:rPr>
        <w:t>及</w:t>
      </w:r>
      <w:r>
        <w:rPr>
          <w:rFonts w:hint="eastAsia" w:ascii="仿宋_GB2312" w:hAnsi="仿宋_GB2312" w:eastAsia="仿宋_GB2312" w:cs="仿宋_GB2312"/>
          <w:b/>
          <w:bCs/>
          <w:color w:val="404040"/>
          <w:sz w:val="32"/>
          <w:szCs w:val="32"/>
        </w:rPr>
        <w:t>其他财政收支审计结果公告的形式是什么？包含哪些内容？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color w:val="404040"/>
          <w:sz w:val="32"/>
          <w:szCs w:val="32"/>
        </w:rPr>
      </w:pPr>
      <w:r>
        <w:rPr>
          <w:rFonts w:hint="eastAsia" w:ascii="仿宋_GB2312" w:hAnsi="仿宋_GB2312" w:eastAsia="仿宋_GB2312" w:cs="仿宋_GB2312"/>
          <w:b w:val="0"/>
          <w:bCs w:val="0"/>
          <w:color w:val="404040"/>
          <w:sz w:val="32"/>
          <w:szCs w:val="32"/>
        </w:rPr>
        <w:t>根据《北京市审计条例》相关规定，</w:t>
      </w:r>
      <w:r>
        <w:rPr>
          <w:rFonts w:hint="eastAsia" w:ascii="仿宋_GB2312" w:hAnsi="仿宋_GB2312" w:eastAsia="仿宋_GB2312" w:cs="仿宋_GB2312"/>
          <w:b w:val="0"/>
          <w:bCs w:val="0"/>
          <w:color w:val="404040"/>
          <w:sz w:val="32"/>
          <w:szCs w:val="32"/>
          <w:lang w:eastAsia="zh-CN"/>
        </w:rPr>
        <w:t>区</w:t>
      </w:r>
      <w:r>
        <w:rPr>
          <w:rFonts w:hint="eastAsia" w:ascii="仿宋_GB2312" w:hAnsi="仿宋_GB2312" w:eastAsia="仿宋_GB2312" w:cs="仿宋_GB2312"/>
          <w:b w:val="0"/>
          <w:bCs w:val="0"/>
          <w:color w:val="404040"/>
          <w:sz w:val="32"/>
          <w:szCs w:val="32"/>
        </w:rPr>
        <w:t>审计局对202</w:t>
      </w:r>
      <w:r>
        <w:rPr>
          <w:rFonts w:hint="eastAsia" w:ascii="仿宋_GB2312" w:hAnsi="仿宋_GB2312" w:eastAsia="仿宋_GB2312" w:cs="仿宋_GB2312"/>
          <w:b w:val="0"/>
          <w:bCs w:val="0"/>
          <w:color w:val="404040"/>
          <w:sz w:val="32"/>
          <w:szCs w:val="32"/>
          <w:lang w:val="en-US" w:eastAsia="zh-CN"/>
        </w:rPr>
        <w:t>5</w:t>
      </w:r>
      <w:r>
        <w:rPr>
          <w:rFonts w:hint="eastAsia" w:ascii="仿宋_GB2312" w:hAnsi="仿宋_GB2312" w:eastAsia="仿宋_GB2312" w:cs="仿宋_GB2312"/>
          <w:b w:val="0"/>
          <w:bCs w:val="0"/>
          <w:color w:val="404040"/>
          <w:sz w:val="32"/>
          <w:szCs w:val="32"/>
        </w:rPr>
        <w:t>年</w:t>
      </w:r>
      <w:r>
        <w:rPr>
          <w:rFonts w:hint="eastAsia" w:ascii="仿宋_GB2312" w:hAnsi="仿宋_GB2312" w:eastAsia="仿宋_GB2312" w:cs="仿宋_GB2312"/>
          <w:b w:val="0"/>
          <w:bCs w:val="0"/>
          <w:color w:val="404040"/>
          <w:sz w:val="32"/>
          <w:szCs w:val="32"/>
          <w:lang w:eastAsia="zh-CN"/>
        </w:rPr>
        <w:t>开展的区</w:t>
      </w:r>
      <w:r>
        <w:rPr>
          <w:rFonts w:hint="eastAsia" w:ascii="仿宋_GB2312" w:hAnsi="仿宋_GB2312" w:eastAsia="仿宋_GB2312" w:cs="仿宋_GB2312"/>
          <w:b w:val="0"/>
          <w:bCs w:val="0"/>
          <w:color w:val="404040"/>
          <w:sz w:val="32"/>
          <w:szCs w:val="32"/>
        </w:rPr>
        <w:t>级部门预算执行</w:t>
      </w:r>
      <w:r>
        <w:rPr>
          <w:rFonts w:hint="eastAsia" w:ascii="仿宋_GB2312" w:hAnsi="仿宋_GB2312" w:eastAsia="仿宋_GB2312" w:cs="仿宋_GB2312"/>
          <w:b w:val="0"/>
          <w:bCs w:val="0"/>
          <w:color w:val="404040"/>
          <w:sz w:val="32"/>
          <w:szCs w:val="32"/>
          <w:lang w:eastAsia="zh-CN"/>
        </w:rPr>
        <w:t>和</w:t>
      </w:r>
      <w:r>
        <w:rPr>
          <w:rFonts w:hint="eastAsia" w:ascii="仿宋_GB2312" w:hAnsi="仿宋_GB2312" w:eastAsia="仿宋_GB2312" w:cs="仿宋_GB2312"/>
          <w:b w:val="0"/>
          <w:bCs w:val="0"/>
          <w:color w:val="404040"/>
          <w:sz w:val="32"/>
          <w:szCs w:val="32"/>
        </w:rPr>
        <w:t>决算草案</w:t>
      </w:r>
      <w:r>
        <w:rPr>
          <w:rFonts w:hint="eastAsia" w:ascii="仿宋_GB2312" w:hAnsi="仿宋_GB2312" w:eastAsia="仿宋_GB2312" w:cs="仿宋_GB2312"/>
          <w:b w:val="0"/>
          <w:bCs w:val="0"/>
          <w:color w:val="404040"/>
          <w:sz w:val="32"/>
          <w:szCs w:val="32"/>
          <w:lang w:eastAsia="zh-CN"/>
        </w:rPr>
        <w:t>及</w:t>
      </w:r>
      <w:r>
        <w:rPr>
          <w:rFonts w:hint="eastAsia" w:ascii="仿宋_GB2312" w:hAnsi="仿宋_GB2312" w:eastAsia="仿宋_GB2312" w:cs="仿宋_GB2312"/>
          <w:b w:val="0"/>
          <w:bCs w:val="0"/>
          <w:color w:val="404040"/>
          <w:sz w:val="32"/>
          <w:szCs w:val="32"/>
        </w:rPr>
        <w:t>其他财政收支审计结果进行综合性公告。公告主要包括引言、基本情况、审计发现的主要问题、审计处理和初步整改情况四部分内容。</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404040"/>
          <w:sz w:val="32"/>
          <w:szCs w:val="32"/>
          <w:lang w:eastAsia="zh-CN"/>
        </w:rPr>
      </w:pPr>
      <w:r>
        <w:rPr>
          <w:rFonts w:hint="eastAsia" w:ascii="仿宋_GB2312" w:hAnsi="仿宋_GB2312" w:eastAsia="仿宋_GB2312" w:cs="仿宋_GB2312"/>
          <w:b/>
          <w:bCs/>
          <w:color w:val="404040"/>
          <w:sz w:val="32"/>
          <w:szCs w:val="32"/>
          <w:lang w:eastAsia="zh-CN"/>
        </w:rPr>
        <w:t>二、</w:t>
      </w:r>
      <w:r>
        <w:rPr>
          <w:rFonts w:hint="eastAsia" w:ascii="仿宋_GB2312" w:hAnsi="仿宋_GB2312" w:eastAsia="仿宋_GB2312" w:cs="仿宋_GB2312"/>
          <w:b/>
          <w:bCs/>
          <w:color w:val="404040"/>
          <w:sz w:val="32"/>
          <w:szCs w:val="32"/>
        </w:rPr>
        <w:t>如何评价202</w:t>
      </w:r>
      <w:r>
        <w:rPr>
          <w:rFonts w:hint="eastAsia" w:ascii="仿宋_GB2312" w:hAnsi="仿宋_GB2312" w:eastAsia="仿宋_GB2312" w:cs="仿宋_GB2312"/>
          <w:b/>
          <w:bCs/>
          <w:color w:val="404040"/>
          <w:sz w:val="32"/>
          <w:szCs w:val="32"/>
          <w:lang w:val="en-US" w:eastAsia="zh-CN"/>
        </w:rPr>
        <w:t>5</w:t>
      </w:r>
      <w:r>
        <w:rPr>
          <w:rFonts w:hint="eastAsia" w:ascii="仿宋_GB2312" w:hAnsi="仿宋_GB2312" w:eastAsia="仿宋_GB2312" w:cs="仿宋_GB2312"/>
          <w:b/>
          <w:bCs/>
          <w:color w:val="404040"/>
          <w:sz w:val="32"/>
          <w:szCs w:val="32"/>
        </w:rPr>
        <w:t>年度</w:t>
      </w:r>
      <w:r>
        <w:rPr>
          <w:rFonts w:hint="eastAsia" w:ascii="仿宋_GB2312" w:hAnsi="仿宋_GB2312" w:eastAsia="仿宋_GB2312" w:cs="仿宋_GB2312"/>
          <w:b/>
          <w:bCs/>
          <w:color w:val="404040"/>
          <w:sz w:val="32"/>
          <w:szCs w:val="32"/>
          <w:lang w:eastAsia="zh-CN"/>
        </w:rPr>
        <w:t>区</w:t>
      </w:r>
      <w:r>
        <w:rPr>
          <w:rFonts w:hint="eastAsia" w:ascii="仿宋_GB2312" w:hAnsi="仿宋_GB2312" w:eastAsia="仿宋_GB2312" w:cs="仿宋_GB2312"/>
          <w:b/>
          <w:bCs/>
          <w:color w:val="404040"/>
          <w:sz w:val="32"/>
          <w:szCs w:val="32"/>
        </w:rPr>
        <w:t>级部门预算执行整体情况？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color w:val="404040"/>
          <w:sz w:val="32"/>
          <w:szCs w:val="32"/>
          <w:lang w:val="en-US" w:eastAsia="zh-CN"/>
        </w:rPr>
      </w:pPr>
      <w:r>
        <w:rPr>
          <w:rFonts w:hint="eastAsia" w:ascii="仿宋_GB2312" w:hAnsi="仿宋_GB2312" w:eastAsia="仿宋_GB2312" w:cs="仿宋_GB2312"/>
          <w:b w:val="0"/>
          <w:bCs w:val="0"/>
          <w:color w:val="404040"/>
          <w:sz w:val="32"/>
          <w:szCs w:val="32"/>
          <w:lang w:val="en-US" w:eastAsia="zh-CN"/>
        </w:rPr>
        <w:t>审计结果表明，</w:t>
      </w:r>
      <w:r>
        <w:rPr>
          <w:rFonts w:hint="eastAsia" w:ascii="仿宋_GB2312" w:hAnsi="仿宋_GB2312" w:eastAsia="仿宋_GB2312" w:cs="仿宋_GB2312"/>
          <w:b w:val="0"/>
          <w:bCs w:val="0"/>
          <w:color w:val="404040"/>
          <w:kern w:val="2"/>
          <w:sz w:val="32"/>
          <w:szCs w:val="32"/>
          <w:lang w:val="en-US" w:eastAsia="zh-CN" w:bidi="ar-SA"/>
        </w:rPr>
        <w:t>相关单位能够履行部门职责，完成重点工作任务；预算管理水平不断提高，预算编制、申报程序基本合规，各项收支能够纳入预算管理；预算支出基本能够按规定执行，履行审批手续。</w:t>
      </w:r>
      <w:r>
        <w:rPr>
          <w:rFonts w:hint="eastAsia" w:ascii="仿宋_GB2312" w:hAnsi="仿宋_GB2312" w:eastAsia="仿宋_GB2312" w:cs="仿宋_GB2312"/>
          <w:b w:val="0"/>
          <w:bCs w:val="0"/>
          <w:color w:val="404040"/>
          <w:sz w:val="32"/>
          <w:szCs w:val="32"/>
          <w:lang w:val="en-US" w:eastAsia="zh-CN"/>
        </w:rPr>
        <w:t>但是，审计也发现一些问题，需要加强整改，进一步提升预算管理水平。</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404040"/>
          <w:sz w:val="32"/>
          <w:szCs w:val="32"/>
          <w:lang w:eastAsia="zh-CN"/>
        </w:rPr>
      </w:pPr>
      <w:r>
        <w:rPr>
          <w:rFonts w:hint="eastAsia" w:ascii="仿宋_GB2312" w:hAnsi="仿宋_GB2312" w:eastAsia="仿宋_GB2312" w:cs="仿宋_GB2312"/>
          <w:b/>
          <w:bCs/>
          <w:color w:val="404040"/>
          <w:sz w:val="32"/>
          <w:szCs w:val="32"/>
          <w:lang w:eastAsia="zh-CN"/>
        </w:rPr>
        <w:t>三、202</w:t>
      </w:r>
      <w:r>
        <w:rPr>
          <w:rFonts w:hint="eastAsia" w:ascii="仿宋_GB2312" w:hAnsi="仿宋_GB2312" w:eastAsia="仿宋_GB2312" w:cs="仿宋_GB2312"/>
          <w:b/>
          <w:bCs/>
          <w:color w:val="404040"/>
          <w:sz w:val="32"/>
          <w:szCs w:val="32"/>
          <w:lang w:val="en-US" w:eastAsia="zh-CN"/>
        </w:rPr>
        <w:t>5</w:t>
      </w:r>
      <w:r>
        <w:rPr>
          <w:rFonts w:hint="eastAsia" w:ascii="仿宋_GB2312" w:hAnsi="仿宋_GB2312" w:eastAsia="仿宋_GB2312" w:cs="仿宋_GB2312"/>
          <w:b/>
          <w:bCs/>
          <w:color w:val="404040"/>
          <w:sz w:val="32"/>
          <w:szCs w:val="32"/>
          <w:lang w:eastAsia="zh-CN"/>
        </w:rPr>
        <w:t>年度区级部门预算执行和决算草案及其他财政收支审计重点反映的突出问题有哪些？</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color w:val="404040"/>
          <w:sz w:val="32"/>
          <w:szCs w:val="32"/>
          <w:lang w:val="en-US" w:eastAsia="zh-CN"/>
        </w:rPr>
      </w:pPr>
      <w:r>
        <w:rPr>
          <w:rFonts w:hint="eastAsia" w:ascii="仿宋_GB2312" w:hAnsi="仿宋_GB2312" w:eastAsia="仿宋_GB2312" w:cs="仿宋_GB2312"/>
          <w:b w:val="0"/>
          <w:bCs w:val="0"/>
          <w:color w:val="404040"/>
          <w:sz w:val="32"/>
          <w:szCs w:val="32"/>
          <w:lang w:val="en-US" w:eastAsia="zh-CN"/>
        </w:rPr>
        <w:t>在对被审计单位开展现场审计时，主要发现存在</w:t>
      </w:r>
      <w:r>
        <w:rPr>
          <w:rFonts w:hint="eastAsia" w:ascii="仿宋_GB2312" w:hAnsi="仿宋_GB2312" w:eastAsia="仿宋_GB2312" w:cs="仿宋_GB2312"/>
          <w:sz w:val="32"/>
          <w:szCs w:val="32"/>
          <w:lang w:val="en-US" w:eastAsia="zh-CN"/>
        </w:rPr>
        <w:t>预决算编制和执行不严格、资金使用效益不高、政府购买服务或委托外包事项管理不规范、内控制度制定、执行不严谨、采购管理仍需加强、资产管理存在薄弱环节等问题。</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val="0"/>
          <w:bCs w:val="0"/>
          <w:color w:val="404040"/>
          <w:sz w:val="32"/>
          <w:szCs w:val="32"/>
          <w:lang w:val="en-US" w:eastAsia="zh-CN"/>
        </w:rPr>
      </w:pPr>
      <w:r>
        <w:rPr>
          <w:rFonts w:hint="eastAsia" w:ascii="仿宋_GB2312" w:hAnsi="仿宋_GB2312" w:eastAsia="仿宋_GB2312" w:cs="仿宋_GB2312"/>
          <w:b/>
          <w:bCs/>
          <w:color w:val="404040"/>
          <w:sz w:val="32"/>
          <w:szCs w:val="32"/>
          <w:lang w:val="en-US" w:eastAsia="zh-CN"/>
        </w:rPr>
        <w:t>四、2025年度区级部门预算执行提出了什么审计建议？</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color w:val="404040"/>
          <w:sz w:val="32"/>
          <w:szCs w:val="32"/>
          <w:lang w:val="en-US" w:eastAsia="zh-CN"/>
        </w:rPr>
      </w:pPr>
      <w:r>
        <w:rPr>
          <w:rFonts w:hint="eastAsia" w:ascii="仿宋_GB2312" w:hAnsi="仿宋_GB2312" w:eastAsia="仿宋_GB2312" w:cs="仿宋_GB2312"/>
          <w:b w:val="0"/>
          <w:bCs w:val="0"/>
          <w:color w:val="404040"/>
          <w:sz w:val="32"/>
          <w:szCs w:val="32"/>
          <w:lang w:val="en-US" w:eastAsia="zh-CN"/>
        </w:rPr>
        <w:t>对上述问题，区审计局依法出具审计报告，提出了审计意见和建议：</w:t>
      </w:r>
      <w:r>
        <w:rPr>
          <w:rFonts w:hint="eastAsia" w:ascii="仿宋_GB2312" w:hAnsi="仿宋_GB2312" w:eastAsia="仿宋_GB2312" w:cs="仿宋_GB2312"/>
          <w:b w:val="0"/>
          <w:bCs w:val="0"/>
          <w:color w:val="404040"/>
          <w:kern w:val="2"/>
          <w:sz w:val="32"/>
          <w:szCs w:val="32"/>
          <w:lang w:val="en-US" w:eastAsia="zh-CN" w:bidi="ar-SA"/>
        </w:rPr>
        <w:t>一是提高预算编制的准确性和科学性；二是加强项目绩效管理；三是提升政府购买服务项目管理意识；四是强化内控管理；五是加强政府采购管理；六是严格落实资产管理制度。</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404040"/>
          <w:sz w:val="32"/>
          <w:szCs w:val="32"/>
          <w:lang w:val="en-US" w:eastAsia="zh-CN"/>
        </w:rPr>
      </w:pPr>
      <w:r>
        <w:rPr>
          <w:rFonts w:hint="eastAsia" w:ascii="仿宋_GB2312" w:hAnsi="仿宋_GB2312" w:eastAsia="仿宋_GB2312" w:cs="仿宋_GB2312"/>
          <w:b/>
          <w:bCs/>
          <w:color w:val="404040"/>
          <w:sz w:val="32"/>
          <w:szCs w:val="32"/>
          <w:lang w:val="en-US" w:eastAsia="zh-CN"/>
        </w:rPr>
        <w:t>五、2025年度区级部门预算执行和决算草案及其他财政收支审计处理情况如何？</w:t>
      </w:r>
    </w:p>
    <w:p>
      <w:pPr>
        <w:pStyle w:val="3"/>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 w:val="0"/>
          <w:bCs w:val="0"/>
          <w:color w:val="404040"/>
          <w:kern w:val="2"/>
          <w:sz w:val="32"/>
          <w:szCs w:val="32"/>
          <w:lang w:val="en-US" w:eastAsia="zh-CN" w:bidi="ar-SA"/>
        </w:rPr>
      </w:pPr>
      <w:r>
        <w:rPr>
          <w:rFonts w:hint="eastAsia" w:ascii="仿宋_GB2312" w:hAnsi="仿宋_GB2312" w:eastAsia="仿宋_GB2312" w:cs="仿宋_GB2312"/>
          <w:b w:val="0"/>
          <w:bCs w:val="0"/>
          <w:color w:val="404040"/>
          <w:kern w:val="2"/>
          <w:sz w:val="32"/>
          <w:szCs w:val="32"/>
          <w:lang w:val="en-US" w:eastAsia="zh-CN" w:bidi="ar-SA"/>
        </w:rPr>
        <w:t>针对本次审计发现的问题，区审计局依法出具审计报告。部分预算单位立行立改，及时将结余资金上缴区财政，将未入账资产记入固定资产、无形资产账等，同时，相关预算单位进一步加强预算管理、提高财政资金使用效益。</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color w:val="404040"/>
          <w:sz w:val="32"/>
          <w:szCs w:val="32"/>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color w:val="404040"/>
          <w:sz w:val="32"/>
          <w:szCs w:val="32"/>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color w:val="404040"/>
          <w:sz w:val="32"/>
          <w:szCs w:val="32"/>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color w:val="404040"/>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2F1549"/>
    <w:rsid w:val="14D6228E"/>
    <w:rsid w:val="19571B66"/>
    <w:rsid w:val="250749B9"/>
    <w:rsid w:val="25CF4492"/>
    <w:rsid w:val="3FF0201E"/>
    <w:rsid w:val="3FFC1590"/>
    <w:rsid w:val="48451656"/>
    <w:rsid w:val="52532E34"/>
    <w:rsid w:val="548D3B82"/>
    <w:rsid w:val="58065478"/>
    <w:rsid w:val="6DEE454F"/>
    <w:rsid w:val="73BB4374"/>
    <w:rsid w:val="74CC0150"/>
    <w:rsid w:val="7BB52E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napToGrid w:val="0"/>
      <w:spacing w:line="579" w:lineRule="exact"/>
    </w:pPr>
    <w:rPr>
      <w:rFonts w:eastAsia="仿宋_GB2312"/>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next w:val="3"/>
    <w:qFormat/>
    <w:uiPriority w:val="0"/>
    <w:pPr>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708</Words>
  <Characters>732</Characters>
  <Lines>0</Lines>
  <Paragraphs>0</Paragraphs>
  <TotalTime>5</TotalTime>
  <ScaleCrop>false</ScaleCrop>
  <LinksUpToDate>false</LinksUpToDate>
  <CharactersWithSpaces>734</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2025-08-11T13:38:00Z</dcterms:created>
  <dc:creator>john</dc:creator>
  <cp:lastModifiedBy>赵曦</cp:lastModifiedBy>
  <dcterms:modified xsi:type="dcterms:W3CDTF">2026-07-23T08:25:42Z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KSOTemplateDocerSaveRecord">
    <vt:lpwstr>eyJoZGlkIjoiNWI5OWExY2ZiYmRkYjk3MTM0ZmI0YTg4OTY1MjhiNTQifQ==</vt:lpwstr>
  </property>
  <property fmtid="{D5CDD505-2E9C-101B-9397-08002B2CF9AE}" pid="4" name="ICV">
    <vt:lpwstr>3ED69793846348F0BFB3F9CFFEF3B82C_12</vt:lpwstr>
  </property>
</Properties>
</file>