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9CC2BA5">
      <w:pPr>
        <w:jc w:val="center"/>
        <w:rPr>
          <w:rFonts w:hint="eastAsia" w:ascii="方正小标宋简体" w:hAnsi="方正小标宋简体" w:eastAsia="方正小标宋简体" w:cs="方正小标宋简体"/>
          <w:b w:val="0"/>
          <w:bCs w:val="0"/>
          <w:sz w:val="44"/>
          <w:szCs w:val="44"/>
          <w:lang w:val="en-US" w:eastAsia="zh-CN"/>
        </w:rPr>
      </w:pPr>
      <w:bookmarkStart w:id="0" w:name="_GoBack"/>
      <w:r>
        <w:rPr>
          <w:rFonts w:hint="eastAsia" w:ascii="方正小标宋简体" w:hAnsi="方正小标宋简体" w:eastAsia="方正小标宋简体" w:cs="方正小标宋简体"/>
          <w:b w:val="0"/>
          <w:bCs w:val="0"/>
          <w:sz w:val="44"/>
          <w:szCs w:val="44"/>
          <w:lang w:val="en-US" w:eastAsia="zh-CN"/>
        </w:rPr>
        <w:t>听证标准</w:t>
      </w:r>
    </w:p>
    <w:bookmarkEnd w:id="0"/>
    <w:p w14:paraId="3B7F6045">
      <w:pPr>
        <w:pStyle w:val="2"/>
        <w:keepNext w:val="0"/>
        <w:keepLines w:val="0"/>
        <w:widowControl/>
        <w:suppressLineNumbers w:val="0"/>
        <w:spacing w:line="315" w:lineRule="atLeast"/>
        <w:ind w:left="0" w:firstLine="640" w:firstLineChars="200"/>
        <w:rPr>
          <w:rFonts w:hint="eastAsia" w:ascii="仿宋_GB2312" w:hAnsi="仿宋_GB2312" w:eastAsia="仿宋_GB2312" w:cs="仿宋_GB2312"/>
          <w:b w:val="0"/>
          <w:i w:val="0"/>
          <w:caps w:val="0"/>
          <w:color w:val="auto"/>
          <w:spacing w:val="0"/>
          <w:sz w:val="32"/>
          <w:szCs w:val="32"/>
          <w:shd w:val="clear" w:fill="FFFFFF"/>
        </w:rPr>
      </w:pPr>
      <w:r>
        <w:rPr>
          <w:rFonts w:hint="eastAsia" w:ascii="仿宋_GB2312" w:hAnsi="仿宋_GB2312" w:eastAsia="仿宋_GB2312" w:cs="仿宋_GB2312"/>
          <w:b w:val="0"/>
          <w:i w:val="0"/>
          <w:caps w:val="0"/>
          <w:color w:val="auto"/>
          <w:spacing w:val="0"/>
          <w:sz w:val="32"/>
          <w:szCs w:val="32"/>
          <w:shd w:val="clear" w:fill="FFFFFF"/>
        </w:rPr>
        <w:t>按照《中华人民共和国行政处罚法》、《北京市行政处罚听证程序实施办法》相关规定，拟对当事人作出责令停产停业、吊销许可证或者执照、较大数额罚款等行政处罚决定前，应当告知当事人听证权利。其中涉及较大数额罚款的，下放职权目录中原执法部门相关执法领域的较大数额罚款标准如下：</w:t>
      </w:r>
    </w:p>
    <w:p w14:paraId="72546BFA">
      <w:pPr>
        <w:pStyle w:val="2"/>
        <w:keepNext w:val="0"/>
        <w:keepLines w:val="0"/>
        <w:widowControl/>
        <w:suppressLineNumbers w:val="0"/>
        <w:spacing w:line="315" w:lineRule="atLeast"/>
        <w:ind w:left="0" w:firstLine="640" w:firstLineChars="200"/>
        <w:rPr>
          <w:rFonts w:hint="eastAsia" w:ascii="仿宋_GB2312" w:hAnsi="仿宋_GB2312" w:eastAsia="仿宋_GB2312" w:cs="仿宋_GB2312"/>
          <w:b w:val="0"/>
          <w:i w:val="0"/>
          <w:caps w:val="0"/>
          <w:color w:val="auto"/>
          <w:spacing w:val="0"/>
          <w:sz w:val="32"/>
          <w:szCs w:val="32"/>
          <w:shd w:val="clear" w:fill="FFFFFF"/>
        </w:rPr>
      </w:pPr>
      <w:r>
        <w:rPr>
          <w:rFonts w:hint="eastAsia" w:ascii="仿宋_GB2312" w:hAnsi="仿宋_GB2312" w:eastAsia="仿宋_GB2312" w:cs="仿宋_GB2312"/>
          <w:b w:val="0"/>
          <w:i w:val="0"/>
          <w:caps w:val="0"/>
          <w:color w:val="auto"/>
          <w:spacing w:val="0"/>
          <w:sz w:val="32"/>
          <w:szCs w:val="32"/>
          <w:shd w:val="clear" w:fill="FFFFFF"/>
        </w:rPr>
        <w:t>城市管理领域：拟对公民处以超过5000元罚款、拟对法人或其他组织处以超过5万元罚款的，属于较大数额罚款。（京城管发〔2019〕5号）</w:t>
      </w:r>
    </w:p>
    <w:p w14:paraId="53876A17">
      <w:pPr>
        <w:pStyle w:val="2"/>
        <w:keepNext w:val="0"/>
        <w:keepLines w:val="0"/>
        <w:widowControl/>
        <w:suppressLineNumbers w:val="0"/>
        <w:spacing w:line="315" w:lineRule="atLeast"/>
        <w:ind w:left="0" w:firstLine="0"/>
        <w:rPr>
          <w:rFonts w:hint="eastAsia" w:ascii="仿宋_GB2312" w:hAnsi="仿宋_GB2312" w:eastAsia="仿宋_GB2312" w:cs="仿宋_GB2312"/>
          <w:b w:val="0"/>
          <w:i w:val="0"/>
          <w:caps w:val="0"/>
          <w:color w:val="auto"/>
          <w:spacing w:val="0"/>
          <w:sz w:val="32"/>
          <w:szCs w:val="32"/>
          <w:shd w:val="clear" w:fill="FFFFFF"/>
        </w:rPr>
      </w:pPr>
      <w:r>
        <w:rPr>
          <w:rFonts w:hint="eastAsia" w:ascii="仿宋_GB2312" w:hAnsi="仿宋_GB2312" w:eastAsia="仿宋_GB2312" w:cs="仿宋_GB2312"/>
          <w:b w:val="0"/>
          <w:i w:val="0"/>
          <w:caps w:val="0"/>
          <w:color w:val="auto"/>
          <w:spacing w:val="0"/>
          <w:sz w:val="32"/>
          <w:szCs w:val="32"/>
          <w:shd w:val="clear" w:fill="FFFFFF"/>
        </w:rPr>
        <w:t>　</w:t>
      </w:r>
      <w:r>
        <w:rPr>
          <w:rFonts w:hint="eastAsia" w:ascii="仿宋_GB2312" w:hAnsi="仿宋_GB2312" w:eastAsia="仿宋_GB2312" w:cs="仿宋_GB2312"/>
          <w:b w:val="0"/>
          <w:i w:val="0"/>
          <w:caps w:val="0"/>
          <w:color w:val="auto"/>
          <w:spacing w:val="0"/>
          <w:sz w:val="32"/>
          <w:szCs w:val="32"/>
          <w:shd w:val="clear" w:fill="FFFFFF"/>
          <w:lang w:val="en-US" w:eastAsia="zh-CN"/>
        </w:rPr>
        <w:t xml:space="preserve">  </w:t>
      </w:r>
      <w:r>
        <w:rPr>
          <w:rFonts w:hint="eastAsia" w:ascii="仿宋_GB2312" w:hAnsi="仿宋_GB2312" w:eastAsia="仿宋_GB2312" w:cs="仿宋_GB2312"/>
          <w:b w:val="0"/>
          <w:i w:val="0"/>
          <w:caps w:val="0"/>
          <w:color w:val="auto"/>
          <w:spacing w:val="0"/>
          <w:sz w:val="32"/>
          <w:szCs w:val="32"/>
          <w:shd w:val="clear" w:fill="FFFFFF"/>
        </w:rPr>
        <w:t>水务领域：拟作出对公民处以超过一万元、对法人或者其他组织处以超过十万元罚款</w:t>
      </w:r>
      <w:r>
        <w:rPr>
          <w:rFonts w:hint="eastAsia" w:ascii="仿宋_GB2312" w:hAnsi="仿宋_GB2312" w:eastAsia="仿宋_GB2312" w:cs="仿宋_GB2312"/>
          <w:b w:val="0"/>
          <w:i w:val="0"/>
          <w:caps w:val="0"/>
          <w:color w:val="auto"/>
          <w:spacing w:val="0"/>
          <w:sz w:val="32"/>
          <w:szCs w:val="32"/>
          <w:shd w:val="clear" w:fill="FFFFFF"/>
          <w:lang w:eastAsia="zh-CN"/>
        </w:rPr>
        <w:t>；</w:t>
      </w:r>
      <w:r>
        <w:rPr>
          <w:rFonts w:hint="eastAsia" w:ascii="仿宋_GB2312" w:hAnsi="仿宋_GB2312" w:eastAsia="仿宋_GB2312" w:cs="仿宋_GB2312"/>
          <w:b w:val="0"/>
          <w:i w:val="0"/>
          <w:caps w:val="0"/>
          <w:color w:val="auto"/>
          <w:spacing w:val="0"/>
          <w:sz w:val="32"/>
          <w:szCs w:val="32"/>
          <w:shd w:val="clear" w:fill="FFFFFF"/>
        </w:rPr>
        <w:t>没收公民违法所得或者非法财物价值超过五千元、没收法人或者其他组织违法所得或者非法财物价值超过五万元</w:t>
      </w:r>
      <w:r>
        <w:rPr>
          <w:rFonts w:hint="eastAsia" w:ascii="仿宋_GB2312" w:hAnsi="仿宋_GB2312" w:eastAsia="仿宋_GB2312" w:cs="仿宋_GB2312"/>
          <w:b w:val="0"/>
          <w:i w:val="0"/>
          <w:caps w:val="0"/>
          <w:color w:val="auto"/>
          <w:spacing w:val="0"/>
          <w:sz w:val="32"/>
          <w:szCs w:val="32"/>
          <w:shd w:val="clear" w:fill="FFFFFF"/>
          <w:lang w:eastAsia="zh-CN"/>
        </w:rPr>
        <w:t>。</w:t>
      </w:r>
      <w:r>
        <w:rPr>
          <w:rFonts w:hint="eastAsia" w:ascii="仿宋_GB2312" w:hAnsi="仿宋_GB2312" w:eastAsia="仿宋_GB2312" w:cs="仿宋_GB2312"/>
          <w:b w:val="0"/>
          <w:i w:val="0"/>
          <w:caps w:val="0"/>
          <w:color w:val="auto"/>
          <w:spacing w:val="0"/>
          <w:sz w:val="32"/>
          <w:szCs w:val="32"/>
          <w:shd w:val="clear" w:fill="FFFFFF"/>
        </w:rPr>
        <w:t>（京水务法〔2021〕16号）</w:t>
      </w:r>
    </w:p>
    <w:p w14:paraId="691720D0">
      <w:pPr>
        <w:pStyle w:val="2"/>
        <w:keepNext w:val="0"/>
        <w:keepLines w:val="0"/>
        <w:widowControl/>
        <w:suppressLineNumbers w:val="0"/>
        <w:spacing w:line="315" w:lineRule="atLeast"/>
        <w:ind w:left="0" w:firstLine="640" w:firstLineChars="200"/>
        <w:rPr>
          <w:rFonts w:hint="eastAsia" w:ascii="仿宋_GB2312" w:hAnsi="仿宋_GB2312" w:eastAsia="仿宋_GB2312" w:cs="仿宋_GB2312"/>
          <w:b w:val="0"/>
          <w:bCs w:val="0"/>
          <w:i w:val="0"/>
          <w:caps w:val="0"/>
          <w:color w:val="auto"/>
          <w:spacing w:val="0"/>
          <w:sz w:val="32"/>
          <w:szCs w:val="32"/>
          <w:shd w:val="clear" w:fill="FFFFFF"/>
          <w:lang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i w:val="0"/>
          <w:caps w:val="0"/>
          <w:color w:val="auto"/>
          <w:spacing w:val="0"/>
          <w:sz w:val="32"/>
          <w:szCs w:val="32"/>
          <w:shd w:val="clear" w:fill="FFFFFF"/>
        </w:rPr>
        <w:t>生态环境领域：“较大数额”罚款和没收，对公民是指人民币（或者等值物品价值）五千元以上、对法人或者其他组织是指人民币（或者等值物品价值）二十万元以上。</w:t>
      </w:r>
      <w:r>
        <w:rPr>
          <w:rFonts w:hint="eastAsia" w:ascii="仿宋_GB2312" w:hAnsi="仿宋_GB2312" w:eastAsia="仿宋_GB2312" w:cs="仿宋_GB2312"/>
          <w:b w:val="0"/>
          <w:bCs w:val="0"/>
          <w:i w:val="0"/>
          <w:caps w:val="0"/>
          <w:color w:val="auto"/>
          <w:spacing w:val="0"/>
          <w:sz w:val="32"/>
          <w:szCs w:val="32"/>
          <w:shd w:val="clear" w:fill="FFFFFF"/>
          <w:lang w:eastAsia="zh-CN"/>
        </w:rPr>
        <w:t>（</w:t>
      </w:r>
      <w:r>
        <w:rPr>
          <w:rFonts w:hint="eastAsia" w:ascii="仿宋_GB2312" w:hAnsi="仿宋_GB2312" w:eastAsia="仿宋_GB2312" w:cs="仿宋_GB2312"/>
          <w:b w:val="0"/>
          <w:bCs w:val="0"/>
          <w:i w:val="0"/>
          <w:caps w:val="0"/>
          <w:color w:val="auto"/>
          <w:spacing w:val="0"/>
          <w:sz w:val="32"/>
          <w:szCs w:val="32"/>
          <w:shd w:val="clear" w:fill="FFFFFF"/>
        </w:rPr>
        <w:t>《环境行政处罚办法》第</w:t>
      </w:r>
      <w:r>
        <w:rPr>
          <w:rFonts w:hint="eastAsia" w:ascii="仿宋_GB2312" w:hAnsi="仿宋_GB2312" w:eastAsia="仿宋_GB2312" w:cs="仿宋_GB2312"/>
          <w:b w:val="0"/>
          <w:bCs w:val="0"/>
          <w:i w:val="0"/>
          <w:caps w:val="0"/>
          <w:color w:val="auto"/>
          <w:spacing w:val="0"/>
          <w:sz w:val="32"/>
          <w:szCs w:val="32"/>
          <w:shd w:val="clear" w:fill="FFFFFF"/>
          <w:lang w:val="en-US" w:eastAsia="zh-CN"/>
        </w:rPr>
        <w:t>八十九条</w:t>
      </w:r>
      <w:r>
        <w:rPr>
          <w:rFonts w:hint="eastAsia" w:ascii="仿宋_GB2312" w:hAnsi="仿宋_GB2312" w:eastAsia="仿宋_GB2312" w:cs="仿宋_GB2312"/>
          <w:b w:val="0"/>
          <w:bCs w:val="0"/>
          <w:i w:val="0"/>
          <w:caps w:val="0"/>
          <w:color w:val="auto"/>
          <w:spacing w:val="0"/>
          <w:sz w:val="32"/>
          <w:szCs w:val="32"/>
          <w:shd w:val="clear" w:fill="FFFFFF"/>
        </w:rPr>
        <w:t xml:space="preserve"> </w:t>
      </w:r>
      <w:r>
        <w:rPr>
          <w:rFonts w:hint="eastAsia" w:ascii="仿宋_GB2312" w:hAnsi="仿宋_GB2312" w:eastAsia="仿宋_GB2312" w:cs="仿宋_GB2312"/>
          <w:b w:val="0"/>
          <w:bCs w:val="0"/>
          <w:i w:val="0"/>
          <w:caps w:val="0"/>
          <w:color w:val="auto"/>
          <w:spacing w:val="0"/>
          <w:sz w:val="32"/>
          <w:szCs w:val="32"/>
          <w:shd w:val="clear" w:fill="FFFFFF"/>
          <w:lang w:eastAsia="zh-CN"/>
        </w:rPr>
        <w:t>）</w:t>
      </w:r>
    </w:p>
    <w:p w14:paraId="31719A92">
      <w:pPr>
        <w:pStyle w:val="2"/>
        <w:keepNext w:val="0"/>
        <w:keepLines w:val="0"/>
        <w:widowControl/>
        <w:suppressLineNumbers w:val="0"/>
        <w:spacing w:line="315" w:lineRule="atLeast"/>
        <w:ind w:firstLine="640" w:firstLineChars="200"/>
        <w:rPr>
          <w:rFonts w:hint="eastAsia" w:ascii="仿宋_GB2312" w:hAnsi="仿宋_GB2312" w:eastAsia="仿宋_GB2312" w:cs="仿宋_GB2312"/>
          <w:b w:val="0"/>
          <w:i w:val="0"/>
          <w:caps w:val="0"/>
          <w:color w:val="auto"/>
          <w:spacing w:val="0"/>
          <w:sz w:val="32"/>
          <w:szCs w:val="32"/>
          <w:shd w:val="clear" w:fill="FFFFFF"/>
        </w:rPr>
      </w:pPr>
      <w:r>
        <w:rPr>
          <w:rFonts w:hint="eastAsia" w:ascii="仿宋_GB2312" w:hAnsi="仿宋_GB2312" w:eastAsia="仿宋_GB2312" w:cs="仿宋_GB2312"/>
          <w:b w:val="0"/>
          <w:i w:val="0"/>
          <w:caps w:val="0"/>
          <w:color w:val="auto"/>
          <w:spacing w:val="0"/>
          <w:sz w:val="32"/>
          <w:szCs w:val="32"/>
          <w:shd w:val="clear" w:fill="FFFFFF"/>
        </w:rPr>
        <w:t>卫生健康领域：拟对公民处以超过1000元罚款、拟对法人或其他组织处以超过3万元罚款。</w:t>
      </w:r>
    </w:p>
    <w:p w14:paraId="59958187">
      <w:pPr>
        <w:pStyle w:val="2"/>
        <w:keepNext w:val="0"/>
        <w:keepLines w:val="0"/>
        <w:widowControl/>
        <w:suppressLineNumbers w:val="0"/>
        <w:spacing w:line="315" w:lineRule="atLeast"/>
        <w:ind w:left="0" w:firstLine="640" w:firstLineChars="200"/>
        <w:rPr>
          <w:rFonts w:hint="eastAsia" w:ascii="仿宋_GB2312" w:hAnsi="仿宋_GB2312" w:eastAsia="仿宋_GB2312" w:cs="仿宋_GB2312"/>
          <w:b w:val="0"/>
          <w:i w:val="0"/>
          <w:caps w:val="0"/>
          <w:color w:val="auto"/>
          <w:spacing w:val="0"/>
          <w:sz w:val="32"/>
          <w:szCs w:val="32"/>
          <w:shd w:val="clear" w:fill="FFFFFF"/>
        </w:rPr>
      </w:pPr>
      <w:r>
        <w:rPr>
          <w:rFonts w:hint="eastAsia" w:ascii="仿宋_GB2312" w:hAnsi="仿宋_GB2312" w:eastAsia="仿宋_GB2312" w:cs="仿宋_GB2312"/>
          <w:b w:val="0"/>
          <w:i w:val="0"/>
          <w:caps w:val="0"/>
          <w:color w:val="auto"/>
          <w:spacing w:val="0"/>
          <w:sz w:val="32"/>
          <w:szCs w:val="32"/>
          <w:shd w:val="clear" w:fill="FFFFFF"/>
        </w:rPr>
        <w:t>农业农村领域:拟对公民处以超过</w:t>
      </w:r>
      <w:r>
        <w:rPr>
          <w:rFonts w:hint="eastAsia" w:ascii="仿宋_GB2312" w:hAnsi="仿宋_GB2312" w:eastAsia="仿宋_GB2312" w:cs="仿宋_GB2312"/>
          <w:b w:val="0"/>
          <w:i w:val="0"/>
          <w:caps w:val="0"/>
          <w:color w:val="auto"/>
          <w:spacing w:val="0"/>
          <w:sz w:val="32"/>
          <w:szCs w:val="32"/>
          <w:shd w:val="clear" w:fill="FFFFFF"/>
          <w:lang w:val="en-US" w:eastAsia="zh-CN"/>
        </w:rPr>
        <w:t>1万</w:t>
      </w:r>
      <w:r>
        <w:rPr>
          <w:rFonts w:hint="eastAsia" w:ascii="仿宋_GB2312" w:hAnsi="仿宋_GB2312" w:eastAsia="仿宋_GB2312" w:cs="仿宋_GB2312"/>
          <w:b w:val="0"/>
          <w:i w:val="0"/>
          <w:caps w:val="0"/>
          <w:color w:val="auto"/>
          <w:spacing w:val="0"/>
          <w:sz w:val="32"/>
          <w:szCs w:val="32"/>
          <w:shd w:val="clear" w:fill="FFFFFF"/>
        </w:rPr>
        <w:t>元罚款、拟对法人或其他组织处以超过</w:t>
      </w:r>
      <w:r>
        <w:rPr>
          <w:rFonts w:hint="eastAsia" w:ascii="仿宋_GB2312" w:hAnsi="仿宋_GB2312" w:eastAsia="仿宋_GB2312" w:cs="仿宋_GB2312"/>
          <w:b w:val="0"/>
          <w:i w:val="0"/>
          <w:caps w:val="0"/>
          <w:color w:val="auto"/>
          <w:spacing w:val="0"/>
          <w:sz w:val="32"/>
          <w:szCs w:val="32"/>
          <w:shd w:val="clear" w:fill="FFFFFF"/>
          <w:lang w:val="en-US" w:eastAsia="zh-CN"/>
        </w:rPr>
        <w:t>10</w:t>
      </w:r>
      <w:r>
        <w:rPr>
          <w:rFonts w:hint="eastAsia" w:ascii="仿宋_GB2312" w:hAnsi="仿宋_GB2312" w:eastAsia="仿宋_GB2312" w:cs="仿宋_GB2312"/>
          <w:b w:val="0"/>
          <w:i w:val="0"/>
          <w:caps w:val="0"/>
          <w:color w:val="auto"/>
          <w:spacing w:val="0"/>
          <w:sz w:val="32"/>
          <w:szCs w:val="32"/>
          <w:shd w:val="clear" w:fill="FFFFFF"/>
        </w:rPr>
        <w:t>万元罚款</w:t>
      </w:r>
      <w:r>
        <w:rPr>
          <w:rFonts w:hint="eastAsia" w:ascii="仿宋_GB2312" w:hAnsi="仿宋_GB2312" w:eastAsia="仿宋_GB2312" w:cs="仿宋_GB2312"/>
          <w:b w:val="0"/>
          <w:i w:val="0"/>
          <w:caps w:val="0"/>
          <w:color w:val="auto"/>
          <w:spacing w:val="0"/>
          <w:sz w:val="32"/>
          <w:szCs w:val="32"/>
          <w:shd w:val="clear" w:fill="FFFFFF"/>
          <w:lang w:eastAsia="zh-CN"/>
        </w:rPr>
        <w:t>。（</w:t>
      </w:r>
      <w:r>
        <w:rPr>
          <w:rFonts w:hint="eastAsia" w:ascii="仿宋_GB2312" w:hAnsi="仿宋_GB2312" w:eastAsia="仿宋_GB2312" w:cs="仿宋_GB2312"/>
          <w:b w:val="0"/>
          <w:i w:val="0"/>
          <w:caps w:val="0"/>
          <w:color w:val="auto"/>
          <w:spacing w:val="0"/>
          <w:sz w:val="32"/>
          <w:szCs w:val="32"/>
          <w:shd w:val="clear" w:fill="FFFFFF"/>
        </w:rPr>
        <w:t>没收</w:t>
      </w:r>
      <w:r>
        <w:rPr>
          <w:rFonts w:hint="eastAsia" w:ascii="仿宋_GB2312" w:hAnsi="仿宋_GB2312" w:eastAsia="仿宋_GB2312" w:cs="仿宋_GB2312"/>
          <w:b w:val="0"/>
          <w:i w:val="0"/>
          <w:caps w:val="0"/>
          <w:color w:val="auto"/>
          <w:spacing w:val="0"/>
          <w:sz w:val="32"/>
          <w:szCs w:val="32"/>
          <w:shd w:val="clear" w:fill="FFFFFF"/>
          <w:lang w:eastAsia="zh-CN"/>
        </w:rPr>
        <w:t>较大数额违法所得、没收较大价值非法财物</w:t>
      </w:r>
      <w:r>
        <w:rPr>
          <w:rFonts w:hint="eastAsia" w:ascii="仿宋_GB2312" w:hAnsi="仿宋_GB2312" w:eastAsia="仿宋_GB2312" w:cs="仿宋_GB2312"/>
          <w:b w:val="0"/>
          <w:i w:val="0"/>
          <w:caps w:val="0"/>
          <w:color w:val="auto"/>
          <w:spacing w:val="0"/>
          <w:sz w:val="32"/>
          <w:szCs w:val="32"/>
          <w:shd w:val="clear" w:fill="FFFFFF"/>
          <w:lang w:val="en-US" w:eastAsia="zh-CN"/>
        </w:rPr>
        <w:t>参照执行</w:t>
      </w:r>
      <w:r>
        <w:rPr>
          <w:rFonts w:hint="eastAsia" w:ascii="仿宋_GB2312" w:hAnsi="仿宋_GB2312" w:eastAsia="仿宋_GB2312" w:cs="仿宋_GB2312"/>
          <w:b w:val="0"/>
          <w:i w:val="0"/>
          <w:caps w:val="0"/>
          <w:color w:val="auto"/>
          <w:spacing w:val="0"/>
          <w:sz w:val="32"/>
          <w:szCs w:val="32"/>
          <w:shd w:val="clear" w:fill="FFFFFF"/>
          <w:lang w:eastAsia="zh-CN"/>
        </w:rPr>
        <w:t>）。（</w:t>
      </w:r>
      <w:r>
        <w:rPr>
          <w:rFonts w:hint="eastAsia" w:ascii="仿宋_GB2312" w:hAnsi="仿宋_GB2312" w:eastAsia="仿宋_GB2312" w:cs="仿宋_GB2312"/>
          <w:b w:val="0"/>
          <w:i w:val="0"/>
          <w:caps w:val="0"/>
          <w:color w:val="auto"/>
          <w:spacing w:val="0"/>
          <w:sz w:val="32"/>
          <w:szCs w:val="32"/>
          <w:shd w:val="clear" w:fill="FFFFFF"/>
        </w:rPr>
        <w:t>中华人民共和国农业农村部令2021年第4号</w:t>
      </w:r>
      <w:r>
        <w:rPr>
          <w:rFonts w:hint="eastAsia" w:ascii="仿宋_GB2312" w:hAnsi="仿宋_GB2312" w:eastAsia="仿宋_GB2312" w:cs="仿宋_GB2312"/>
          <w:b w:val="0"/>
          <w:i w:val="0"/>
          <w:caps w:val="0"/>
          <w:color w:val="auto"/>
          <w:spacing w:val="0"/>
          <w:sz w:val="32"/>
          <w:szCs w:val="32"/>
          <w:shd w:val="clear" w:fill="FFFFFF"/>
          <w:lang w:eastAsia="zh-CN"/>
        </w:rPr>
        <w:t>《</w:t>
      </w:r>
      <w:r>
        <w:rPr>
          <w:rFonts w:hint="eastAsia" w:ascii="仿宋_GB2312" w:hAnsi="仿宋_GB2312" w:eastAsia="仿宋_GB2312" w:cs="仿宋_GB2312"/>
          <w:b w:val="0"/>
          <w:i w:val="0"/>
          <w:caps w:val="0"/>
          <w:color w:val="auto"/>
          <w:spacing w:val="0"/>
          <w:sz w:val="32"/>
          <w:szCs w:val="32"/>
          <w:shd w:val="clear" w:fill="FFFFFF"/>
        </w:rPr>
        <w:t>农业行政处罚程序规定</w:t>
      </w:r>
      <w:r>
        <w:rPr>
          <w:rFonts w:hint="eastAsia" w:ascii="仿宋_GB2312" w:hAnsi="仿宋_GB2312" w:eastAsia="仿宋_GB2312" w:cs="仿宋_GB2312"/>
          <w:b w:val="0"/>
          <w:i w:val="0"/>
          <w:caps w:val="0"/>
          <w:color w:val="auto"/>
          <w:spacing w:val="0"/>
          <w:sz w:val="32"/>
          <w:szCs w:val="32"/>
          <w:shd w:val="clear" w:fill="FFFFFF"/>
          <w:lang w:eastAsia="zh-CN"/>
        </w:rPr>
        <w:t>》</w:t>
      </w:r>
      <w:r>
        <w:rPr>
          <w:rFonts w:hint="eastAsia" w:ascii="仿宋_GB2312" w:hAnsi="仿宋_GB2312" w:eastAsia="仿宋_GB2312" w:cs="仿宋_GB2312"/>
          <w:b w:val="0"/>
          <w:i w:val="0"/>
          <w:caps w:val="0"/>
          <w:color w:val="auto"/>
          <w:spacing w:val="0"/>
          <w:sz w:val="32"/>
          <w:szCs w:val="32"/>
          <w:shd w:val="clear" w:fill="FFFFFF"/>
        </w:rPr>
        <w:t>第五十九条</w:t>
      </w:r>
      <w:r>
        <w:rPr>
          <w:rFonts w:hint="eastAsia" w:ascii="仿宋_GB2312" w:hAnsi="仿宋_GB2312" w:eastAsia="仿宋_GB2312" w:cs="仿宋_GB2312"/>
          <w:b w:val="0"/>
          <w:i w:val="0"/>
          <w:caps w:val="0"/>
          <w:color w:val="auto"/>
          <w:spacing w:val="0"/>
          <w:sz w:val="32"/>
          <w:szCs w:val="32"/>
          <w:shd w:val="clear" w:fill="FFFFFF"/>
          <w:lang w:eastAsia="zh-CN"/>
        </w:rPr>
        <w:t>）</w:t>
      </w:r>
    </w:p>
    <w:p w14:paraId="30122DBB">
      <w:pPr>
        <w:pStyle w:val="2"/>
        <w:keepNext w:val="0"/>
        <w:keepLines w:val="0"/>
        <w:widowControl/>
        <w:suppressLineNumbers w:val="0"/>
        <w:spacing w:line="315" w:lineRule="atLeast"/>
        <w:ind w:left="0" w:firstLine="540"/>
        <w:rPr>
          <w:rFonts w:hint="default" w:ascii="sans-serif" w:hAnsi="sans-serif" w:eastAsia="sans-serif" w:cs="sans-serif"/>
          <w:i w:val="0"/>
          <w:caps w:val="0"/>
          <w:color w:val="000000"/>
          <w:spacing w:val="0"/>
          <w:sz w:val="27"/>
          <w:szCs w:val="27"/>
        </w:rPr>
      </w:pPr>
    </w:p>
    <w:p w14:paraId="346C3C05">
      <w:pPr>
        <w:pStyle w:val="2"/>
        <w:keepNext w:val="0"/>
        <w:keepLines w:val="0"/>
        <w:widowControl/>
        <w:suppressLineNumbers w:val="0"/>
        <w:spacing w:before="0" w:beforeAutospacing="0" w:line="315" w:lineRule="atLeast"/>
        <w:ind w:left="0" w:firstLine="0"/>
        <w:rPr>
          <w:rFonts w:hint="default" w:ascii="sans-serif" w:hAnsi="sans-serif" w:eastAsia="sans-serif" w:cs="sans-serif"/>
          <w:i w:val="0"/>
          <w:caps w:val="0"/>
          <w:color w:val="000000"/>
          <w:spacing w:val="0"/>
          <w:sz w:val="27"/>
          <w:szCs w:val="27"/>
        </w:rPr>
      </w:pPr>
    </w:p>
    <w:p w14:paraId="7480FDEB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sans-serif">
    <w:altName w:val="Segoe Print"/>
    <w:panose1 w:val="00000000000000000000"/>
    <w:charset w:val="00"/>
    <w:family w:val="auto"/>
    <w:pitch w:val="default"/>
    <w:sig w:usb0="00000000" w:usb1="00000000" w:usb2="00000000" w:usb3="00000000" w:csb0="00040001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TVlMTEwYzQyOThhMDNmZjM2MDk2NDA0ZjkwZjA3MmUifQ=="/>
  </w:docVars>
  <w:rsids>
    <w:rsidRoot w:val="00000000"/>
    <w:rsid w:val="02055614"/>
    <w:rsid w:val="02834EDD"/>
    <w:rsid w:val="1E252ABC"/>
    <w:rsid w:val="22B37FE3"/>
    <w:rsid w:val="29345DE7"/>
    <w:rsid w:val="29F344C6"/>
    <w:rsid w:val="2D6A68D4"/>
    <w:rsid w:val="3F304187"/>
    <w:rsid w:val="47735386"/>
    <w:rsid w:val="4BA61925"/>
    <w:rsid w:val="571C49E9"/>
    <w:rsid w:val="693D39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qFormat="1" w:unhideWhenUsed="0" w:uiPriority="0" w:semiHidden="0" w:name="HTML Cite"/>
    <w:lsdException w:unhideWhenUsed="0" w:uiPriority="0" w:semiHidden="0" w:name="HTML Code"/>
    <w:lsdException w:qFormat="1"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qFormat/>
    <w:uiPriority w:val="0"/>
    <w:pPr>
      <w:spacing w:before="100" w:beforeAutospacing="1" w:after="100" w:afterAutospacing="1"/>
      <w:ind w:left="0" w:right="0"/>
      <w:jc w:val="left"/>
    </w:pPr>
    <w:rPr>
      <w:kern w:val="0"/>
      <w:sz w:val="24"/>
      <w:lang w:val="en-US" w:eastAsia="zh-CN" w:bidi="ar"/>
    </w:rPr>
  </w:style>
  <w:style w:type="character" w:styleId="5">
    <w:name w:val="Emphasis"/>
    <w:basedOn w:val="4"/>
    <w:qFormat/>
    <w:uiPriority w:val="0"/>
  </w:style>
  <w:style w:type="character" w:styleId="6">
    <w:name w:val="HTML Definition"/>
    <w:basedOn w:val="4"/>
    <w:qFormat/>
    <w:uiPriority w:val="0"/>
  </w:style>
  <w:style w:type="character" w:styleId="7">
    <w:name w:val="Hyperlink"/>
    <w:basedOn w:val="4"/>
    <w:qFormat/>
    <w:uiPriority w:val="0"/>
    <w:rPr>
      <w:rFonts w:hint="eastAsia" w:ascii="微软雅黑" w:hAnsi="微软雅黑" w:eastAsia="微软雅黑" w:cs="微软雅黑"/>
      <w:color w:val="0000FF"/>
      <w:u w:val="none"/>
    </w:rPr>
  </w:style>
  <w:style w:type="character" w:styleId="8">
    <w:name w:val="HTML Cite"/>
    <w:basedOn w:val="4"/>
    <w:qFormat/>
    <w:uiPriority w:val="0"/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532</Words>
  <Characters>552</Characters>
  <Lines>0</Lines>
  <Paragraphs>0</Paragraphs>
  <TotalTime>1347</TotalTime>
  <ScaleCrop>false</ScaleCrop>
  <LinksUpToDate>false</LinksUpToDate>
  <CharactersWithSpaces>556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2022-12-05T07:25:00Z</dcterms:created>
  <dc:creator>16061</dc:creator>
  <cp:lastModifiedBy>HP</cp:lastModifiedBy>
  <dcterms:modified xsi:type="dcterms:W3CDTF">2026-07-31T02:02:06Z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2CA45CB7F93F480DB978039E45BDB195_13</vt:lpwstr>
  </property>
  <property fmtid="{D5CDD505-2E9C-101B-9397-08002B2CF9AE}" pid="4" name="KSOTemplateDocerSaveRecord">
    <vt:lpwstr>eyJoZGlkIjoiYWE4MGRhODdjYjE1M2ViMWYwYzM3N2Y0NDA3NzI4NTAiLCJ1c2VySWQiOiIyMTEwNTAxNzMifQ==</vt:lpwstr>
  </property>
</Properties>
</file>