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F40E0D">
      <w:pPr>
        <w:jc w:val="center"/>
      </w:pPr>
      <w:r>
        <w:rPr>
          <w:rFonts w:ascii="方正小标宋简体" w:hAnsi="方正小标宋简体" w:eastAsia="方正小标宋简体" w:cs="方正小标宋简体"/>
          <w:i w:val="0"/>
          <w:iCs w:val="0"/>
          <w:caps w:val="0"/>
          <w:color w:val="000000"/>
          <w:spacing w:val="0"/>
          <w:sz w:val="36"/>
          <w:szCs w:val="36"/>
        </w:rPr>
        <w:t>西城区政府部门行政职权运行通用责任清单</w:t>
      </w:r>
    </w:p>
    <w:p w14:paraId="1078CDA2"/>
    <w:tbl>
      <w:tblPr>
        <w:tblStyle w:val="3"/>
        <w:tblW w:w="10500" w:type="dxa"/>
        <w:tblInd w:w="-96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39"/>
        <w:gridCol w:w="1625"/>
        <w:gridCol w:w="353"/>
        <w:gridCol w:w="7883"/>
      </w:tblGrid>
      <w:tr w14:paraId="21709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50" w:hRule="atLeast"/>
        </w:trPr>
        <w:tc>
          <w:tcPr>
            <w:tcW w:w="10500" w:type="dxa"/>
            <w:gridSpan w:val="4"/>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31F246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黑体" w:hAnsi="宋体" w:eastAsia="黑体" w:cs="黑体"/>
                <w:i w:val="0"/>
                <w:iCs w:val="0"/>
                <w:caps w:val="0"/>
                <w:color w:val="000000"/>
                <w:spacing w:val="0"/>
                <w:sz w:val="27"/>
                <w:szCs w:val="27"/>
              </w:rPr>
              <w:t>一、行政许可类行政职权运行通用责任</w:t>
            </w:r>
          </w:p>
        </w:tc>
      </w:tr>
      <w:tr w14:paraId="1E810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5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530E0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序号</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4C61E7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运行环节</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7238CC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责任事项</w:t>
            </w:r>
          </w:p>
        </w:tc>
      </w:tr>
      <w:tr w14:paraId="75976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5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1A630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仿宋_GB2312" w:hAnsi="sans-serif" w:eastAsia="仿宋_GB2312" w:cs="仿宋_GB2312"/>
                <w:i w:val="0"/>
                <w:iCs w:val="0"/>
                <w:caps w:val="0"/>
                <w:color w:val="000000"/>
                <w:spacing w:val="0"/>
                <w:sz w:val="24"/>
                <w:szCs w:val="24"/>
              </w:rPr>
              <w:t>1</w:t>
            </w:r>
          </w:p>
        </w:tc>
        <w:tc>
          <w:tcPr>
            <w:tcW w:w="1978" w:type="dxa"/>
            <w:gridSpan w:val="2"/>
            <w:vMerge w:val="restart"/>
            <w:tcBorders>
              <w:top w:val="nil"/>
              <w:left w:val="nil"/>
              <w:bottom w:val="nil"/>
              <w:right w:val="single" w:color="auto" w:sz="6" w:space="0"/>
            </w:tcBorders>
            <w:shd w:val="clear" w:color="auto" w:fill="auto"/>
            <w:tcMar>
              <w:left w:w="105" w:type="dxa"/>
              <w:right w:w="105" w:type="dxa"/>
            </w:tcMar>
            <w:vAlign w:val="center"/>
          </w:tcPr>
          <w:p w14:paraId="3E15E1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（一）受理</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3FD9C3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接收申请人提交的材料。</w:t>
            </w:r>
            <w:bookmarkStart w:id="0" w:name="_GoBack"/>
            <w:bookmarkEnd w:id="0"/>
            <w:r>
              <w:rPr>
                <w:rFonts w:hint="eastAsia" w:ascii="仿宋_GB2312" w:hAnsi="sans-serif" w:eastAsia="仿宋_GB2312" w:cs="仿宋_GB2312"/>
                <w:i w:val="0"/>
                <w:iCs w:val="0"/>
                <w:caps w:val="0"/>
                <w:color w:val="000000"/>
                <w:spacing w:val="0"/>
                <w:sz w:val="24"/>
                <w:szCs w:val="24"/>
              </w:rPr>
              <w:t>若申请人提交的申请材料不齐全、不符合法定形式，应当一次性告知申请人必须补正的全部内容。</w:t>
            </w:r>
          </w:p>
        </w:tc>
      </w:tr>
      <w:tr w14:paraId="69197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B1ADD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2</w:t>
            </w:r>
          </w:p>
        </w:tc>
        <w:tc>
          <w:tcPr>
            <w:tcW w:w="1978" w:type="dxa"/>
            <w:gridSpan w:val="2"/>
            <w:vMerge w:val="continue"/>
            <w:tcBorders>
              <w:top w:val="nil"/>
              <w:left w:val="nil"/>
              <w:bottom w:val="nil"/>
              <w:right w:val="single" w:color="auto" w:sz="6" w:space="0"/>
            </w:tcBorders>
            <w:shd w:val="clear" w:color="auto" w:fill="auto"/>
            <w:tcMar>
              <w:left w:w="105" w:type="dxa"/>
              <w:right w:w="105" w:type="dxa"/>
            </w:tcMar>
            <w:vAlign w:val="center"/>
          </w:tcPr>
          <w:p w14:paraId="460B81F6">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60F13A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受理或者不予受理行政许可申请，应当出具加盖行政机关专用印章和注明日期的书面凭证。</w:t>
            </w:r>
          </w:p>
        </w:tc>
      </w:tr>
      <w:tr w14:paraId="22F8F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FBBCF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3</w:t>
            </w:r>
          </w:p>
        </w:tc>
        <w:tc>
          <w:tcPr>
            <w:tcW w:w="1978" w:type="dxa"/>
            <w:gridSpan w:val="2"/>
            <w:vMerge w:val="continue"/>
            <w:tcBorders>
              <w:top w:val="nil"/>
              <w:left w:val="nil"/>
              <w:bottom w:val="nil"/>
              <w:right w:val="single" w:color="auto" w:sz="6" w:space="0"/>
            </w:tcBorders>
            <w:shd w:val="clear" w:color="auto" w:fill="auto"/>
            <w:tcMar>
              <w:left w:w="105" w:type="dxa"/>
              <w:right w:w="105" w:type="dxa"/>
            </w:tcMar>
            <w:vAlign w:val="center"/>
          </w:tcPr>
          <w:p w14:paraId="39C08DF9">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4C1308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依法说明不受理行政许可申请或者不予行政许可的理由。</w:t>
            </w:r>
          </w:p>
        </w:tc>
      </w:tr>
      <w:tr w14:paraId="0519F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3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BDE6A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4</w:t>
            </w:r>
          </w:p>
        </w:tc>
        <w:tc>
          <w:tcPr>
            <w:tcW w:w="1978" w:type="dxa"/>
            <w:gridSpan w:val="2"/>
            <w:vMerge w:val="restart"/>
            <w:tcBorders>
              <w:top w:val="single" w:color="auto" w:sz="6" w:space="0"/>
              <w:left w:val="nil"/>
              <w:bottom w:val="single" w:color="000000" w:sz="6" w:space="0"/>
              <w:right w:val="single" w:color="auto" w:sz="6" w:space="0"/>
            </w:tcBorders>
            <w:shd w:val="clear" w:color="auto" w:fill="auto"/>
            <w:tcMar>
              <w:left w:w="105" w:type="dxa"/>
              <w:right w:w="105" w:type="dxa"/>
            </w:tcMar>
            <w:vAlign w:val="center"/>
          </w:tcPr>
          <w:p w14:paraId="547D20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（二）审查</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382D3A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申请人提交的申请材料齐全、符合法定形式，能够当场作出决定的，当场作出书面的行政许可决定。</w:t>
            </w:r>
          </w:p>
        </w:tc>
      </w:tr>
      <w:tr w14:paraId="320E2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41EF6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5</w:t>
            </w:r>
          </w:p>
        </w:tc>
        <w:tc>
          <w:tcPr>
            <w:tcW w:w="1978" w:type="dxa"/>
            <w:gridSpan w:val="2"/>
            <w:vMerge w:val="continue"/>
            <w:tcBorders>
              <w:top w:val="single" w:color="auto" w:sz="6" w:space="0"/>
              <w:left w:val="nil"/>
              <w:bottom w:val="single" w:color="000000" w:sz="6" w:space="0"/>
              <w:right w:val="single" w:color="auto" w:sz="6" w:space="0"/>
            </w:tcBorders>
            <w:shd w:val="clear" w:color="auto" w:fill="auto"/>
            <w:tcMar>
              <w:left w:w="105" w:type="dxa"/>
              <w:right w:w="105" w:type="dxa"/>
            </w:tcMar>
            <w:vAlign w:val="center"/>
          </w:tcPr>
          <w:p w14:paraId="026B4FDC">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1852C9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根据法定条件和程序，需要对申请材料的实质内容进行核实的，行政机关应当指派2名以上工作人员进行核查。</w:t>
            </w:r>
          </w:p>
        </w:tc>
      </w:tr>
      <w:tr w14:paraId="124DC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366465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6</w:t>
            </w:r>
          </w:p>
        </w:tc>
        <w:tc>
          <w:tcPr>
            <w:tcW w:w="1978" w:type="dxa"/>
            <w:gridSpan w:val="2"/>
            <w:vMerge w:val="continue"/>
            <w:tcBorders>
              <w:top w:val="single" w:color="auto" w:sz="6" w:space="0"/>
              <w:left w:val="nil"/>
              <w:bottom w:val="single" w:color="000000" w:sz="6" w:space="0"/>
              <w:right w:val="single" w:color="auto" w:sz="6" w:space="0"/>
            </w:tcBorders>
            <w:shd w:val="clear" w:color="auto" w:fill="auto"/>
            <w:tcMar>
              <w:left w:w="105" w:type="dxa"/>
              <w:right w:w="105" w:type="dxa"/>
            </w:tcMar>
            <w:vAlign w:val="center"/>
          </w:tcPr>
          <w:p w14:paraId="6048904F">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06D065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需依法举行听证的应当依法举行听证。</w:t>
            </w:r>
          </w:p>
        </w:tc>
      </w:tr>
      <w:tr w14:paraId="31E3C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9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9A97E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7</w:t>
            </w:r>
          </w:p>
        </w:tc>
        <w:tc>
          <w:tcPr>
            <w:tcW w:w="1978" w:type="dxa"/>
            <w:gridSpan w:val="2"/>
            <w:vMerge w:val="restart"/>
            <w:tcBorders>
              <w:top w:val="nil"/>
              <w:left w:val="nil"/>
              <w:bottom w:val="single" w:color="000000" w:sz="6" w:space="0"/>
              <w:right w:val="single" w:color="auto" w:sz="6" w:space="0"/>
            </w:tcBorders>
            <w:shd w:val="clear" w:color="auto" w:fill="auto"/>
            <w:tcMar>
              <w:left w:w="105" w:type="dxa"/>
              <w:right w:w="105" w:type="dxa"/>
            </w:tcMar>
            <w:vAlign w:val="center"/>
          </w:tcPr>
          <w:p w14:paraId="0F2717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（三）决定</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126F89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对符合法定条件的申请人应当在法定职权范围和期限内尽快作出准予行政许可的决定。</w:t>
            </w:r>
          </w:p>
        </w:tc>
      </w:tr>
      <w:tr w14:paraId="1C78F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5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F2DF3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8</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14:paraId="2D54137F">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4F1B5C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依法根据招标、拍卖结果或者考试成绩择优作出准予行政许可的决定。</w:t>
            </w:r>
          </w:p>
        </w:tc>
      </w:tr>
      <w:tr w14:paraId="1114D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1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C139C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9</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14:paraId="0B344F43">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2806FA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依法作出不予行政许可的书面决定的，应当说明理由，并告知申请人享有依法申请行政复议或者提起行政诉讼的权利。</w:t>
            </w:r>
          </w:p>
        </w:tc>
      </w:tr>
      <w:tr w14:paraId="35337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3C787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10</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14:paraId="16EE3907">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37711C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按法定项目和标准予以收费。</w:t>
            </w:r>
          </w:p>
        </w:tc>
      </w:tr>
      <w:tr w14:paraId="16251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550C6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11</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14:paraId="59A923E4">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13F151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sans-serif" w:hAnsi="sans-serif" w:eastAsia="sans-serif" w:cs="sans-serif"/>
                <w:i w:val="0"/>
                <w:iCs w:val="0"/>
                <w:caps w:val="0"/>
                <w:color w:val="000000"/>
                <w:spacing w:val="0"/>
                <w:sz w:val="24"/>
                <w:szCs w:val="24"/>
              </w:rPr>
              <w:t>    </w:t>
            </w:r>
            <w:r>
              <w:rPr>
                <w:rFonts w:hint="eastAsia" w:ascii="仿宋_GB2312" w:hAnsi="sans-serif" w:eastAsia="仿宋_GB2312" w:cs="仿宋_GB2312"/>
                <w:i w:val="0"/>
                <w:iCs w:val="0"/>
                <w:caps w:val="0"/>
                <w:color w:val="000000"/>
                <w:spacing w:val="0"/>
                <w:sz w:val="24"/>
                <w:szCs w:val="24"/>
              </w:rPr>
              <w:t>作出的准予行政许可决定，应当予以公开，公众有权查阅。</w:t>
            </w:r>
          </w:p>
        </w:tc>
      </w:tr>
      <w:tr w14:paraId="03ACA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946A9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12</w:t>
            </w:r>
          </w:p>
        </w:tc>
        <w:tc>
          <w:tcPr>
            <w:tcW w:w="1978" w:type="dxa"/>
            <w:gridSpan w:val="2"/>
            <w:vMerge w:val="restart"/>
            <w:tcBorders>
              <w:top w:val="nil"/>
              <w:left w:val="nil"/>
              <w:bottom w:val="single" w:color="000000" w:sz="6" w:space="0"/>
              <w:right w:val="single" w:color="auto" w:sz="6" w:space="0"/>
            </w:tcBorders>
            <w:shd w:val="clear" w:color="auto" w:fill="auto"/>
            <w:tcMar>
              <w:left w:w="105" w:type="dxa"/>
              <w:right w:w="105" w:type="dxa"/>
            </w:tcMar>
            <w:vAlign w:val="center"/>
          </w:tcPr>
          <w:p w14:paraId="66C173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（四）送达</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1E72EC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送达行政执法文书应当有送达回证，受送达人在送达回证上的签收日期为送达日期。</w:t>
            </w:r>
          </w:p>
        </w:tc>
      </w:tr>
      <w:tr w14:paraId="0D954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3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8E975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13</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14:paraId="7752C16D">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0F6A35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送达程序参照民事诉讼法有关规定执行。</w:t>
            </w:r>
          </w:p>
        </w:tc>
      </w:tr>
      <w:tr w14:paraId="691AE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BA3F8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14</w:t>
            </w:r>
          </w:p>
        </w:tc>
        <w:tc>
          <w:tcPr>
            <w:tcW w:w="1978" w:type="dxa"/>
            <w:gridSpan w:val="2"/>
            <w:vMerge w:val="restart"/>
            <w:tcBorders>
              <w:top w:val="nil"/>
              <w:left w:val="nil"/>
              <w:bottom w:val="single" w:color="auto" w:sz="6" w:space="0"/>
              <w:right w:val="single" w:color="auto" w:sz="6" w:space="0"/>
            </w:tcBorders>
            <w:shd w:val="clear" w:color="auto" w:fill="auto"/>
            <w:tcMar>
              <w:left w:w="105" w:type="dxa"/>
              <w:right w:w="105" w:type="dxa"/>
            </w:tcMar>
            <w:vAlign w:val="center"/>
          </w:tcPr>
          <w:p w14:paraId="457855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（五）事后监管</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085E37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建立健全监督制度，通过核查反映被许可人从事行政许可事项活动情况的有关材料，履行监督责任。</w:t>
            </w:r>
          </w:p>
        </w:tc>
      </w:tr>
      <w:tr w14:paraId="025F2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33CFA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15</w:t>
            </w:r>
          </w:p>
        </w:tc>
        <w:tc>
          <w:tcPr>
            <w:tcW w:w="1978" w:type="dxa"/>
            <w:gridSpan w:val="2"/>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6CB3BB60">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6914A0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建立随机抽查制度，对被许可人生产经营的产品依法进行抽样检查、检验、检测，对其生产经营场所依法进行实地检查。</w:t>
            </w:r>
          </w:p>
        </w:tc>
      </w:tr>
      <w:tr w14:paraId="59A81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3C83C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16</w:t>
            </w:r>
          </w:p>
        </w:tc>
        <w:tc>
          <w:tcPr>
            <w:tcW w:w="1978" w:type="dxa"/>
            <w:gridSpan w:val="2"/>
            <w:vMerge w:val="restart"/>
            <w:tcBorders>
              <w:top w:val="nil"/>
              <w:left w:val="nil"/>
              <w:bottom w:val="single" w:color="000000" w:sz="6" w:space="0"/>
              <w:right w:val="single" w:color="auto" w:sz="6" w:space="0"/>
            </w:tcBorders>
            <w:shd w:val="clear" w:color="auto" w:fill="auto"/>
            <w:tcMar>
              <w:left w:w="105" w:type="dxa"/>
              <w:right w:w="105" w:type="dxa"/>
            </w:tcMar>
            <w:vAlign w:val="center"/>
          </w:tcPr>
          <w:p w14:paraId="7B445EF7">
            <w:pPr>
              <w:keepNext w:val="0"/>
              <w:keepLines w:val="0"/>
              <w:widowControl/>
              <w:suppressLineNumbers w:val="0"/>
              <w:jc w:val="left"/>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0016BB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根据法律、行政法规的规定，对直接关系公共安全、人身健康、生命财产安全的重要设备、设施进行定期检验。</w:t>
            </w:r>
          </w:p>
        </w:tc>
      </w:tr>
      <w:tr w14:paraId="2850D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5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55693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17</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14:paraId="6F9DC81E">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26214D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实施监督检查时，应当将监督检查的情况和处理结果予以记录，由监督检查人员签字后归档。公众有权查阅监督检查记录。</w:t>
            </w:r>
          </w:p>
        </w:tc>
      </w:tr>
      <w:tr w14:paraId="68C3E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5C7AB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18</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14:paraId="166670FC">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455332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实施监督检查，不得妨碍被许可人正常的生产经营活动，不得索取或收受被许可人的财物，不得谋取其他利益。</w:t>
            </w:r>
          </w:p>
        </w:tc>
      </w:tr>
      <w:tr w14:paraId="3C1F6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35" w:hRule="atLeast"/>
        </w:trPr>
        <w:tc>
          <w:tcPr>
            <w:tcW w:w="1050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03DA5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7"/>
                <w:szCs w:val="27"/>
              </w:rPr>
              <w:t>二、行政处罚类行政职权运行通用责任清单</w:t>
            </w:r>
          </w:p>
        </w:tc>
      </w:tr>
      <w:tr w14:paraId="18168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E833C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序号</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1688FB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运行环节</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25B56D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责任事项</w:t>
            </w:r>
          </w:p>
        </w:tc>
      </w:tr>
      <w:tr w14:paraId="399F0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3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FEB87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7597FB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（一）立案</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140DFE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对符合立案条件的案件及时立案。</w:t>
            </w:r>
          </w:p>
        </w:tc>
      </w:tr>
      <w:tr w14:paraId="74470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3D49F1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2</w:t>
            </w:r>
          </w:p>
        </w:tc>
        <w:tc>
          <w:tcPr>
            <w:tcW w:w="1978" w:type="dxa"/>
            <w:gridSpan w:val="2"/>
            <w:vMerge w:val="restart"/>
            <w:tcBorders>
              <w:top w:val="nil"/>
              <w:left w:val="nil"/>
              <w:bottom w:val="single" w:color="000000" w:sz="6" w:space="0"/>
              <w:right w:val="single" w:color="auto" w:sz="6" w:space="0"/>
            </w:tcBorders>
            <w:shd w:val="clear" w:color="auto" w:fill="auto"/>
            <w:tcMar>
              <w:left w:w="105" w:type="dxa"/>
              <w:right w:w="105" w:type="dxa"/>
            </w:tcMar>
            <w:vAlign w:val="center"/>
          </w:tcPr>
          <w:p w14:paraId="60205A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（二）调查</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52D38E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出示执法身份证件，表明执法身份。</w:t>
            </w:r>
          </w:p>
        </w:tc>
      </w:tr>
      <w:tr w14:paraId="456A3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503E6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3</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14:paraId="08D5453C">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53ABA3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应当有2名以上（含2名）行政执法人员共同参加调查取证。</w:t>
            </w:r>
          </w:p>
        </w:tc>
      </w:tr>
      <w:tr w14:paraId="05C87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414CA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4</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14:paraId="37C02A6E">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1E5803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依法调查和保存证据。</w:t>
            </w:r>
          </w:p>
        </w:tc>
      </w:tr>
      <w:tr w14:paraId="1493F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9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8D890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5</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14:paraId="6D84923E">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5F58FC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适用简易程序的，当场制作行政处罚决定书并当场交付，在事后难以执行及特殊情况下应当当场收缴罚款。</w:t>
            </w:r>
          </w:p>
        </w:tc>
      </w:tr>
      <w:tr w14:paraId="44F73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3101F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6</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14:paraId="6214ADAF">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1E7E3D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适用简易程序的，执法人员当场作出的行政处罚决定应当报所属行政机关备案。</w:t>
            </w:r>
          </w:p>
        </w:tc>
      </w:tr>
      <w:tr w14:paraId="2B9AA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6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A5DE0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7</w:t>
            </w:r>
          </w:p>
        </w:tc>
        <w:tc>
          <w:tcPr>
            <w:tcW w:w="1978" w:type="dxa"/>
            <w:gridSpan w:val="2"/>
            <w:vMerge w:val="restart"/>
            <w:tcBorders>
              <w:top w:val="nil"/>
              <w:left w:val="nil"/>
              <w:bottom w:val="single" w:color="000000" w:sz="6" w:space="0"/>
              <w:right w:val="single" w:color="auto" w:sz="6" w:space="0"/>
            </w:tcBorders>
            <w:shd w:val="clear" w:color="auto" w:fill="auto"/>
            <w:tcMar>
              <w:left w:w="105" w:type="dxa"/>
              <w:right w:w="105" w:type="dxa"/>
            </w:tcMar>
            <w:vAlign w:val="center"/>
          </w:tcPr>
          <w:p w14:paraId="7CCC8D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（三）审查</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004F17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审理案件调查报告，对案件违法事实、证据、调查取证程序、法律适用、处罚种类和幅度、当事人陈述和申辩理由等方面进行审查，提出处理意见（主要证据不足时，以适当的方式补充调查）。</w:t>
            </w:r>
          </w:p>
        </w:tc>
      </w:tr>
      <w:tr w14:paraId="689CE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3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2AB67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8</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14:paraId="6FA57D54">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068AFE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构成犯罪的，移送司法机关依法追究刑事责任。</w:t>
            </w:r>
          </w:p>
        </w:tc>
      </w:tr>
      <w:tr w14:paraId="6183C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9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A7BA4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9</w:t>
            </w:r>
          </w:p>
        </w:tc>
        <w:tc>
          <w:tcPr>
            <w:tcW w:w="1978" w:type="dxa"/>
            <w:gridSpan w:val="2"/>
            <w:vMerge w:val="restart"/>
            <w:tcBorders>
              <w:top w:val="nil"/>
              <w:left w:val="nil"/>
              <w:bottom w:val="single" w:color="000000" w:sz="6" w:space="0"/>
              <w:right w:val="single" w:color="auto" w:sz="6" w:space="0"/>
            </w:tcBorders>
            <w:shd w:val="clear" w:color="auto" w:fill="auto"/>
            <w:tcMar>
              <w:left w:w="105" w:type="dxa"/>
              <w:right w:w="105" w:type="dxa"/>
            </w:tcMar>
            <w:vAlign w:val="center"/>
          </w:tcPr>
          <w:p w14:paraId="2FCDFC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（四）告知</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24BC7F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在作出行政处罚前，应告知当事人作出行政处罚决定的事实、理由及依据，并告知当事人依法享有的权利。</w:t>
            </w:r>
          </w:p>
        </w:tc>
      </w:tr>
      <w:tr w14:paraId="2CD08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3802D3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10</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14:paraId="303C09F7">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7459AB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依法告知当事人有举行听证的权利，当事人要求听证的，应当依法组织听证。</w:t>
            </w:r>
          </w:p>
        </w:tc>
      </w:tr>
      <w:tr w14:paraId="49EF8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2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2417DE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11</w:t>
            </w:r>
          </w:p>
        </w:tc>
        <w:tc>
          <w:tcPr>
            <w:tcW w:w="1978" w:type="dxa"/>
            <w:gridSpan w:val="2"/>
            <w:vMerge w:val="restart"/>
            <w:tcBorders>
              <w:top w:val="nil"/>
              <w:left w:val="nil"/>
              <w:bottom w:val="single" w:color="auto" w:sz="6" w:space="0"/>
              <w:right w:val="single" w:color="auto" w:sz="6" w:space="0"/>
            </w:tcBorders>
            <w:shd w:val="clear" w:color="auto" w:fill="auto"/>
            <w:tcMar>
              <w:left w:w="105" w:type="dxa"/>
              <w:right w:w="105" w:type="dxa"/>
            </w:tcMar>
            <w:vAlign w:val="center"/>
          </w:tcPr>
          <w:p w14:paraId="1C513E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（五）决定</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32EDB7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充分听取当事人的意见，对当事人提出的事实、理由和证据，应当进行复核；当事人提出的事实、理由或者证据成立的，应当采纳，不得因当事人申辩而加重处罚。</w:t>
            </w:r>
          </w:p>
        </w:tc>
      </w:tr>
      <w:tr w14:paraId="56468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7810C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12</w:t>
            </w:r>
          </w:p>
        </w:tc>
        <w:tc>
          <w:tcPr>
            <w:tcW w:w="1978" w:type="dxa"/>
            <w:gridSpan w:val="2"/>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3FD99DAE">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4085D5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对情节复杂或者重大违法行为给予较重的行政处罚，应当集体讨论决定。</w:t>
            </w:r>
          </w:p>
        </w:tc>
      </w:tr>
      <w:tr w14:paraId="4ABF9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D5E85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13</w:t>
            </w:r>
          </w:p>
        </w:tc>
        <w:tc>
          <w:tcPr>
            <w:tcW w:w="1978" w:type="dxa"/>
            <w:gridSpan w:val="2"/>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2B9DF7B7">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311AB2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依法决定给予行政处罚，制作行政处罚决定书，并在处罚决定书中告知对处罚决定不服的可以依法申请行政复议或者提起行政诉讼。</w:t>
            </w:r>
          </w:p>
        </w:tc>
      </w:tr>
      <w:tr w14:paraId="2D9B7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5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5C002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14</w:t>
            </w:r>
          </w:p>
        </w:tc>
        <w:tc>
          <w:tcPr>
            <w:tcW w:w="1978" w:type="dxa"/>
            <w:gridSpan w:val="2"/>
            <w:vMerge w:val="restart"/>
            <w:tcBorders>
              <w:top w:val="nil"/>
              <w:left w:val="nil"/>
              <w:bottom w:val="single" w:color="auto" w:sz="6" w:space="0"/>
              <w:right w:val="single" w:color="auto" w:sz="6" w:space="0"/>
            </w:tcBorders>
            <w:shd w:val="clear" w:color="auto" w:fill="auto"/>
            <w:tcMar>
              <w:left w:w="105" w:type="dxa"/>
              <w:right w:w="105" w:type="dxa"/>
            </w:tcMar>
            <w:vAlign w:val="center"/>
          </w:tcPr>
          <w:p w14:paraId="78FA8D48">
            <w:pPr>
              <w:keepNext w:val="0"/>
              <w:keepLines w:val="0"/>
              <w:widowControl/>
              <w:suppressLineNumbers w:val="0"/>
              <w:jc w:val="left"/>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74AF64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对当事人的同一个违法行为，不得给予两次以上罚款的行政处罚。</w:t>
            </w:r>
          </w:p>
        </w:tc>
      </w:tr>
      <w:tr w14:paraId="0820E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3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11AD9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15</w:t>
            </w:r>
          </w:p>
        </w:tc>
        <w:tc>
          <w:tcPr>
            <w:tcW w:w="1978" w:type="dxa"/>
            <w:gridSpan w:val="2"/>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404777C5">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073ABA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实施行政处罚时，应当责令当事人改正或者限期改正违法行为。</w:t>
            </w:r>
          </w:p>
        </w:tc>
      </w:tr>
      <w:tr w14:paraId="3AD00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6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5C3B6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16</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111624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（六）送达</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77024A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行政处罚决定书应当在宣告后当场交付当事人；当事人不在场的，行政机关应当在7日内依照民事诉讼法的有关规定，将行政处罚决定书送达当事人。</w:t>
            </w:r>
          </w:p>
        </w:tc>
      </w:tr>
      <w:tr w14:paraId="0C7E6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37675F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17</w:t>
            </w:r>
          </w:p>
        </w:tc>
        <w:tc>
          <w:tcPr>
            <w:tcW w:w="1978" w:type="dxa"/>
            <w:gridSpan w:val="2"/>
            <w:vMerge w:val="restart"/>
            <w:tcBorders>
              <w:top w:val="nil"/>
              <w:left w:val="nil"/>
              <w:bottom w:val="single" w:color="auto" w:sz="6" w:space="0"/>
              <w:right w:val="single" w:color="auto" w:sz="6" w:space="0"/>
            </w:tcBorders>
            <w:shd w:val="clear" w:color="auto" w:fill="auto"/>
            <w:tcMar>
              <w:left w:w="105" w:type="dxa"/>
              <w:right w:w="105" w:type="dxa"/>
            </w:tcMar>
            <w:vAlign w:val="center"/>
          </w:tcPr>
          <w:p w14:paraId="5B08A3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（七）执行</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01208F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使用法定部门制发的罚款、没收财物单据进行罚款、没收财物等处罚。</w:t>
            </w:r>
          </w:p>
        </w:tc>
      </w:tr>
      <w:tr w14:paraId="05DBB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55F14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18</w:t>
            </w:r>
          </w:p>
        </w:tc>
        <w:tc>
          <w:tcPr>
            <w:tcW w:w="1978" w:type="dxa"/>
            <w:gridSpan w:val="2"/>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6F7E2102">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41D52B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对当事人的同一个违法行为，不得给予两次以上罚款的行政处罚。</w:t>
            </w:r>
          </w:p>
        </w:tc>
      </w:tr>
      <w:tr w14:paraId="507DE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BD358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19</w:t>
            </w:r>
          </w:p>
        </w:tc>
        <w:tc>
          <w:tcPr>
            <w:tcW w:w="1978" w:type="dxa"/>
            <w:gridSpan w:val="2"/>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55DBCBEE">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1ECB47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实施行政处罚时，应当责令当事人改正或者限期改正违法行为。</w:t>
            </w:r>
          </w:p>
        </w:tc>
      </w:tr>
      <w:tr w14:paraId="3C4C1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50" w:hRule="atLeast"/>
        </w:trPr>
        <w:tc>
          <w:tcPr>
            <w:tcW w:w="1050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A9F6A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7"/>
                <w:szCs w:val="27"/>
              </w:rPr>
              <w:t>三、行政确认类行政职权运行通用责任清单</w:t>
            </w:r>
          </w:p>
        </w:tc>
      </w:tr>
      <w:tr w14:paraId="1FEC0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5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72966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序号</w:t>
            </w:r>
          </w:p>
        </w:tc>
        <w:tc>
          <w:tcPr>
            <w:tcW w:w="1625" w:type="dxa"/>
            <w:tcBorders>
              <w:top w:val="nil"/>
              <w:left w:val="nil"/>
              <w:bottom w:val="single" w:color="auto" w:sz="6" w:space="0"/>
              <w:right w:val="single" w:color="auto" w:sz="6" w:space="0"/>
            </w:tcBorders>
            <w:shd w:val="clear" w:color="auto" w:fill="auto"/>
            <w:tcMar>
              <w:left w:w="105" w:type="dxa"/>
              <w:right w:w="105" w:type="dxa"/>
            </w:tcMar>
            <w:vAlign w:val="center"/>
          </w:tcPr>
          <w:p w14:paraId="1CE93F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运行环节</w:t>
            </w:r>
          </w:p>
        </w:tc>
        <w:tc>
          <w:tcPr>
            <w:tcW w:w="8236"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541874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责任事项</w:t>
            </w:r>
          </w:p>
        </w:tc>
      </w:tr>
      <w:tr w14:paraId="1A0E9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BA8C5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w:t>
            </w:r>
          </w:p>
        </w:tc>
        <w:tc>
          <w:tcPr>
            <w:tcW w:w="1625" w:type="dxa"/>
            <w:vMerge w:val="restart"/>
            <w:tcBorders>
              <w:top w:val="nil"/>
              <w:left w:val="nil"/>
              <w:bottom w:val="single" w:color="000000" w:sz="6" w:space="0"/>
              <w:right w:val="single" w:color="auto" w:sz="6" w:space="0"/>
            </w:tcBorders>
            <w:shd w:val="clear" w:color="auto" w:fill="auto"/>
            <w:tcMar>
              <w:left w:w="105" w:type="dxa"/>
              <w:right w:w="105" w:type="dxa"/>
            </w:tcMar>
            <w:vAlign w:val="center"/>
          </w:tcPr>
          <w:p w14:paraId="76BB04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（一）受理</w:t>
            </w:r>
          </w:p>
        </w:tc>
        <w:tc>
          <w:tcPr>
            <w:tcW w:w="8236"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7CBB57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对符合确认条件的，当场受理。</w:t>
            </w:r>
          </w:p>
        </w:tc>
      </w:tr>
      <w:tr w14:paraId="315C2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9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5C7B6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2</w:t>
            </w:r>
          </w:p>
        </w:tc>
        <w:tc>
          <w:tcPr>
            <w:tcW w:w="1625" w:type="dxa"/>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14:paraId="2C39A232">
            <w:pPr>
              <w:rPr>
                <w:rFonts w:hint="default" w:ascii="sans-serif" w:hAnsi="sans-serif" w:eastAsia="sans-serif" w:cs="sans-serif"/>
                <w:i w:val="0"/>
                <w:iCs w:val="0"/>
                <w:caps w:val="0"/>
                <w:color w:val="000000"/>
                <w:spacing w:val="0"/>
                <w:sz w:val="24"/>
                <w:szCs w:val="24"/>
              </w:rPr>
            </w:pPr>
          </w:p>
        </w:tc>
        <w:tc>
          <w:tcPr>
            <w:tcW w:w="8236"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336A77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申请材料不齐全或者不符合法定形式的，应当一次性告知申请人需要补正的全部内容和合理的补正期限。</w:t>
            </w:r>
          </w:p>
        </w:tc>
      </w:tr>
      <w:tr w14:paraId="43C92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8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32E49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3</w:t>
            </w:r>
          </w:p>
        </w:tc>
        <w:tc>
          <w:tcPr>
            <w:tcW w:w="1625" w:type="dxa"/>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14:paraId="767B0FD6">
            <w:pPr>
              <w:rPr>
                <w:rFonts w:hint="default" w:ascii="sans-serif" w:hAnsi="sans-serif" w:eastAsia="sans-serif" w:cs="sans-serif"/>
                <w:i w:val="0"/>
                <w:iCs w:val="0"/>
                <w:caps w:val="0"/>
                <w:color w:val="000000"/>
                <w:spacing w:val="0"/>
                <w:sz w:val="24"/>
                <w:szCs w:val="24"/>
              </w:rPr>
            </w:pPr>
          </w:p>
        </w:tc>
        <w:tc>
          <w:tcPr>
            <w:tcW w:w="8236"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7A7CF5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对不符合受理条件的，应当书面告知办理人不予办理行政确认的理由和依据。</w:t>
            </w:r>
          </w:p>
        </w:tc>
      </w:tr>
      <w:tr w14:paraId="61818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3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D3C04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4</w:t>
            </w:r>
          </w:p>
        </w:tc>
        <w:tc>
          <w:tcPr>
            <w:tcW w:w="1625" w:type="dxa"/>
            <w:vMerge w:val="restart"/>
            <w:tcBorders>
              <w:top w:val="nil"/>
              <w:left w:val="nil"/>
              <w:bottom w:val="single" w:color="000000" w:sz="6" w:space="0"/>
              <w:right w:val="single" w:color="auto" w:sz="6" w:space="0"/>
            </w:tcBorders>
            <w:shd w:val="clear" w:color="auto" w:fill="auto"/>
            <w:tcMar>
              <w:left w:w="105" w:type="dxa"/>
              <w:right w:w="105" w:type="dxa"/>
            </w:tcMar>
            <w:vAlign w:val="center"/>
          </w:tcPr>
          <w:p w14:paraId="08F8A1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（二）确认</w:t>
            </w:r>
          </w:p>
        </w:tc>
        <w:tc>
          <w:tcPr>
            <w:tcW w:w="8236"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4559DC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在法定期限（承诺期限）内完成确认。</w:t>
            </w:r>
          </w:p>
        </w:tc>
      </w:tr>
      <w:tr w14:paraId="3C577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1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266AC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5</w:t>
            </w:r>
          </w:p>
        </w:tc>
        <w:tc>
          <w:tcPr>
            <w:tcW w:w="1625" w:type="dxa"/>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14:paraId="3C508015">
            <w:pPr>
              <w:rPr>
                <w:rFonts w:hint="default" w:ascii="sans-serif" w:hAnsi="sans-serif" w:eastAsia="sans-serif" w:cs="sans-serif"/>
                <w:i w:val="0"/>
                <w:iCs w:val="0"/>
                <w:caps w:val="0"/>
                <w:color w:val="000000"/>
                <w:spacing w:val="0"/>
                <w:sz w:val="24"/>
                <w:szCs w:val="24"/>
              </w:rPr>
            </w:pPr>
          </w:p>
        </w:tc>
        <w:tc>
          <w:tcPr>
            <w:tcW w:w="8236"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78D53F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严格按照流程图规定进行研究确认，不得提高确认标准、扩大确认范围等。</w:t>
            </w:r>
          </w:p>
        </w:tc>
      </w:tr>
      <w:tr w14:paraId="3F7BB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B24CE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6</w:t>
            </w:r>
          </w:p>
        </w:tc>
        <w:tc>
          <w:tcPr>
            <w:tcW w:w="1625" w:type="dxa"/>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14:paraId="7DFEDD7B">
            <w:pPr>
              <w:rPr>
                <w:rFonts w:hint="default" w:ascii="sans-serif" w:hAnsi="sans-serif" w:eastAsia="sans-serif" w:cs="sans-serif"/>
                <w:i w:val="0"/>
                <w:iCs w:val="0"/>
                <w:caps w:val="0"/>
                <w:color w:val="000000"/>
                <w:spacing w:val="0"/>
                <w:sz w:val="24"/>
                <w:szCs w:val="24"/>
              </w:rPr>
            </w:pPr>
          </w:p>
        </w:tc>
        <w:tc>
          <w:tcPr>
            <w:tcW w:w="8236"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0F3CDD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按照一定的技术规范要求以书面形式作出决定，并发放确认文书。</w:t>
            </w:r>
          </w:p>
        </w:tc>
      </w:tr>
      <w:tr w14:paraId="62F41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339ED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7</w:t>
            </w:r>
          </w:p>
        </w:tc>
        <w:tc>
          <w:tcPr>
            <w:tcW w:w="1625" w:type="dxa"/>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14:paraId="67915995">
            <w:pPr>
              <w:rPr>
                <w:rFonts w:hint="default" w:ascii="sans-serif" w:hAnsi="sans-serif" w:eastAsia="sans-serif" w:cs="sans-serif"/>
                <w:i w:val="0"/>
                <w:iCs w:val="0"/>
                <w:caps w:val="0"/>
                <w:color w:val="000000"/>
                <w:spacing w:val="0"/>
                <w:sz w:val="24"/>
                <w:szCs w:val="24"/>
              </w:rPr>
            </w:pPr>
          </w:p>
        </w:tc>
        <w:tc>
          <w:tcPr>
            <w:tcW w:w="8236"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78487C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不符合确认要求的不予确认，并说明理由。</w:t>
            </w:r>
          </w:p>
        </w:tc>
      </w:tr>
      <w:tr w14:paraId="050AD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500FF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8</w:t>
            </w:r>
          </w:p>
        </w:tc>
        <w:tc>
          <w:tcPr>
            <w:tcW w:w="1625" w:type="dxa"/>
            <w:tcBorders>
              <w:top w:val="nil"/>
              <w:left w:val="nil"/>
              <w:bottom w:val="single" w:color="auto" w:sz="6" w:space="0"/>
              <w:right w:val="single" w:color="auto" w:sz="6" w:space="0"/>
            </w:tcBorders>
            <w:shd w:val="clear" w:color="auto" w:fill="auto"/>
            <w:tcMar>
              <w:left w:w="105" w:type="dxa"/>
              <w:right w:w="105" w:type="dxa"/>
            </w:tcMar>
            <w:vAlign w:val="center"/>
          </w:tcPr>
          <w:p w14:paraId="5EE3F3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（三）送达</w:t>
            </w:r>
          </w:p>
        </w:tc>
        <w:tc>
          <w:tcPr>
            <w:tcW w:w="8236"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5A3048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送达程序参照民事诉讼法有关规定执行。</w:t>
            </w:r>
          </w:p>
        </w:tc>
      </w:tr>
      <w:tr w14:paraId="709F6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8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3F107C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9</w:t>
            </w:r>
          </w:p>
        </w:tc>
        <w:tc>
          <w:tcPr>
            <w:tcW w:w="1625" w:type="dxa"/>
            <w:tcBorders>
              <w:top w:val="nil"/>
              <w:left w:val="nil"/>
              <w:bottom w:val="single" w:color="auto" w:sz="6" w:space="0"/>
              <w:right w:val="single" w:color="auto" w:sz="6" w:space="0"/>
            </w:tcBorders>
            <w:shd w:val="clear" w:color="auto" w:fill="auto"/>
            <w:tcMar>
              <w:left w:w="105" w:type="dxa"/>
              <w:right w:w="105" w:type="dxa"/>
            </w:tcMar>
            <w:vAlign w:val="center"/>
          </w:tcPr>
          <w:p w14:paraId="7FF903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（四）事后监管</w:t>
            </w:r>
          </w:p>
        </w:tc>
        <w:tc>
          <w:tcPr>
            <w:tcW w:w="8236"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448E91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建立健全事后监管制度，依法履行监督责任。</w:t>
            </w:r>
          </w:p>
        </w:tc>
      </w:tr>
      <w:tr w14:paraId="28745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90" w:hRule="atLeast"/>
        </w:trPr>
        <w:tc>
          <w:tcPr>
            <w:tcW w:w="1050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ED308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7"/>
                <w:szCs w:val="27"/>
              </w:rPr>
              <w:t>四、行政强制类（行政强制措施）行政职权运行</w:t>
            </w:r>
          </w:p>
          <w:p w14:paraId="441210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default" w:ascii="sans-serif" w:hAnsi="sans-serif" w:eastAsia="sans-serif" w:cs="sans-serif"/>
                <w:i w:val="0"/>
                <w:iCs w:val="0"/>
                <w:caps w:val="0"/>
                <w:color w:val="000000"/>
                <w:spacing w:val="0"/>
                <w:sz w:val="27"/>
                <w:szCs w:val="27"/>
              </w:rPr>
              <w:t>通用责任清单</w:t>
            </w:r>
          </w:p>
        </w:tc>
      </w:tr>
      <w:tr w14:paraId="6AB1B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5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CF6A7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序号</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39E1BA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运行环节</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7A0345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责任事项</w:t>
            </w:r>
          </w:p>
        </w:tc>
      </w:tr>
      <w:tr w14:paraId="45CBC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AC69E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w:t>
            </w:r>
          </w:p>
        </w:tc>
        <w:tc>
          <w:tcPr>
            <w:tcW w:w="1978" w:type="dxa"/>
            <w:gridSpan w:val="2"/>
            <w:vMerge w:val="restart"/>
            <w:tcBorders>
              <w:top w:val="nil"/>
              <w:left w:val="nil"/>
              <w:bottom w:val="single" w:color="000000" w:sz="6" w:space="0"/>
              <w:right w:val="single" w:color="auto" w:sz="6" w:space="0"/>
            </w:tcBorders>
            <w:shd w:val="clear" w:color="auto" w:fill="auto"/>
            <w:tcMar>
              <w:left w:w="105" w:type="dxa"/>
              <w:right w:w="105" w:type="dxa"/>
            </w:tcMar>
            <w:vAlign w:val="center"/>
          </w:tcPr>
          <w:p w14:paraId="444677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（一）决定</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30C225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实施前应当先报告，经批准后作出实施行政强制措施的决定。</w:t>
            </w:r>
          </w:p>
        </w:tc>
      </w:tr>
      <w:tr w14:paraId="4B1E8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F8463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2</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14:paraId="7FE26AC2">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439B73D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批准实施行政强制措施应当符合法定条件。</w:t>
            </w:r>
          </w:p>
        </w:tc>
      </w:tr>
      <w:tr w14:paraId="7FAB4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312A18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3</w:t>
            </w:r>
          </w:p>
        </w:tc>
        <w:tc>
          <w:tcPr>
            <w:tcW w:w="1978" w:type="dxa"/>
            <w:gridSpan w:val="2"/>
            <w:vMerge w:val="restart"/>
            <w:tcBorders>
              <w:top w:val="nil"/>
              <w:left w:val="nil"/>
              <w:bottom w:val="single" w:color="000000" w:sz="6" w:space="0"/>
              <w:right w:val="single" w:color="auto" w:sz="6" w:space="0"/>
            </w:tcBorders>
            <w:shd w:val="clear" w:color="auto" w:fill="auto"/>
            <w:tcMar>
              <w:left w:w="105" w:type="dxa"/>
              <w:right w:w="105" w:type="dxa"/>
            </w:tcMar>
            <w:vAlign w:val="center"/>
          </w:tcPr>
          <w:p w14:paraId="0C7901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（二）执行</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630597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由2名以上具备资格的行政执法人员实施，其他人员不得实施。</w:t>
            </w:r>
          </w:p>
        </w:tc>
      </w:tr>
      <w:tr w14:paraId="111E3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C6487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4</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14:paraId="0282828F">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17DA1B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行政执法人员应当现场出示执法身份证件。</w:t>
            </w:r>
          </w:p>
        </w:tc>
      </w:tr>
      <w:tr w14:paraId="53D7B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0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EA769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5</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14:paraId="691DEFE0">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0C0035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实施行政强制措施时应当通知当事人到场，并告知当事人采取行政强制措施的理由、依据以及当事人依法享有的权利、救济途径。</w:t>
            </w:r>
          </w:p>
        </w:tc>
      </w:tr>
      <w:tr w14:paraId="45296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8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C6A76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6</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14:paraId="07C1ECB4">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2DB482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充分听取当事人的意见，对当事人提出的事实、理由和证据，应当进行复核，当事人提出的事实、理由或者证据成立的，应当采纳。</w:t>
            </w:r>
          </w:p>
        </w:tc>
      </w:tr>
      <w:tr w14:paraId="12063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411"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E8003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7</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14:paraId="67D020FF">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3DAB0E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制作现场笔录，现场笔录由当事人和行政执法人员签名或者盖章，当事人拒绝的，在笔录中予以注明。当事人不到场的，邀请见证人到场，由见证人和行政执法人员在现场笔录上签名或者盖章。</w:t>
            </w:r>
          </w:p>
        </w:tc>
      </w:tr>
      <w:tr w14:paraId="3BE2E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6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B4302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8</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14:paraId="2B3D5748">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251EF2C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实施限制公民人身自由的行政强制措施，应当场告知或者实施行政强制措施后立即通知当事人家属实施行政强制措施的行政机关、地点和期限。</w:t>
            </w:r>
          </w:p>
        </w:tc>
      </w:tr>
      <w:tr w14:paraId="6F21D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896EA2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9</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14:paraId="0D0D4D4E">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065791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对依法应当没收或法律、行政法规规定应当销毁的，应当依法予以没收或销毁。</w:t>
            </w:r>
          </w:p>
        </w:tc>
      </w:tr>
      <w:tr w14:paraId="7046C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2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35BA29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10</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14:paraId="2DE26589">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1D21E6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情况紧急，需要当场实施行政强制措施的，行政执法人员应当在24小时内向行政机关负责人报告，并补办批准手续。</w:t>
            </w:r>
          </w:p>
        </w:tc>
      </w:tr>
      <w:tr w14:paraId="609FC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320223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11</w:t>
            </w:r>
          </w:p>
        </w:tc>
        <w:tc>
          <w:tcPr>
            <w:tcW w:w="1978" w:type="dxa"/>
            <w:gridSpan w:val="2"/>
            <w:vMerge w:val="restart"/>
            <w:tcBorders>
              <w:top w:val="nil"/>
              <w:left w:val="nil"/>
              <w:bottom w:val="single" w:color="auto" w:sz="6" w:space="0"/>
              <w:right w:val="single" w:color="auto" w:sz="6" w:space="0"/>
            </w:tcBorders>
            <w:shd w:val="clear" w:color="auto" w:fill="auto"/>
            <w:tcMar>
              <w:left w:w="105" w:type="dxa"/>
              <w:right w:w="105" w:type="dxa"/>
            </w:tcMar>
            <w:vAlign w:val="center"/>
          </w:tcPr>
          <w:p w14:paraId="74E183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（三）解除</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6C514D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对符合解除行政强制措施条件的，应当依法解除行政强制措施。</w:t>
            </w:r>
          </w:p>
        </w:tc>
      </w:tr>
      <w:tr w14:paraId="3452F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C7C34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12</w:t>
            </w:r>
          </w:p>
        </w:tc>
        <w:tc>
          <w:tcPr>
            <w:tcW w:w="1978" w:type="dxa"/>
            <w:gridSpan w:val="2"/>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6152D102">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77E92B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对构成犯罪的，依法、及时移送司法机关。</w:t>
            </w:r>
          </w:p>
        </w:tc>
      </w:tr>
      <w:tr w14:paraId="3F3A5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9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CA3D3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13</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66CED6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（四）事后监管</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00C804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建立健全事后监管制度，依法履行监督责任。</w:t>
            </w:r>
          </w:p>
        </w:tc>
      </w:tr>
      <w:tr w14:paraId="6AA4F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60" w:hRule="atLeast"/>
        </w:trPr>
        <w:tc>
          <w:tcPr>
            <w:tcW w:w="1050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1526B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7"/>
                <w:szCs w:val="27"/>
              </w:rPr>
              <w:t>五、行政强制类（行政强制执行）行政职权运行</w:t>
            </w:r>
          </w:p>
          <w:p w14:paraId="701745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7"/>
                <w:szCs w:val="27"/>
              </w:rPr>
              <w:t>通用责任清单</w:t>
            </w:r>
          </w:p>
        </w:tc>
      </w:tr>
      <w:tr w14:paraId="63018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3B8EEA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序号</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14CB49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运行环节</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49E627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责任事项</w:t>
            </w:r>
          </w:p>
        </w:tc>
      </w:tr>
      <w:tr w14:paraId="171C9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0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443ED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w:t>
            </w:r>
          </w:p>
        </w:tc>
        <w:tc>
          <w:tcPr>
            <w:tcW w:w="1978" w:type="dxa"/>
            <w:gridSpan w:val="2"/>
            <w:vMerge w:val="restart"/>
            <w:tcBorders>
              <w:top w:val="nil"/>
              <w:left w:val="nil"/>
              <w:bottom w:val="single" w:color="000000" w:sz="6" w:space="0"/>
              <w:right w:val="single" w:color="auto" w:sz="6" w:space="0"/>
            </w:tcBorders>
            <w:shd w:val="clear" w:color="auto" w:fill="auto"/>
            <w:tcMar>
              <w:left w:w="105" w:type="dxa"/>
              <w:right w:w="105" w:type="dxa"/>
            </w:tcMar>
            <w:vAlign w:val="center"/>
          </w:tcPr>
          <w:p w14:paraId="4ED53A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（一）催告</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7A0D872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行政机关作出强制执行决定前，应当事先书面催告当事人履行义务。</w:t>
            </w:r>
          </w:p>
        </w:tc>
      </w:tr>
      <w:tr w14:paraId="5D94D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1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502AA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2</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14:paraId="4BF80289">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27C2A6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催告书应当直接送达当事人。当事人拒绝接收或者无法直接送达当事人的，依照民事诉讼法的有关规定送达。</w:t>
            </w:r>
          </w:p>
        </w:tc>
      </w:tr>
      <w:tr w14:paraId="51781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3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9B246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3</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14:paraId="60478A85">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1242C5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催告期间，对有证据证明有转移或者隐匿财物迹象的，可以作出立即强制执行决定。</w:t>
            </w:r>
          </w:p>
        </w:tc>
      </w:tr>
      <w:tr w14:paraId="05F9D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2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F0940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4</w:t>
            </w:r>
          </w:p>
        </w:tc>
        <w:tc>
          <w:tcPr>
            <w:tcW w:w="1978" w:type="dxa"/>
            <w:gridSpan w:val="2"/>
            <w:vMerge w:val="restart"/>
            <w:tcBorders>
              <w:top w:val="nil"/>
              <w:left w:val="nil"/>
              <w:bottom w:val="single" w:color="000000" w:sz="6" w:space="0"/>
              <w:right w:val="single" w:color="auto" w:sz="6" w:space="0"/>
            </w:tcBorders>
            <w:shd w:val="clear" w:color="auto" w:fill="auto"/>
            <w:tcMar>
              <w:left w:w="105" w:type="dxa"/>
              <w:right w:w="105" w:type="dxa"/>
            </w:tcMar>
            <w:vAlign w:val="center"/>
          </w:tcPr>
          <w:p w14:paraId="6F2C2E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（二）决定</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3BC708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充分听取当事人的意见，对当事人提出的事实、理由和证据，应当进行记录、复核。当事人提出的事实、理由或者证据成立的，应当采纳。</w:t>
            </w:r>
          </w:p>
        </w:tc>
      </w:tr>
      <w:tr w14:paraId="13550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EBD6D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5</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14:paraId="3152B298">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11E81E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经催告，当事人逾期仍不履行行政决定，且无正当理由的，应当作出书面强制执行决定。</w:t>
            </w:r>
          </w:p>
        </w:tc>
      </w:tr>
      <w:tr w14:paraId="57852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6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BEDF6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6</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14:paraId="76C62D5A">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3FC6CA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行政强制执行决定书催告书应当直接送达当事人。当事人拒绝接收或者无法直接送达当事人的，依照民事诉讼法的有关规定送达。</w:t>
            </w:r>
          </w:p>
        </w:tc>
      </w:tr>
      <w:tr w14:paraId="64284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6E379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7</w:t>
            </w:r>
          </w:p>
        </w:tc>
        <w:tc>
          <w:tcPr>
            <w:tcW w:w="1978" w:type="dxa"/>
            <w:gridSpan w:val="2"/>
            <w:vMerge w:val="restart"/>
            <w:tcBorders>
              <w:top w:val="nil"/>
              <w:left w:val="nil"/>
              <w:bottom w:val="nil"/>
              <w:right w:val="single" w:color="auto" w:sz="6" w:space="0"/>
            </w:tcBorders>
            <w:shd w:val="clear" w:color="auto" w:fill="auto"/>
            <w:tcMar>
              <w:left w:w="105" w:type="dxa"/>
              <w:right w:w="105" w:type="dxa"/>
            </w:tcMar>
            <w:vAlign w:val="center"/>
          </w:tcPr>
          <w:p w14:paraId="6CB93E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（三）执行</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3F73203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依法实施行政强制执行。</w:t>
            </w:r>
          </w:p>
        </w:tc>
      </w:tr>
      <w:tr w14:paraId="5673B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11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45FF8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8</w:t>
            </w:r>
          </w:p>
        </w:tc>
        <w:tc>
          <w:tcPr>
            <w:tcW w:w="1978" w:type="dxa"/>
            <w:gridSpan w:val="2"/>
            <w:vMerge w:val="continue"/>
            <w:tcBorders>
              <w:top w:val="nil"/>
              <w:left w:val="nil"/>
              <w:bottom w:val="nil"/>
              <w:right w:val="single" w:color="auto" w:sz="6" w:space="0"/>
            </w:tcBorders>
            <w:shd w:val="clear" w:color="auto" w:fill="auto"/>
            <w:tcMar>
              <w:left w:w="105" w:type="dxa"/>
              <w:right w:w="105" w:type="dxa"/>
            </w:tcMar>
            <w:vAlign w:val="center"/>
          </w:tcPr>
          <w:p w14:paraId="52579011">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3165E9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不得在夜间或者法定节假日实施行政强制执行，情况紧急的除外；不得对居民生活采取停止供水、供电、供热、供燃气等方式迫使当事人履行相关行政决定。</w:t>
            </w:r>
          </w:p>
        </w:tc>
      </w:tr>
      <w:tr w14:paraId="49972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9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6EAC6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9</w:t>
            </w:r>
          </w:p>
        </w:tc>
        <w:tc>
          <w:tcPr>
            <w:tcW w:w="1978" w:type="dxa"/>
            <w:gridSpan w:val="2"/>
            <w:vMerge w:val="continue"/>
            <w:tcBorders>
              <w:top w:val="nil"/>
              <w:left w:val="nil"/>
              <w:bottom w:val="nil"/>
              <w:right w:val="single" w:color="auto" w:sz="6" w:space="0"/>
            </w:tcBorders>
            <w:shd w:val="clear" w:color="auto" w:fill="auto"/>
            <w:tcMar>
              <w:left w:w="105" w:type="dxa"/>
              <w:right w:w="105" w:type="dxa"/>
            </w:tcMar>
            <w:vAlign w:val="center"/>
          </w:tcPr>
          <w:p w14:paraId="42C32993">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3D597C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对违法的建筑物、构筑物、设施等需要强制拆除的，应当予以公告，限期当事人自行拆除。当事人在法定期限内不申请行政复议或者提起行政诉讼，又不拆除的，可依法强制拆除。</w:t>
            </w:r>
          </w:p>
        </w:tc>
      </w:tr>
      <w:tr w14:paraId="2AA0F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8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E2DEF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10</w:t>
            </w:r>
          </w:p>
        </w:tc>
        <w:tc>
          <w:tcPr>
            <w:tcW w:w="1978" w:type="dxa"/>
            <w:gridSpan w:val="2"/>
            <w:vMerge w:val="continue"/>
            <w:tcBorders>
              <w:top w:val="nil"/>
              <w:left w:val="nil"/>
              <w:bottom w:val="nil"/>
              <w:right w:val="single" w:color="auto" w:sz="6" w:space="0"/>
            </w:tcBorders>
            <w:shd w:val="clear" w:color="auto" w:fill="auto"/>
            <w:tcMar>
              <w:left w:w="105" w:type="dxa"/>
              <w:right w:w="105" w:type="dxa"/>
            </w:tcMar>
            <w:vAlign w:val="center"/>
          </w:tcPr>
          <w:p w14:paraId="16395BDA">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232285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划拨的存款、汇款以及拍卖和依法处理所得的款项应当上缴国库或者划入财政专户，不得以任何形式截留、私分或者变相私分。</w:t>
            </w:r>
          </w:p>
        </w:tc>
      </w:tr>
      <w:tr w14:paraId="0DF6A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9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D5F24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11</w:t>
            </w:r>
          </w:p>
        </w:tc>
        <w:tc>
          <w:tcPr>
            <w:tcW w:w="1978" w:type="dxa"/>
            <w:gridSpan w:val="2"/>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3039D7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（四）事后监管</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229692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建立健全事后监管制度，依法履行监督责任。</w:t>
            </w:r>
          </w:p>
        </w:tc>
      </w:tr>
      <w:tr w14:paraId="0C872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35" w:hRule="atLeast"/>
        </w:trPr>
        <w:tc>
          <w:tcPr>
            <w:tcW w:w="1050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A5746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7"/>
                <w:szCs w:val="27"/>
              </w:rPr>
              <w:t>六、行政征收类（税费类）行政职权运行通用责任清单</w:t>
            </w:r>
          </w:p>
        </w:tc>
      </w:tr>
      <w:tr w14:paraId="33008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3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34888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序号</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410829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运行环节</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60F744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责任事项</w:t>
            </w:r>
          </w:p>
        </w:tc>
      </w:tr>
      <w:tr w14:paraId="3DFCF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4E16D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16EE33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（一）受理</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612B24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一次性告知申报人需提交的申报材料及办理流程。</w:t>
            </w:r>
          </w:p>
        </w:tc>
      </w:tr>
      <w:tr w14:paraId="43F46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B40B6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2</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66FEBC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（二）</w:t>
            </w:r>
            <w:r>
              <w:rPr>
                <w:rStyle w:val="5"/>
                <w:rFonts w:hint="eastAsia" w:ascii="仿宋_GB2312" w:hAnsi="sans-serif" w:eastAsia="仿宋_GB2312" w:cs="仿宋_GB2312"/>
                <w:i w:val="0"/>
                <w:iCs w:val="0"/>
                <w:caps w:val="0"/>
                <w:color w:val="000000"/>
                <w:spacing w:val="0"/>
                <w:sz w:val="24"/>
                <w:szCs w:val="24"/>
              </w:rPr>
              <w:t>审核</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61CCCE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对申报材料依法及时进行审核。</w:t>
            </w:r>
          </w:p>
        </w:tc>
      </w:tr>
      <w:tr w14:paraId="4640D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DED9B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3</w:t>
            </w:r>
          </w:p>
        </w:tc>
        <w:tc>
          <w:tcPr>
            <w:tcW w:w="1978" w:type="dxa"/>
            <w:gridSpan w:val="2"/>
            <w:vMerge w:val="restart"/>
            <w:tcBorders>
              <w:top w:val="nil"/>
              <w:left w:val="nil"/>
              <w:bottom w:val="single" w:color="000000" w:sz="6" w:space="0"/>
              <w:right w:val="single" w:color="auto" w:sz="6" w:space="0"/>
            </w:tcBorders>
            <w:shd w:val="clear" w:color="auto" w:fill="auto"/>
            <w:tcMar>
              <w:left w:w="105" w:type="dxa"/>
              <w:right w:w="105" w:type="dxa"/>
            </w:tcMar>
            <w:vAlign w:val="center"/>
          </w:tcPr>
          <w:p w14:paraId="0E45D9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（三）决定</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4C82E1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依法出具纳税或缴费凭证。</w:t>
            </w:r>
          </w:p>
        </w:tc>
      </w:tr>
      <w:tr w14:paraId="31307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E5C9B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4</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14:paraId="64354F09">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088237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当事人缴纳超过应缴纳的税费，应当退还。</w:t>
            </w:r>
          </w:p>
        </w:tc>
      </w:tr>
      <w:tr w14:paraId="2D9ED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95937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5</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14:paraId="606F0C71">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0531C5E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不得截留、私分或擅自开支征收款。</w:t>
            </w:r>
          </w:p>
        </w:tc>
      </w:tr>
      <w:tr w14:paraId="5FDE5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4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01692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6</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7AF6C3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（四）事后监管</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19934D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开展检查，及时稽查，加强日常监管。</w:t>
            </w:r>
          </w:p>
        </w:tc>
      </w:tr>
      <w:tr w14:paraId="3871C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75" w:hRule="atLeast"/>
        </w:trPr>
        <w:tc>
          <w:tcPr>
            <w:tcW w:w="1050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ADDC5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7"/>
                <w:szCs w:val="27"/>
              </w:rPr>
              <w:t>七、行政征收类（实物类）行政职权运行通用责任清单</w:t>
            </w:r>
          </w:p>
        </w:tc>
      </w:tr>
      <w:tr w14:paraId="4112D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517C2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序号</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244E9C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运行环节</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107E4E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责任事项</w:t>
            </w:r>
          </w:p>
        </w:tc>
      </w:tr>
      <w:tr w14:paraId="4C732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3CA796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4A886B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（一）制定方案</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0EC6562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拟定征收补偿方案。</w:t>
            </w:r>
          </w:p>
        </w:tc>
      </w:tr>
      <w:tr w14:paraId="43BA6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B8E1E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2</w:t>
            </w:r>
          </w:p>
        </w:tc>
        <w:tc>
          <w:tcPr>
            <w:tcW w:w="1978" w:type="dxa"/>
            <w:gridSpan w:val="2"/>
            <w:vMerge w:val="restart"/>
            <w:tcBorders>
              <w:top w:val="nil"/>
              <w:left w:val="nil"/>
              <w:bottom w:val="single" w:color="auto" w:sz="6" w:space="0"/>
              <w:right w:val="single" w:color="auto" w:sz="6" w:space="0"/>
            </w:tcBorders>
            <w:shd w:val="clear" w:color="auto" w:fill="auto"/>
            <w:tcMar>
              <w:left w:w="105" w:type="dxa"/>
              <w:right w:w="105" w:type="dxa"/>
            </w:tcMar>
            <w:vAlign w:val="center"/>
          </w:tcPr>
          <w:p w14:paraId="421572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（二）决定</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36BE7A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应当在社会稳定风险评估基础上作出征收决定。</w:t>
            </w:r>
          </w:p>
        </w:tc>
      </w:tr>
      <w:tr w14:paraId="713F6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3D2518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3</w:t>
            </w:r>
          </w:p>
        </w:tc>
        <w:tc>
          <w:tcPr>
            <w:tcW w:w="1978" w:type="dxa"/>
            <w:gridSpan w:val="2"/>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1C0668B8">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292516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应当及时公告征收决定。</w:t>
            </w:r>
          </w:p>
        </w:tc>
      </w:tr>
      <w:tr w14:paraId="0842B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1F27C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4</w:t>
            </w:r>
          </w:p>
        </w:tc>
        <w:tc>
          <w:tcPr>
            <w:tcW w:w="1978" w:type="dxa"/>
            <w:gridSpan w:val="2"/>
            <w:vMerge w:val="restart"/>
            <w:tcBorders>
              <w:top w:val="nil"/>
              <w:left w:val="nil"/>
              <w:bottom w:val="single" w:color="000000" w:sz="6" w:space="0"/>
              <w:right w:val="single" w:color="auto" w:sz="6" w:space="0"/>
            </w:tcBorders>
            <w:shd w:val="clear" w:color="auto" w:fill="auto"/>
            <w:tcMar>
              <w:left w:w="105" w:type="dxa"/>
              <w:right w:w="105" w:type="dxa"/>
            </w:tcMar>
            <w:vAlign w:val="center"/>
          </w:tcPr>
          <w:p w14:paraId="54C4EF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（三）实施</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2416AF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依据征收决定进行征收。</w:t>
            </w:r>
          </w:p>
        </w:tc>
      </w:tr>
      <w:tr w14:paraId="3DA2C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E5701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5</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14:paraId="6AC7EAE7">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nil"/>
              <w:right w:val="single" w:color="auto" w:sz="6" w:space="0"/>
            </w:tcBorders>
            <w:shd w:val="clear" w:color="auto" w:fill="auto"/>
            <w:tcMar>
              <w:left w:w="105" w:type="dxa"/>
              <w:right w:w="105" w:type="dxa"/>
            </w:tcMar>
            <w:vAlign w:val="center"/>
          </w:tcPr>
          <w:p w14:paraId="33BF9C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根据补偿安置方案进行补偿、安置。</w:t>
            </w:r>
          </w:p>
        </w:tc>
      </w:tr>
      <w:tr w14:paraId="52A29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16F33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6</w:t>
            </w:r>
          </w:p>
        </w:tc>
        <w:tc>
          <w:tcPr>
            <w:tcW w:w="1978" w:type="dxa"/>
            <w:gridSpan w:val="2"/>
            <w:vMerge w:val="restart"/>
            <w:tcBorders>
              <w:top w:val="nil"/>
              <w:left w:val="nil"/>
              <w:bottom w:val="single" w:color="auto" w:sz="6" w:space="0"/>
              <w:right w:val="single" w:color="auto" w:sz="6" w:space="0"/>
            </w:tcBorders>
            <w:shd w:val="clear" w:color="auto" w:fill="auto"/>
            <w:tcMar>
              <w:left w:w="105" w:type="dxa"/>
              <w:right w:w="105" w:type="dxa"/>
            </w:tcMar>
            <w:vAlign w:val="center"/>
          </w:tcPr>
          <w:p w14:paraId="3B9811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（四）事后监管</w:t>
            </w:r>
          </w:p>
        </w:tc>
        <w:tc>
          <w:tcPr>
            <w:tcW w:w="7883"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092685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应当依法建立征收补偿档案。</w:t>
            </w:r>
          </w:p>
        </w:tc>
      </w:tr>
      <w:tr w14:paraId="3E916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104AA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7</w:t>
            </w:r>
          </w:p>
        </w:tc>
        <w:tc>
          <w:tcPr>
            <w:tcW w:w="1978" w:type="dxa"/>
            <w:gridSpan w:val="2"/>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1961FDA0">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70BA25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对征收补偿费用管理和使用情况进行监督。</w:t>
            </w:r>
          </w:p>
        </w:tc>
      </w:tr>
      <w:tr w14:paraId="619E9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30" w:hRule="atLeast"/>
        </w:trPr>
        <w:tc>
          <w:tcPr>
            <w:tcW w:w="1050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9EE40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7"/>
                <w:szCs w:val="27"/>
              </w:rPr>
              <w:t>八、行政裁决类行政职权运行通用责任清单</w:t>
            </w:r>
          </w:p>
        </w:tc>
      </w:tr>
      <w:tr w14:paraId="35B01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3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635C1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序号</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1D2904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运行环节</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04C386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责任事项</w:t>
            </w:r>
          </w:p>
        </w:tc>
      </w:tr>
      <w:tr w14:paraId="0C427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FE499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w:t>
            </w:r>
          </w:p>
        </w:tc>
        <w:tc>
          <w:tcPr>
            <w:tcW w:w="1978" w:type="dxa"/>
            <w:gridSpan w:val="2"/>
            <w:vMerge w:val="restart"/>
            <w:tcBorders>
              <w:top w:val="nil"/>
              <w:left w:val="nil"/>
              <w:bottom w:val="single" w:color="auto" w:sz="6" w:space="0"/>
              <w:right w:val="single" w:color="auto" w:sz="6" w:space="0"/>
            </w:tcBorders>
            <w:shd w:val="clear" w:color="auto" w:fill="auto"/>
            <w:tcMar>
              <w:left w:w="105" w:type="dxa"/>
              <w:right w:w="105" w:type="dxa"/>
            </w:tcMar>
            <w:vAlign w:val="center"/>
          </w:tcPr>
          <w:p w14:paraId="65B51D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（一）受理</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4E3FF3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对符合受理条件的，应当制作受理通知书，并送达申请人。</w:t>
            </w:r>
          </w:p>
        </w:tc>
      </w:tr>
      <w:tr w14:paraId="737AE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3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3C4A3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2</w:t>
            </w:r>
          </w:p>
        </w:tc>
        <w:tc>
          <w:tcPr>
            <w:tcW w:w="1978" w:type="dxa"/>
            <w:gridSpan w:val="2"/>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125600E9">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60CFFA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申请材料不齐全或者不符合法定形式的，应当一次性告知申请人需要补正的全部内容和合理的补正期限。</w:t>
            </w:r>
          </w:p>
        </w:tc>
      </w:tr>
      <w:tr w14:paraId="4451C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8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97F57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3</w:t>
            </w:r>
          </w:p>
        </w:tc>
        <w:tc>
          <w:tcPr>
            <w:tcW w:w="1978" w:type="dxa"/>
            <w:gridSpan w:val="2"/>
            <w:tcBorders>
              <w:top w:val="nil"/>
              <w:left w:val="nil"/>
              <w:bottom w:val="single" w:color="000000" w:sz="6" w:space="0"/>
              <w:right w:val="single" w:color="auto" w:sz="6" w:space="0"/>
            </w:tcBorders>
            <w:shd w:val="clear" w:color="auto" w:fill="auto"/>
            <w:tcMar>
              <w:left w:w="105" w:type="dxa"/>
              <w:right w:w="105" w:type="dxa"/>
            </w:tcMar>
            <w:vAlign w:val="center"/>
          </w:tcPr>
          <w:p w14:paraId="673DEC0A">
            <w:pPr>
              <w:keepNext w:val="0"/>
              <w:keepLines w:val="0"/>
              <w:widowControl/>
              <w:suppressLineNumbers w:val="0"/>
              <w:jc w:val="left"/>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5238A2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对不符合受理条件的，应当书面告知申请人不予受理的理由和依据。</w:t>
            </w:r>
          </w:p>
        </w:tc>
      </w:tr>
      <w:tr w14:paraId="04148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3BE4F6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4</w:t>
            </w:r>
          </w:p>
        </w:tc>
        <w:tc>
          <w:tcPr>
            <w:tcW w:w="1978" w:type="dxa"/>
            <w:gridSpan w:val="2"/>
            <w:vMerge w:val="restart"/>
            <w:tcBorders>
              <w:top w:val="nil"/>
              <w:left w:val="nil"/>
              <w:bottom w:val="single" w:color="000000" w:sz="6" w:space="0"/>
              <w:right w:val="single" w:color="auto" w:sz="6" w:space="0"/>
            </w:tcBorders>
            <w:shd w:val="clear" w:color="auto" w:fill="auto"/>
            <w:tcMar>
              <w:left w:w="105" w:type="dxa"/>
              <w:right w:w="105" w:type="dxa"/>
            </w:tcMar>
            <w:vAlign w:val="center"/>
          </w:tcPr>
          <w:p w14:paraId="659C41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（二）审理</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17C480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在法定期限内进行审理。</w:t>
            </w:r>
          </w:p>
        </w:tc>
      </w:tr>
      <w:tr w14:paraId="45BC0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8652B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5</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14:paraId="3F120DD9">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39A376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通知争议申请人及对方当事人，并要求对方当事人在规定的期限内提交相关材料。</w:t>
            </w:r>
          </w:p>
        </w:tc>
      </w:tr>
      <w:tr w14:paraId="65772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1C276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6</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14:paraId="76FBFA22">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25845A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对争议的事实、证据材料进行审查，针对疑问情况或经当事人请求，举行公开听证，由当事人双方当面陈述案情，进行辩论、举证、质证，以查明案情。</w:t>
            </w:r>
          </w:p>
        </w:tc>
      </w:tr>
      <w:tr w14:paraId="7E6F0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D5990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7</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14:paraId="550B8983">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2C7A3D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审理时对确有必要的应当进行实地调查。</w:t>
            </w:r>
          </w:p>
        </w:tc>
      </w:tr>
      <w:tr w14:paraId="57B5D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049D9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8</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2EC184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（三）裁决</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4CD3B6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根据事实和法律、法规作出裁决，制作并向双方当事人送达裁决书。</w:t>
            </w:r>
          </w:p>
        </w:tc>
      </w:tr>
      <w:tr w14:paraId="0506A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CFCA6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9</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45F138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（四）执行</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2AF1FF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裁决生效后，争议当事人应当自觉履行。</w:t>
            </w:r>
          </w:p>
        </w:tc>
      </w:tr>
      <w:tr w14:paraId="362E3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60" w:hRule="atLeast"/>
        </w:trPr>
        <w:tc>
          <w:tcPr>
            <w:tcW w:w="1050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50DF3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7"/>
                <w:szCs w:val="27"/>
              </w:rPr>
              <w:t>九、行政给付行政职权运行通用责任清单</w:t>
            </w:r>
          </w:p>
        </w:tc>
      </w:tr>
      <w:tr w14:paraId="7E2EA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DD49F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序号</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22E092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运行环节</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09A4CA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责任事项</w:t>
            </w:r>
          </w:p>
        </w:tc>
      </w:tr>
      <w:tr w14:paraId="76EAA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6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F80608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w:t>
            </w:r>
          </w:p>
        </w:tc>
        <w:tc>
          <w:tcPr>
            <w:tcW w:w="1978" w:type="dxa"/>
            <w:gridSpan w:val="2"/>
            <w:vMerge w:val="restart"/>
            <w:tcBorders>
              <w:top w:val="nil"/>
              <w:left w:val="nil"/>
              <w:bottom w:val="nil"/>
              <w:right w:val="single" w:color="auto" w:sz="6" w:space="0"/>
            </w:tcBorders>
            <w:shd w:val="clear" w:color="auto" w:fill="auto"/>
            <w:tcMar>
              <w:left w:w="105" w:type="dxa"/>
              <w:right w:w="105" w:type="dxa"/>
            </w:tcMar>
            <w:vAlign w:val="center"/>
          </w:tcPr>
          <w:p w14:paraId="6A7E40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（一）受理</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0DC33C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对符合受理条件的，应当受理，并制作受理通知书；对不符合受理条件的不予受理，并书面告知申请人不予受理的理由和依据。</w:t>
            </w:r>
          </w:p>
        </w:tc>
      </w:tr>
      <w:tr w14:paraId="2D4F8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21FCA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2</w:t>
            </w:r>
          </w:p>
        </w:tc>
        <w:tc>
          <w:tcPr>
            <w:tcW w:w="1978" w:type="dxa"/>
            <w:gridSpan w:val="2"/>
            <w:vMerge w:val="continue"/>
            <w:tcBorders>
              <w:top w:val="nil"/>
              <w:left w:val="nil"/>
              <w:bottom w:val="nil"/>
              <w:right w:val="single" w:color="auto" w:sz="6" w:space="0"/>
            </w:tcBorders>
            <w:shd w:val="clear" w:color="auto" w:fill="auto"/>
            <w:tcMar>
              <w:left w:w="105" w:type="dxa"/>
              <w:right w:w="105" w:type="dxa"/>
            </w:tcMar>
            <w:vAlign w:val="center"/>
          </w:tcPr>
          <w:p w14:paraId="6B172F04">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6B4382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申请材料不齐全或者不符合法定形式的，应当一次性告知申请人需要补正的全部内容和合理的补正期限。</w:t>
            </w:r>
          </w:p>
        </w:tc>
      </w:tr>
      <w:tr w14:paraId="7F12F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81E18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3</w:t>
            </w:r>
          </w:p>
        </w:tc>
        <w:tc>
          <w:tcPr>
            <w:tcW w:w="1978" w:type="dxa"/>
            <w:gridSpan w:val="2"/>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5C9C85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（二）审查</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5E510E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在法定期限（承诺期限）内完成审查。</w:t>
            </w:r>
          </w:p>
        </w:tc>
      </w:tr>
      <w:tr w14:paraId="3420C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1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460C4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4</w:t>
            </w:r>
          </w:p>
        </w:tc>
        <w:tc>
          <w:tcPr>
            <w:tcW w:w="1978" w:type="dxa"/>
            <w:gridSpan w:val="2"/>
            <w:vMerge w:val="restart"/>
            <w:tcBorders>
              <w:top w:val="nil"/>
              <w:left w:val="nil"/>
              <w:bottom w:val="single" w:color="000000" w:sz="6" w:space="0"/>
              <w:right w:val="single" w:color="auto" w:sz="6" w:space="0"/>
            </w:tcBorders>
            <w:shd w:val="clear" w:color="auto" w:fill="auto"/>
            <w:tcMar>
              <w:left w:w="105" w:type="dxa"/>
              <w:right w:w="105" w:type="dxa"/>
            </w:tcMar>
            <w:vAlign w:val="center"/>
          </w:tcPr>
          <w:p w14:paraId="18B5F7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（三）决定</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6577A2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对于符合条件的，作出给于给付的决定，明确给付标准以及后续办事事宜，并通知申请人前来领取。</w:t>
            </w:r>
          </w:p>
        </w:tc>
      </w:tr>
      <w:tr w14:paraId="35649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86A39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5</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14:paraId="34445F4B">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04B0C9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对不符合给付条件的，书面告知申请人不予给付的理由和依据。</w:t>
            </w:r>
          </w:p>
        </w:tc>
      </w:tr>
      <w:tr w14:paraId="51429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CD4DC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6</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3CE11B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（四）给付</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394C6C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按照规定标准予以给付。</w:t>
            </w:r>
          </w:p>
        </w:tc>
      </w:tr>
      <w:tr w14:paraId="12990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3C5AA48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7</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4D97F0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（五）事后监管</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69DA55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开展检查，加强日常监管。</w:t>
            </w:r>
          </w:p>
        </w:tc>
      </w:tr>
      <w:tr w14:paraId="7A501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10500" w:type="dxa"/>
            <w:gridSpan w:val="4"/>
            <w:tcBorders>
              <w:top w:val="nil"/>
              <w:left w:val="single" w:color="auto" w:sz="6" w:space="0"/>
              <w:bottom w:val="single" w:color="auto" w:sz="6" w:space="0"/>
              <w:right w:val="nil"/>
            </w:tcBorders>
            <w:shd w:val="clear" w:color="auto" w:fill="auto"/>
            <w:tcMar>
              <w:left w:w="105" w:type="dxa"/>
              <w:right w:w="105" w:type="dxa"/>
            </w:tcMar>
            <w:vAlign w:val="center"/>
          </w:tcPr>
          <w:p w14:paraId="605ABF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7"/>
                <w:szCs w:val="27"/>
              </w:rPr>
              <w:t>十、行政奖励类行政职权运行通用责任清单</w:t>
            </w:r>
          </w:p>
        </w:tc>
      </w:tr>
      <w:tr w14:paraId="060C9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E223B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序号</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564DA2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运行环节</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177DFD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责任事项</w:t>
            </w:r>
          </w:p>
        </w:tc>
      </w:tr>
      <w:tr w14:paraId="401C5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5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515B6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7F8423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（一）制定方案</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6EF33E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依法科学制定奖励方案，明确奖励条件、程序等内容。</w:t>
            </w:r>
          </w:p>
        </w:tc>
      </w:tr>
      <w:tr w14:paraId="291C1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E9587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2</w:t>
            </w:r>
          </w:p>
        </w:tc>
        <w:tc>
          <w:tcPr>
            <w:tcW w:w="1978" w:type="dxa"/>
            <w:gridSpan w:val="2"/>
            <w:vMerge w:val="restart"/>
            <w:tcBorders>
              <w:top w:val="nil"/>
              <w:left w:val="nil"/>
              <w:bottom w:val="single" w:color="000000" w:sz="6" w:space="0"/>
              <w:right w:val="single" w:color="auto" w:sz="6" w:space="0"/>
            </w:tcBorders>
            <w:shd w:val="clear" w:color="auto" w:fill="auto"/>
            <w:tcMar>
              <w:left w:w="105" w:type="dxa"/>
              <w:right w:w="105" w:type="dxa"/>
            </w:tcMar>
            <w:vAlign w:val="center"/>
          </w:tcPr>
          <w:p w14:paraId="464B74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（二）审核公示</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6F8E50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对符合条件的推荐对象进行审核审定，并进行公示。</w:t>
            </w:r>
          </w:p>
        </w:tc>
      </w:tr>
      <w:tr w14:paraId="4EBE9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48F575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3</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14:paraId="2B7F63CD">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4CEECD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依法、及时调查核实举报投诉涉及问题。</w:t>
            </w:r>
          </w:p>
        </w:tc>
      </w:tr>
      <w:tr w14:paraId="19A5B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6AA8D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4</w:t>
            </w:r>
          </w:p>
        </w:tc>
        <w:tc>
          <w:tcPr>
            <w:tcW w:w="1978" w:type="dxa"/>
            <w:gridSpan w:val="2"/>
            <w:vMerge w:val="restart"/>
            <w:tcBorders>
              <w:top w:val="nil"/>
              <w:left w:val="nil"/>
              <w:bottom w:val="single" w:color="000000" w:sz="6" w:space="0"/>
              <w:right w:val="single" w:color="auto" w:sz="6" w:space="0"/>
            </w:tcBorders>
            <w:shd w:val="clear" w:color="auto" w:fill="auto"/>
            <w:tcMar>
              <w:left w:w="105" w:type="dxa"/>
              <w:right w:w="105" w:type="dxa"/>
            </w:tcMar>
            <w:vAlign w:val="center"/>
          </w:tcPr>
          <w:p w14:paraId="40A7AA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（三）实施奖励</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0AE865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依法、及时按程序报批决定奖励的等级和金额。</w:t>
            </w:r>
          </w:p>
        </w:tc>
      </w:tr>
      <w:tr w14:paraId="70D51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A99D1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5</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14:paraId="0A4C0E33">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1D2F68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及时通知当事人领取奖励。</w:t>
            </w:r>
          </w:p>
        </w:tc>
      </w:tr>
      <w:tr w14:paraId="001CE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20" w:hRule="atLeast"/>
        </w:trPr>
        <w:tc>
          <w:tcPr>
            <w:tcW w:w="1050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05E28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7"/>
                <w:szCs w:val="27"/>
              </w:rPr>
              <w:t>十一、行政检查类行政职权运行通用责任清单</w:t>
            </w:r>
          </w:p>
        </w:tc>
      </w:tr>
      <w:tr w14:paraId="2FCF8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0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CE84F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序号</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0C31B3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运行环节</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5A6514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责任事项</w:t>
            </w:r>
          </w:p>
        </w:tc>
      </w:tr>
      <w:tr w14:paraId="736E8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5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1747A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w:t>
            </w:r>
          </w:p>
        </w:tc>
        <w:tc>
          <w:tcPr>
            <w:tcW w:w="1978" w:type="dxa"/>
            <w:gridSpan w:val="2"/>
            <w:vMerge w:val="restart"/>
            <w:tcBorders>
              <w:top w:val="nil"/>
              <w:left w:val="nil"/>
              <w:bottom w:val="nil"/>
              <w:right w:val="single" w:color="auto" w:sz="6" w:space="0"/>
            </w:tcBorders>
            <w:shd w:val="clear" w:color="auto" w:fill="auto"/>
            <w:tcMar>
              <w:left w:w="105" w:type="dxa"/>
              <w:right w:w="105" w:type="dxa"/>
            </w:tcMar>
            <w:vAlign w:val="center"/>
          </w:tcPr>
          <w:p w14:paraId="378D6B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（一）制定方案</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41A04C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实施检查前应当依法制定含有正当理由、事项和内容的检查方案。</w:t>
            </w:r>
          </w:p>
        </w:tc>
      </w:tr>
      <w:tr w14:paraId="430CA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5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334CD1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2</w:t>
            </w:r>
          </w:p>
        </w:tc>
        <w:tc>
          <w:tcPr>
            <w:tcW w:w="1978" w:type="dxa"/>
            <w:gridSpan w:val="2"/>
            <w:vMerge w:val="continue"/>
            <w:tcBorders>
              <w:top w:val="nil"/>
              <w:left w:val="nil"/>
              <w:bottom w:val="nil"/>
              <w:right w:val="single" w:color="auto" w:sz="6" w:space="0"/>
            </w:tcBorders>
            <w:shd w:val="clear" w:color="auto" w:fill="auto"/>
            <w:tcMar>
              <w:left w:w="105" w:type="dxa"/>
              <w:right w:w="105" w:type="dxa"/>
            </w:tcMar>
            <w:vAlign w:val="center"/>
          </w:tcPr>
          <w:p w14:paraId="13CA75E9">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7A1CF2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同一行政机关的多个内设机构和下属机构对同一当事人不同事项的行政检查，能够合并检查的应当合并检查。</w:t>
            </w:r>
          </w:p>
        </w:tc>
      </w:tr>
      <w:tr w14:paraId="2FE91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67486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3</w:t>
            </w:r>
          </w:p>
        </w:tc>
        <w:tc>
          <w:tcPr>
            <w:tcW w:w="1978" w:type="dxa"/>
            <w:gridSpan w:val="2"/>
            <w:vMerge w:val="continue"/>
            <w:tcBorders>
              <w:top w:val="nil"/>
              <w:left w:val="nil"/>
              <w:bottom w:val="nil"/>
              <w:right w:val="single" w:color="auto" w:sz="6" w:space="0"/>
            </w:tcBorders>
            <w:shd w:val="clear" w:color="auto" w:fill="auto"/>
            <w:tcMar>
              <w:left w:w="105" w:type="dxa"/>
              <w:right w:w="105" w:type="dxa"/>
            </w:tcMar>
            <w:vAlign w:val="center"/>
          </w:tcPr>
          <w:p w14:paraId="44B0DC9D">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2F1331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上下级行政机关应当按照级别管辖和地域管辖相结合的原则合理划分检查范围，避免重复检查。</w:t>
            </w:r>
          </w:p>
        </w:tc>
      </w:tr>
      <w:tr w14:paraId="6F4E8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3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C7CC4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4</w:t>
            </w:r>
          </w:p>
        </w:tc>
        <w:tc>
          <w:tcPr>
            <w:tcW w:w="1978" w:type="dxa"/>
            <w:gridSpan w:val="2"/>
            <w:vMerge w:val="restart"/>
            <w:tcBorders>
              <w:top w:val="single" w:color="auto" w:sz="6" w:space="0"/>
              <w:left w:val="nil"/>
              <w:bottom w:val="single" w:color="000000" w:sz="6" w:space="0"/>
              <w:right w:val="single" w:color="auto" w:sz="6" w:space="0"/>
            </w:tcBorders>
            <w:shd w:val="clear" w:color="auto" w:fill="auto"/>
            <w:tcMar>
              <w:left w:w="105" w:type="dxa"/>
              <w:right w:w="105" w:type="dxa"/>
            </w:tcMar>
            <w:vAlign w:val="center"/>
          </w:tcPr>
          <w:p w14:paraId="3AAB90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（二）实施检查</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1F219B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依照检查方案规定的时限、范围开展检查。</w:t>
            </w:r>
          </w:p>
        </w:tc>
      </w:tr>
      <w:tr w14:paraId="48F4A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0DD99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5</w:t>
            </w:r>
          </w:p>
        </w:tc>
        <w:tc>
          <w:tcPr>
            <w:tcW w:w="1978" w:type="dxa"/>
            <w:gridSpan w:val="2"/>
            <w:vMerge w:val="continue"/>
            <w:tcBorders>
              <w:top w:val="single" w:color="auto" w:sz="6" w:space="0"/>
              <w:left w:val="nil"/>
              <w:bottom w:val="single" w:color="000000" w:sz="6" w:space="0"/>
              <w:right w:val="single" w:color="auto" w:sz="6" w:space="0"/>
            </w:tcBorders>
            <w:shd w:val="clear" w:color="auto" w:fill="auto"/>
            <w:tcMar>
              <w:left w:w="105" w:type="dxa"/>
              <w:right w:w="105" w:type="dxa"/>
            </w:tcMar>
            <w:vAlign w:val="center"/>
          </w:tcPr>
          <w:p w14:paraId="2ED189A3">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1CFB38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实施检查时应当出示执法身份证件、检查方案。</w:t>
            </w:r>
          </w:p>
        </w:tc>
      </w:tr>
      <w:tr w14:paraId="4D46E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97438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6</w:t>
            </w:r>
          </w:p>
        </w:tc>
        <w:tc>
          <w:tcPr>
            <w:tcW w:w="1978" w:type="dxa"/>
            <w:gridSpan w:val="2"/>
            <w:vMerge w:val="continue"/>
            <w:tcBorders>
              <w:top w:val="single" w:color="auto" w:sz="6" w:space="0"/>
              <w:left w:val="nil"/>
              <w:bottom w:val="single" w:color="000000" w:sz="6" w:space="0"/>
              <w:right w:val="single" w:color="auto" w:sz="6" w:space="0"/>
            </w:tcBorders>
            <w:shd w:val="clear" w:color="auto" w:fill="auto"/>
            <w:tcMar>
              <w:left w:w="105" w:type="dxa"/>
              <w:right w:w="105" w:type="dxa"/>
            </w:tcMar>
            <w:vAlign w:val="center"/>
          </w:tcPr>
          <w:p w14:paraId="1CD6B340">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0C37F3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依法查阅资料、查看现场、听取当事人陈述申辩并取证。</w:t>
            </w:r>
          </w:p>
        </w:tc>
      </w:tr>
      <w:tr w14:paraId="29D16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AAB4F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7</w:t>
            </w:r>
          </w:p>
        </w:tc>
        <w:tc>
          <w:tcPr>
            <w:tcW w:w="1978" w:type="dxa"/>
            <w:gridSpan w:val="2"/>
            <w:vMerge w:val="continue"/>
            <w:tcBorders>
              <w:top w:val="single" w:color="auto" w:sz="6" w:space="0"/>
              <w:left w:val="nil"/>
              <w:bottom w:val="single" w:color="000000" w:sz="6" w:space="0"/>
              <w:right w:val="single" w:color="auto" w:sz="6" w:space="0"/>
            </w:tcBorders>
            <w:shd w:val="clear" w:color="auto" w:fill="auto"/>
            <w:tcMar>
              <w:left w:w="105" w:type="dxa"/>
              <w:right w:w="105" w:type="dxa"/>
            </w:tcMar>
            <w:vAlign w:val="center"/>
          </w:tcPr>
          <w:p w14:paraId="79DB1CB7">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3EDF76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实施检查应当不影响当事人的正常生产经营活动与生活。</w:t>
            </w:r>
          </w:p>
        </w:tc>
      </w:tr>
      <w:tr w14:paraId="315CD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5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C9718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8</w:t>
            </w:r>
          </w:p>
        </w:tc>
        <w:tc>
          <w:tcPr>
            <w:tcW w:w="1978" w:type="dxa"/>
            <w:gridSpan w:val="2"/>
            <w:vMerge w:val="continue"/>
            <w:tcBorders>
              <w:top w:val="single" w:color="auto" w:sz="6" w:space="0"/>
              <w:left w:val="nil"/>
              <w:bottom w:val="single" w:color="000000" w:sz="6" w:space="0"/>
              <w:right w:val="single" w:color="auto" w:sz="6" w:space="0"/>
            </w:tcBorders>
            <w:shd w:val="clear" w:color="auto" w:fill="auto"/>
            <w:tcMar>
              <w:left w:w="105" w:type="dxa"/>
              <w:right w:w="105" w:type="dxa"/>
            </w:tcMar>
            <w:vAlign w:val="center"/>
          </w:tcPr>
          <w:p w14:paraId="0A0CD866">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7A73EA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依法告知当事人检查中发现的违法行为及处理意见，对不服处理意见的，可以依法申请行政复议或提起行政诉讼。</w:t>
            </w:r>
          </w:p>
        </w:tc>
      </w:tr>
      <w:tr w14:paraId="5D88E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8758D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9</w:t>
            </w:r>
          </w:p>
        </w:tc>
        <w:tc>
          <w:tcPr>
            <w:tcW w:w="1978" w:type="dxa"/>
            <w:gridSpan w:val="2"/>
            <w:vMerge w:val="continue"/>
            <w:tcBorders>
              <w:top w:val="single" w:color="auto" w:sz="6" w:space="0"/>
              <w:left w:val="nil"/>
              <w:bottom w:val="single" w:color="000000" w:sz="6" w:space="0"/>
              <w:right w:val="single" w:color="auto" w:sz="6" w:space="0"/>
            </w:tcBorders>
            <w:shd w:val="clear" w:color="auto" w:fill="auto"/>
            <w:tcMar>
              <w:left w:w="105" w:type="dxa"/>
              <w:right w:w="105" w:type="dxa"/>
            </w:tcMar>
            <w:vAlign w:val="center"/>
          </w:tcPr>
          <w:p w14:paraId="070779B6">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16D625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对检查中发现的违法行为应当予以制止和纠正。</w:t>
            </w:r>
          </w:p>
        </w:tc>
      </w:tr>
      <w:tr w14:paraId="51703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46F9A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10</w:t>
            </w:r>
          </w:p>
        </w:tc>
        <w:tc>
          <w:tcPr>
            <w:tcW w:w="1978" w:type="dxa"/>
            <w:gridSpan w:val="2"/>
            <w:vMerge w:val="continue"/>
            <w:tcBorders>
              <w:top w:val="single" w:color="auto" w:sz="6" w:space="0"/>
              <w:left w:val="nil"/>
              <w:bottom w:val="single" w:color="000000" w:sz="6" w:space="0"/>
              <w:right w:val="single" w:color="auto" w:sz="6" w:space="0"/>
            </w:tcBorders>
            <w:shd w:val="clear" w:color="auto" w:fill="auto"/>
            <w:tcMar>
              <w:left w:w="105" w:type="dxa"/>
              <w:right w:w="105" w:type="dxa"/>
            </w:tcMar>
            <w:vAlign w:val="center"/>
          </w:tcPr>
          <w:p w14:paraId="33294EF9">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122BBB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实施行政检查中不得乱收费、乱罚款、乱摊派，严禁吃、拿、卡、要。</w:t>
            </w:r>
          </w:p>
        </w:tc>
      </w:tr>
      <w:tr w14:paraId="1E94F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2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342DBD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11</w:t>
            </w:r>
          </w:p>
        </w:tc>
        <w:tc>
          <w:tcPr>
            <w:tcW w:w="1978" w:type="dxa"/>
            <w:gridSpan w:val="2"/>
            <w:vMerge w:val="continue"/>
            <w:tcBorders>
              <w:top w:val="single" w:color="auto" w:sz="6" w:space="0"/>
              <w:left w:val="nil"/>
              <w:bottom w:val="single" w:color="000000" w:sz="6" w:space="0"/>
              <w:right w:val="single" w:color="auto" w:sz="6" w:space="0"/>
            </w:tcBorders>
            <w:shd w:val="clear" w:color="auto" w:fill="auto"/>
            <w:tcMar>
              <w:left w:w="105" w:type="dxa"/>
              <w:right w:w="105" w:type="dxa"/>
            </w:tcMar>
            <w:vAlign w:val="center"/>
          </w:tcPr>
          <w:p w14:paraId="114BC858">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5130F0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不得放弃、推诿、拖延、拒绝履行检查职责。</w:t>
            </w:r>
          </w:p>
        </w:tc>
      </w:tr>
      <w:tr w14:paraId="2D50A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9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D9CFC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12</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448C0D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（三）事后监管</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14:paraId="31846B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对检查情况进行汇总、分类、归档备查，并跟踪监测。</w:t>
            </w:r>
          </w:p>
        </w:tc>
      </w:tr>
      <w:tr w14:paraId="2200F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639" w:type="dxa"/>
            <w:tcBorders>
              <w:top w:val="nil"/>
              <w:left w:val="nil"/>
              <w:bottom w:val="nil"/>
              <w:right w:val="nil"/>
            </w:tcBorders>
            <w:shd w:val="clear" w:color="auto" w:fill="auto"/>
            <w:tcMar>
              <w:top w:w="75" w:type="dxa"/>
              <w:left w:w="150" w:type="dxa"/>
              <w:bottom w:w="75" w:type="dxa"/>
              <w:right w:w="150" w:type="dxa"/>
            </w:tcMar>
            <w:vAlign w:val="center"/>
          </w:tcPr>
          <w:p w14:paraId="3D9C46FB">
            <w:pPr>
              <w:keepNext w:val="0"/>
              <w:keepLines w:val="0"/>
              <w:widowControl/>
              <w:suppressLineNumbers w:val="0"/>
              <w:jc w:val="left"/>
              <w:rPr>
                <w:rFonts w:hint="default" w:ascii="sans-serif" w:hAnsi="sans-serif" w:eastAsia="sans-serif" w:cs="sans-serif"/>
                <w:i w:val="0"/>
                <w:iCs w:val="0"/>
                <w:caps w:val="0"/>
                <w:color w:val="000000"/>
                <w:spacing w:val="0"/>
                <w:sz w:val="24"/>
                <w:szCs w:val="24"/>
              </w:rPr>
            </w:pPr>
          </w:p>
        </w:tc>
        <w:tc>
          <w:tcPr>
            <w:tcW w:w="1625" w:type="dxa"/>
            <w:tcBorders>
              <w:top w:val="nil"/>
              <w:left w:val="nil"/>
              <w:bottom w:val="nil"/>
              <w:right w:val="nil"/>
            </w:tcBorders>
            <w:shd w:val="clear" w:color="auto" w:fill="auto"/>
            <w:tcMar>
              <w:top w:w="75" w:type="dxa"/>
              <w:left w:w="150" w:type="dxa"/>
              <w:bottom w:w="75" w:type="dxa"/>
              <w:right w:w="150" w:type="dxa"/>
            </w:tcMar>
            <w:vAlign w:val="center"/>
          </w:tcPr>
          <w:p w14:paraId="012DC646">
            <w:pPr>
              <w:keepNext w:val="0"/>
              <w:keepLines w:val="0"/>
              <w:widowControl/>
              <w:suppressLineNumbers w:val="0"/>
              <w:jc w:val="left"/>
              <w:rPr>
                <w:rFonts w:hint="default" w:ascii="sans-serif" w:hAnsi="sans-serif" w:eastAsia="sans-serif" w:cs="sans-serif"/>
                <w:i w:val="0"/>
                <w:iCs w:val="0"/>
                <w:caps w:val="0"/>
                <w:color w:val="000000"/>
                <w:spacing w:val="0"/>
                <w:sz w:val="24"/>
                <w:szCs w:val="24"/>
              </w:rPr>
            </w:pPr>
          </w:p>
        </w:tc>
        <w:tc>
          <w:tcPr>
            <w:tcW w:w="353" w:type="dxa"/>
            <w:tcBorders>
              <w:top w:val="nil"/>
              <w:left w:val="nil"/>
              <w:bottom w:val="nil"/>
              <w:right w:val="nil"/>
            </w:tcBorders>
            <w:shd w:val="clear" w:color="auto" w:fill="auto"/>
            <w:tcMar>
              <w:top w:w="75" w:type="dxa"/>
              <w:left w:w="150" w:type="dxa"/>
              <w:bottom w:w="75" w:type="dxa"/>
              <w:right w:w="150" w:type="dxa"/>
            </w:tcMar>
            <w:vAlign w:val="center"/>
          </w:tcPr>
          <w:p w14:paraId="2729AA2F">
            <w:pPr>
              <w:keepNext w:val="0"/>
              <w:keepLines w:val="0"/>
              <w:widowControl/>
              <w:suppressLineNumbers w:val="0"/>
              <w:jc w:val="left"/>
              <w:rPr>
                <w:rFonts w:hint="default" w:ascii="sans-serif" w:hAnsi="sans-serif" w:eastAsia="sans-serif" w:cs="sans-serif"/>
                <w:i w:val="0"/>
                <w:iCs w:val="0"/>
                <w:caps w:val="0"/>
                <w:color w:val="000000"/>
                <w:spacing w:val="0"/>
                <w:sz w:val="24"/>
                <w:szCs w:val="24"/>
              </w:rPr>
            </w:pPr>
          </w:p>
        </w:tc>
        <w:tc>
          <w:tcPr>
            <w:tcW w:w="7883" w:type="dxa"/>
            <w:tcBorders>
              <w:top w:val="nil"/>
              <w:left w:val="nil"/>
              <w:bottom w:val="nil"/>
              <w:right w:val="nil"/>
            </w:tcBorders>
            <w:shd w:val="clear" w:color="auto" w:fill="auto"/>
            <w:tcMar>
              <w:top w:w="75" w:type="dxa"/>
              <w:left w:w="150" w:type="dxa"/>
              <w:bottom w:w="75" w:type="dxa"/>
              <w:right w:w="150" w:type="dxa"/>
            </w:tcMar>
            <w:vAlign w:val="center"/>
          </w:tcPr>
          <w:p w14:paraId="20DD86CD">
            <w:pPr>
              <w:keepNext w:val="0"/>
              <w:keepLines w:val="0"/>
              <w:widowControl/>
              <w:suppressLineNumbers w:val="0"/>
              <w:jc w:val="left"/>
              <w:rPr>
                <w:rFonts w:hint="default" w:ascii="sans-serif" w:hAnsi="sans-serif" w:eastAsia="sans-serif" w:cs="sans-serif"/>
                <w:i w:val="0"/>
                <w:iCs w:val="0"/>
                <w:caps w:val="0"/>
                <w:color w:val="000000"/>
                <w:spacing w:val="0"/>
                <w:sz w:val="24"/>
                <w:szCs w:val="24"/>
              </w:rPr>
            </w:pPr>
          </w:p>
        </w:tc>
      </w:tr>
    </w:tbl>
    <w:p w14:paraId="57955182">
      <w:pPr>
        <w:keepNext w:val="0"/>
        <w:keepLines w:val="0"/>
        <w:widowControl/>
        <w:suppressLineNumbers w:val="0"/>
        <w:jc w:val="left"/>
      </w:pPr>
    </w:p>
    <w:p w14:paraId="650A082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sans-serif">
    <w:altName w:val="华文中宋"/>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0B5EEB"/>
    <w:rsid w:val="1E0B5EEB"/>
    <w:rsid w:val="7A79E5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2</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2021-07-07T12:02:00Z</dcterms:created>
  <dc:creator>炫    飛</dc:creator>
  <cp:lastModifiedBy>Fannie</cp:lastModifiedBy>
  <dcterms:modified xsi:type="dcterms:W3CDTF">2026-07-31T11:25:10Z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FB3D7B8C1352706696156C6A8FC1C407_43</vt:lpwstr>
  </property>
</Properties>
</file>