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44"/>
          <w:szCs w:val="44"/>
        </w:rPr>
        <w:t>北京市西城区人民政府新街口街道办事处</w:t>
      </w: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行政处罚信息公示表</w:t>
      </w:r>
    </w:p>
    <w:p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（公示日期：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</w:t>
      </w:r>
    </w:p>
    <w:p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黄XX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处以罚款人民币陆仟元整。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2026.05.12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京西新街口街道罚字【2026】10004号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北京市西城区人民政府新街口街道办事处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叶叶相思体简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BC4AB0"/>
    <w:rsid w:val="2601588F"/>
    <w:rsid w:val="6F7B0E2E"/>
    <w:rsid w:val="C7BC4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5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uiPriority w:val="0"/>
    <w:rPr>
      <w:rFonts w:ascii="汉仪叶叶相思体简" w:hAnsi="汉仪叶叶相思体简" w:eastAsia="汉仪叶叶相思体简" w:cs="汉仪叶叶相思体简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2026-06-30T11:58:00Z</dcterms:created>
  <dc:creator>user</dc:creator>
  <cp:lastModifiedBy>Administrator</cp:lastModifiedBy>
  <dcterms:modified xsi:type="dcterms:W3CDTF">2026-07-31T07:10:50Z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2DA7EFD52C55D358D33E436AD59648EA_41</vt:lpwstr>
  </property>
</Properties>
</file>