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bookmarkStart w:id="0" w:name="_Toc138699264"/>
      <w:bookmarkStart w:id="1" w:name="_Toc14822"/>
      <w:bookmarkStart w:id="2" w:name="_Toc8742"/>
      <w:bookmarkStart w:id="3" w:name="_Toc2743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附件1：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highlight w:val="none"/>
          <w:shd w:val="clear" w:color="auto" w:fill="auto"/>
          <w:lang w:val="en-US" w:eastAsia="zh-CN"/>
        </w:rPr>
      </w:pP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highlight w:val="none"/>
          <w:shd w:val="clear" w:color="auto" w:fill="auto"/>
          <w:lang w:val="en-US" w:eastAsia="zh-CN"/>
        </w:rPr>
      </w:pP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highlight w:val="none"/>
          <w:shd w:val="clear" w:color="auto" w:fill="auto"/>
          <w:lang w:val="en-US" w:eastAsia="zh-CN"/>
        </w:rPr>
      </w:pP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highlight w:val="none"/>
          <w:shd w:val="clear" w:color="auto" w:fil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shd w:val="clear" w:color="auto" w:fill="auto"/>
          <w:lang w:val="en-US" w:eastAsia="zh-CN"/>
        </w:rPr>
        <w:t>西城区“十五五”时期产业发展规划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shd w:val="clear" w:color="auto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shd w:val="clear" w:color="auto" w:fill="auto"/>
          <w:lang w:val="en-US" w:eastAsia="zh-CN"/>
        </w:rPr>
        <w:t>（征求意见稿）</w:t>
      </w:r>
    </w:p>
    <w:p>
      <w:pPr>
        <w:bidi w:val="0"/>
        <w:rPr>
          <w:rFonts w:hint="eastAsia"/>
          <w:color w:val="auto"/>
          <w:shd w:val="clear" w:color="auto" w:fill="auto"/>
          <w:lang w:val="en-US" w:eastAsia="zh-CN"/>
        </w:rPr>
      </w:pPr>
    </w:p>
    <w:p>
      <w:pPr>
        <w:bidi w:val="0"/>
        <w:rPr>
          <w:rFonts w:hint="eastAsia"/>
          <w:color w:val="auto"/>
          <w:shd w:val="clear" w:color="auto" w:fill="auto"/>
          <w:lang w:val="en-US" w:eastAsia="zh-CN"/>
        </w:rPr>
      </w:pPr>
    </w:p>
    <w:p>
      <w:pPr>
        <w:bidi w:val="0"/>
        <w:rPr>
          <w:rFonts w:hint="eastAsia"/>
          <w:color w:val="auto"/>
          <w:shd w:val="clear" w:color="auto" w:fill="auto"/>
          <w:lang w:val="en-US" w:eastAsia="zh-CN"/>
        </w:rPr>
      </w:pPr>
    </w:p>
    <w:p>
      <w:pPr>
        <w:bidi w:val="0"/>
        <w:rPr>
          <w:rFonts w:hint="eastAsia"/>
          <w:color w:val="auto"/>
          <w:shd w:val="clear" w:color="auto" w:fill="auto"/>
          <w:lang w:val="en-US" w:eastAsia="zh-CN"/>
        </w:rPr>
      </w:pPr>
    </w:p>
    <w:p>
      <w:pPr>
        <w:bidi w:val="0"/>
        <w:rPr>
          <w:rFonts w:hint="eastAsia"/>
          <w:color w:val="auto"/>
          <w:shd w:val="clear" w:color="auto" w:fill="auto"/>
          <w:lang w:val="en-US" w:eastAsia="zh-CN"/>
        </w:rPr>
      </w:pPr>
    </w:p>
    <w:p>
      <w:pPr>
        <w:bidi w:val="0"/>
        <w:rPr>
          <w:rFonts w:hint="eastAsia"/>
          <w:color w:val="auto"/>
          <w:shd w:val="clear" w:color="auto" w:fill="auto"/>
          <w:lang w:val="en-US" w:eastAsia="zh-CN"/>
        </w:rPr>
      </w:pPr>
    </w:p>
    <w:p>
      <w:pPr>
        <w:bidi w:val="0"/>
        <w:rPr>
          <w:rFonts w:hint="eastAsia"/>
          <w:color w:val="auto"/>
          <w:shd w:val="clear" w:color="auto" w:fill="auto"/>
          <w:lang w:val="en-US" w:eastAsia="zh-CN"/>
        </w:rPr>
      </w:pPr>
    </w:p>
    <w:p>
      <w:pPr>
        <w:bidi w:val="0"/>
        <w:rPr>
          <w:rFonts w:hint="eastAsia"/>
          <w:color w:val="auto"/>
          <w:shd w:val="clear" w:color="auto" w:fill="auto"/>
          <w:lang w:val="en-US" w:eastAsia="zh-CN"/>
        </w:rPr>
      </w:pPr>
    </w:p>
    <w:p>
      <w:pPr>
        <w:bidi w:val="0"/>
        <w:rPr>
          <w:rFonts w:hint="eastAsia"/>
          <w:color w:val="auto"/>
          <w:shd w:val="clear" w:color="auto" w:fil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楷体_GB2312" w:hAnsi="楷体_GB2312" w:eastAsia="楷体_GB2312" w:cs="楷体_GB2312"/>
          <w:bCs w:val="0"/>
          <w:sz w:val="36"/>
          <w:szCs w:val="36"/>
          <w:lang w:val="en-US" w:eastAsia="zh-CN"/>
        </w:rPr>
      </w:pPr>
      <w:r>
        <w:rPr>
          <w:rFonts w:hint="eastAsia" w:ascii="楷体_GB2312" w:hAnsi="楷体_GB2312" w:eastAsia="楷体_GB2312" w:cs="楷体_GB2312"/>
          <w:bCs w:val="0"/>
          <w:sz w:val="36"/>
          <w:szCs w:val="36"/>
          <w:lang w:val="en-US" w:eastAsia="zh-CN"/>
        </w:rPr>
        <w:t>北京市西城区发展和改革委员会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楷体_GB2312" w:hAnsi="楷体_GB2312" w:eastAsia="楷体_GB2312" w:cs="楷体_GB2312"/>
          <w:bCs w:val="0"/>
          <w:sz w:val="36"/>
          <w:szCs w:val="36"/>
          <w:lang w:val="en-US" w:eastAsia="zh-CN"/>
        </w:rPr>
      </w:pPr>
      <w:bookmarkStart w:id="4" w:name="_Toc61711033"/>
      <w:bookmarkStart w:id="5" w:name="_Toc61715892"/>
      <w:bookmarkStart w:id="6" w:name="_Toc61613952"/>
      <w:bookmarkStart w:id="7" w:name="_Toc12979"/>
      <w:bookmarkStart w:id="8" w:name="_Toc18690622"/>
      <w:bookmarkStart w:id="9" w:name="_Toc61626447"/>
      <w:bookmarkStart w:id="10" w:name="_Toc61708146"/>
      <w:r>
        <w:rPr>
          <w:rFonts w:hint="default" w:ascii="楷体_GB2312" w:hAnsi="楷体_GB2312" w:eastAsia="楷体_GB2312" w:cs="楷体_GB2312"/>
          <w:bCs w:val="0"/>
          <w:sz w:val="36"/>
          <w:szCs w:val="36"/>
          <w:lang w:val="en-US" w:eastAsia="zh-CN"/>
        </w:rPr>
        <w:t>202</w:t>
      </w:r>
      <w:r>
        <w:rPr>
          <w:rFonts w:hint="eastAsia" w:ascii="楷体_GB2312" w:hAnsi="楷体_GB2312" w:eastAsia="楷体_GB2312" w:cs="楷体_GB2312"/>
          <w:bCs w:val="0"/>
          <w:sz w:val="36"/>
          <w:szCs w:val="36"/>
          <w:lang w:val="en-US" w:eastAsia="zh-CN"/>
        </w:rPr>
        <w:t>6</w:t>
      </w:r>
      <w:r>
        <w:rPr>
          <w:rFonts w:hint="default" w:ascii="楷体_GB2312" w:hAnsi="楷体_GB2312" w:eastAsia="楷体_GB2312" w:cs="楷体_GB2312"/>
          <w:bCs w:val="0"/>
          <w:sz w:val="36"/>
          <w:szCs w:val="36"/>
          <w:lang w:val="en-US" w:eastAsia="zh-CN"/>
        </w:rPr>
        <w:t>年</w:t>
      </w:r>
      <w:r>
        <w:rPr>
          <w:rFonts w:hint="eastAsia" w:ascii="楷体_GB2312" w:hAnsi="楷体_GB2312" w:eastAsia="楷体_GB2312" w:cs="楷体_GB2312"/>
          <w:bCs w:val="0"/>
          <w:sz w:val="36"/>
          <w:szCs w:val="36"/>
          <w:lang w:val="en-US" w:eastAsia="zh-CN"/>
        </w:rPr>
        <w:t>8</w:t>
      </w:r>
      <w:r>
        <w:rPr>
          <w:rFonts w:hint="default" w:ascii="楷体_GB2312" w:hAnsi="楷体_GB2312" w:eastAsia="楷体_GB2312" w:cs="楷体_GB2312"/>
          <w:bCs w:val="0"/>
          <w:sz w:val="36"/>
          <w:szCs w:val="36"/>
          <w:lang w:val="en-US" w:eastAsia="zh-CN"/>
        </w:rPr>
        <w:t>月</w:t>
      </w:r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2"/>
        <w:rPr>
          <w:rFonts w:hint="default" w:ascii="楷体_GB2312" w:hAnsi="楷体_GB2312" w:eastAsia="楷体_GB2312" w:cs="楷体_GB2312"/>
          <w:bCs w:val="0"/>
          <w:sz w:val="36"/>
          <w:szCs w:val="36"/>
          <w:lang w:val="en-US" w:eastAsia="zh-CN"/>
        </w:rPr>
      </w:pPr>
    </w:p>
    <w:p>
      <w:pPr>
        <w:rPr>
          <w:rFonts w:hint="default" w:ascii="楷体_GB2312" w:hAnsi="楷体_GB2312" w:eastAsia="楷体_GB2312" w:cs="楷体_GB2312"/>
          <w:bCs w:val="0"/>
          <w:sz w:val="36"/>
          <w:szCs w:val="36"/>
          <w:lang w:val="en-US" w:eastAsia="zh-CN"/>
        </w:rPr>
      </w:pPr>
    </w:p>
    <w:p>
      <w:pPr>
        <w:rPr>
          <w:rFonts w:hint="default" w:ascii="楷体_GB2312" w:hAnsi="楷体_GB2312" w:eastAsia="楷体_GB2312" w:cs="楷体_GB2312"/>
          <w:bCs w:val="0"/>
          <w:sz w:val="36"/>
          <w:szCs w:val="36"/>
          <w:lang w:val="en-US" w:eastAsia="zh-CN"/>
        </w:rPr>
      </w:pPr>
    </w:p>
    <w:p>
      <w:pPr>
        <w:pStyle w:val="2"/>
        <w:rPr>
          <w:rFonts w:hint="default" w:ascii="楷体_GB2312" w:hAnsi="楷体_GB2312" w:eastAsia="楷体_GB2312" w:cs="楷体_GB2312"/>
          <w:bCs w:val="0"/>
          <w:sz w:val="36"/>
          <w:szCs w:val="36"/>
          <w:lang w:val="en-US" w:eastAsia="zh-CN"/>
        </w:rPr>
      </w:pPr>
    </w:p>
    <w:p>
      <w:pPr>
        <w:rPr>
          <w:rFonts w:hint="default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upperRoman"/>
          <w:cols w:space="720" w:num="1"/>
          <w:docGrid w:type="lines" w:linePitch="312" w:charSpace="0"/>
        </w:sectPr>
      </w:pPr>
    </w:p>
    <w:p>
      <w:pPr>
        <w:rPr>
          <w:rFonts w:hint="default"/>
          <w:lang w:val="en-US" w:eastAsia="zh-CN"/>
        </w:rPr>
        <w:sectPr>
          <w:footerReference r:id="rId9" w:type="default"/>
          <w:pgSz w:w="11906" w:h="16838"/>
          <w:pgMar w:top="1440" w:right="1800" w:bottom="1440" w:left="1800" w:header="851" w:footer="992" w:gutter="0"/>
          <w:pgNumType w:fmt="upperRoman" w:start="1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t>目录</w:t>
      </w:r>
    </w:p>
    <w:p>
      <w:pPr>
        <w:pStyle w:val="16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instrText xml:space="preserve">TOC \o "1-3" \h \u </w:instrText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_Toc32246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t>一、总体要求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_Toc32246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16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_Toc14623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t>二、加快构建现代化产业体系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_Toc14623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_Toc14203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szCs w:val="32"/>
          <w:shd w:val="clear" w:color="auto" w:fill="auto"/>
          <w:lang w:val="en-US" w:eastAsia="zh-CN"/>
        </w:rPr>
        <w:t>（一）巩固扩大金融业强基优势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_Toc14203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_Toc8178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szCs w:val="32"/>
          <w:shd w:val="clear" w:color="auto" w:fill="auto"/>
          <w:lang w:val="en-US" w:eastAsia="zh-CN"/>
        </w:rPr>
        <w:t>（二）提升潜力产业发展能级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_Toc8178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2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12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_Toc26266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2"/>
          <w:szCs w:val="22"/>
          <w:shd w:val="clear" w:color="auto" w:fill="auto"/>
          <w:lang w:val="en-US" w:eastAsia="zh-CN" w:bidi="ar-SA"/>
        </w:rPr>
        <w:t>1.壮大金融科技产业规模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_Toc26266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2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12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_Toc21094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2"/>
          <w:szCs w:val="22"/>
          <w:shd w:val="clear" w:color="auto" w:fill="auto"/>
          <w:lang w:val="en-US" w:eastAsia="zh-CN" w:bidi="ar-SA"/>
        </w:rPr>
        <w:t>2.推动数据产业</w:t>
      </w:r>
      <w:bookmarkStart w:id="318" w:name="_GoBack"/>
      <w:bookmarkEnd w:id="318"/>
      <w:r>
        <w:rPr>
          <w:rFonts w:hint="default" w:ascii="Times New Roman" w:hAnsi="Times New Roman" w:eastAsia="仿宋_GB2312" w:cs="Times New Roman"/>
          <w:bCs/>
          <w:kern w:val="2"/>
          <w:szCs w:val="22"/>
          <w:shd w:val="clear" w:color="auto" w:fill="auto"/>
          <w:lang w:val="en-US" w:eastAsia="zh-CN" w:bidi="ar-SA"/>
        </w:rPr>
        <w:t>创新发展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_Toc21094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3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12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_Toc20460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bCs/>
          <w:kern w:val="2"/>
          <w:szCs w:val="22"/>
          <w:shd w:val="clear" w:color="auto" w:fill="auto"/>
          <w:lang w:val="en-US" w:eastAsia="zh-CN" w:bidi="ar-SA"/>
        </w:rPr>
        <w:t>3.加快推动人工智能应用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_Toc20460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4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_Toc21517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bCs w:val="0"/>
          <w:kern w:val="2"/>
          <w:szCs w:val="22"/>
          <w:shd w:val="clear" w:color="auto" w:fill="auto"/>
          <w:lang w:val="en-US" w:eastAsia="zh-CN" w:bidi="ar-SA"/>
        </w:rPr>
        <w:t>（三）推动特色领域融合发展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_Toc21517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4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12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_Toc21307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szCs w:val="22"/>
          <w:shd w:val="clear" w:color="auto" w:fill="auto"/>
          <w:lang w:val="en-US" w:eastAsia="zh-CN"/>
        </w:rPr>
        <w:t>1.推动“文化+”融合创新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_Toc21307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4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12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_Toc28140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szCs w:val="22"/>
          <w:shd w:val="clear" w:color="auto" w:fill="auto"/>
          <w:lang w:val="en-US" w:eastAsia="zh-CN"/>
        </w:rPr>
        <w:t>2.深化“绿色+”赋能升级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_Toc28140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5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16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_Toc25692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t>三、优化产业总体空间布局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_Toc25692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5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_Toc16374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szCs w:val="32"/>
          <w:shd w:val="clear" w:color="auto" w:fill="auto"/>
          <w:lang w:val="en-US" w:eastAsia="zh-CN"/>
        </w:rPr>
        <w:t>（一）强化金融街发展极核功能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_Toc16374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6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_Toc31000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bCs/>
          <w:i w:val="0"/>
          <w:iCs w:val="0"/>
          <w:caps w:val="0"/>
          <w:spacing w:val="0"/>
          <w:szCs w:val="32"/>
          <w:shd w:val="clear" w:color="auto" w:fill="auto"/>
          <w:lang w:val="en-US" w:eastAsia="zh-CN"/>
        </w:rPr>
        <w:t>（二）做优数智产业创新发展带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_Toc31000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6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_Toc4049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szCs w:val="32"/>
          <w:shd w:val="clear" w:color="auto" w:fill="auto"/>
          <w:lang w:val="en-US" w:eastAsia="zh-CN"/>
        </w:rPr>
        <w:t>（三）加强五个重点产业片区建设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_Toc4049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7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_Toc18025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szCs w:val="32"/>
          <w:shd w:val="clear" w:color="auto" w:fill="auto"/>
          <w:lang w:val="en-US" w:eastAsia="zh-CN"/>
        </w:rPr>
        <w:t>（四）集中打造一批特色产业节点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_Toc18025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8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16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_Toc29581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t>四、提升产业发展生态环境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_Toc29581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8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_Toc23374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bCs/>
          <w:kern w:val="2"/>
          <w:szCs w:val="32"/>
          <w:shd w:val="clear" w:color="auto" w:fill="auto"/>
          <w:lang w:val="en-US" w:eastAsia="zh-CN" w:bidi="ar-SA"/>
        </w:rPr>
        <w:t>（一）培育壮大企业主体群落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_Toc23374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8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_Toc5041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bCs/>
          <w:kern w:val="2"/>
          <w:szCs w:val="32"/>
          <w:shd w:val="clear" w:color="auto" w:fill="auto"/>
          <w:lang w:val="en-US" w:eastAsia="zh-CN" w:bidi="ar-SA"/>
        </w:rPr>
        <w:t>（二）强化产业空间高效利用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_Toc5041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9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_Toc9219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bCs/>
          <w:shd w:val="clear" w:color="auto" w:fill="auto"/>
          <w:lang w:eastAsia="zh-CN"/>
        </w:rPr>
        <w:t>（</w:t>
      </w:r>
      <w:r>
        <w:rPr>
          <w:rFonts w:hint="default" w:ascii="Times New Roman" w:hAnsi="Times New Roman" w:eastAsia="楷体_GB2312" w:cs="Times New Roman"/>
          <w:bCs/>
          <w:shd w:val="clear" w:color="auto" w:fill="auto"/>
          <w:lang w:val="en-US" w:eastAsia="zh-CN"/>
        </w:rPr>
        <w:t>三</w:t>
      </w:r>
      <w:r>
        <w:rPr>
          <w:rFonts w:hint="default" w:ascii="Times New Roman" w:hAnsi="Times New Roman" w:eastAsia="楷体_GB2312" w:cs="Times New Roman"/>
          <w:bCs/>
          <w:shd w:val="clear" w:color="auto" w:fill="auto"/>
          <w:lang w:eastAsia="zh-CN"/>
        </w:rPr>
        <w:t>）打造青年人才集聚高地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_Toc9219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10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_Toc27981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bCs/>
          <w:szCs w:val="32"/>
          <w:shd w:val="clear" w:color="auto" w:fill="auto"/>
          <w:lang w:val="en-US" w:eastAsia="zh-CN"/>
        </w:rPr>
        <w:t>（四）加强金融资本投资服务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_Toc27981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10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_Toc28313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bCs/>
          <w:shd w:val="clear" w:color="auto" w:fill="auto"/>
          <w:lang w:eastAsia="zh-CN"/>
        </w:rPr>
        <w:t>（</w:t>
      </w:r>
      <w:r>
        <w:rPr>
          <w:rFonts w:hint="default" w:ascii="Times New Roman" w:hAnsi="Times New Roman" w:eastAsia="楷体_GB2312" w:cs="Times New Roman"/>
          <w:bCs/>
          <w:shd w:val="clear" w:color="auto" w:fill="auto"/>
          <w:lang w:val="en-US" w:eastAsia="zh-CN"/>
        </w:rPr>
        <w:t>五</w:t>
      </w:r>
      <w:r>
        <w:rPr>
          <w:rFonts w:hint="default" w:ascii="Times New Roman" w:hAnsi="Times New Roman" w:eastAsia="楷体_GB2312" w:cs="Times New Roman"/>
          <w:bCs/>
          <w:shd w:val="clear" w:color="auto" w:fill="auto"/>
          <w:lang w:eastAsia="zh-CN"/>
        </w:rPr>
        <w:t>）</w:t>
      </w:r>
      <w:r>
        <w:rPr>
          <w:rFonts w:hint="default" w:ascii="Times New Roman" w:hAnsi="Times New Roman" w:eastAsia="楷体_GB2312" w:cs="Times New Roman"/>
          <w:bCs/>
          <w:highlight w:val="none"/>
          <w:shd w:val="clear" w:color="auto" w:fill="auto"/>
          <w:lang w:eastAsia="zh-CN"/>
        </w:rPr>
        <w:t>激活数据</w:t>
      </w:r>
      <w:r>
        <w:rPr>
          <w:rFonts w:hint="default" w:ascii="Times New Roman" w:hAnsi="Times New Roman" w:eastAsia="楷体_GB2312" w:cs="Times New Roman"/>
          <w:bCs/>
          <w:shd w:val="clear" w:color="auto" w:fill="auto"/>
          <w:lang w:val="en-US" w:eastAsia="zh-CN"/>
        </w:rPr>
        <w:t>算力资源价值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_Toc28313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11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20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_Toc12137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楷体_GB2312" w:cs="Times New Roman"/>
          <w:szCs w:val="32"/>
          <w:shd w:val="clear" w:color="auto" w:fill="auto"/>
          <w:lang w:val="en-US" w:eastAsia="zh-CN"/>
        </w:rPr>
        <w:t>（六）推动应用场景开放赋能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_Toc12137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11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pStyle w:val="16"/>
        <w:tabs>
          <w:tab w:val="right" w:leader="dot" w:pos="8845"/>
        </w:tabs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begin"/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instrText xml:space="preserve"> HYPERLINK \l _Toc19021 </w:instrText>
      </w:r>
      <w:r>
        <w:rPr>
          <w:rFonts w:hint="default" w:ascii="Times New Roman" w:hAnsi="Times New Roman" w:eastAsia="黑体" w:cs="Times New Roman"/>
          <w:bCs w:val="0"/>
          <w:szCs w:val="32"/>
          <w:shd w:val="clear" w:color="auto" w:fill="auto"/>
          <w:lang w:val="en-US" w:eastAsia="zh-CN"/>
        </w:rPr>
        <w:fldChar w:fldCharType="separate"/>
      </w:r>
      <w:r>
        <w:rPr>
          <w:rFonts w:hint="default" w:ascii="Times New Roman" w:hAnsi="Times New Roman" w:eastAsia="黑体" w:cs="Times New Roman"/>
          <w:bCs w:val="0"/>
          <w:highlight w:val="none"/>
          <w:shd w:val="clear" w:color="auto" w:fill="auto"/>
          <w:lang w:val="en-US" w:eastAsia="zh-CN"/>
        </w:rPr>
        <w:t>五、规划实施保障</w:t>
      </w:r>
      <w:r>
        <w:rPr>
          <w:rFonts w:hint="default" w:ascii="Times New Roman" w:hAnsi="Times New Roman" w:cs="Times New Roman"/>
        </w:rPr>
        <w:tab/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PAGEREF _Toc19021 \h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/>
        </w:rPr>
        <w:t>12</w:t>
      </w:r>
      <w:r>
        <w:rPr>
          <w:rFonts w:hint="default" w:ascii="Times New Roman" w:hAnsi="Times New Roman" w:cs="Times New Roman"/>
        </w:rPr>
        <w:fldChar w:fldCharType="end"/>
      </w: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outlineLvl w:val="9"/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outlineLvl w:val="9"/>
        <w:rPr>
          <w:rFonts w:hint="default" w:ascii="Times New Roman" w:hAnsi="Times New Roman" w:eastAsia="黑体" w:cs="Times New Roman"/>
          <w:bCs w:val="0"/>
          <w:color w:val="auto"/>
          <w:szCs w:val="32"/>
          <w:shd w:val="clear" w:color="auto" w:fil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  <w:sectPr>
          <w:footerReference r:id="rId10" w:type="default"/>
          <w:pgSz w:w="11906" w:h="16838"/>
          <w:pgMar w:top="2098" w:right="1474" w:bottom="1984" w:left="1587" w:header="1417" w:footer="1417" w:gutter="0"/>
          <w:pgNumType w:fmt="upperRoman" w:start="1"/>
          <w:cols w:space="0" w:num="1"/>
          <w:rtlGutter w:val="0"/>
          <w:docGrid w:type="lines" w:linePitch="442" w:charSpace="0"/>
        </w:sectPr>
      </w:pPr>
      <w:bookmarkStart w:id="11" w:name="_Toc5079"/>
      <w:bookmarkStart w:id="12" w:name="_Toc5241"/>
      <w:bookmarkStart w:id="13" w:name="_Toc3435"/>
      <w:bookmarkStart w:id="14" w:name="_Toc2188"/>
      <w:bookmarkStart w:id="15" w:name="_Toc19674"/>
      <w:bookmarkStart w:id="16" w:name="_Toc13277"/>
      <w:bookmarkStart w:id="17" w:name="_Toc1115"/>
      <w:bookmarkStart w:id="18" w:name="_Toc17898"/>
      <w:bookmarkStart w:id="19" w:name="_Toc2366"/>
    </w:p>
    <w:bookmarkEnd w:id="0"/>
    <w:bookmarkEnd w:id="1"/>
    <w:bookmarkEnd w:id="2"/>
    <w:bookmarkEnd w:id="3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contextualSpacing/>
        <w:textAlignment w:val="auto"/>
        <w:rPr>
          <w:rFonts w:hint="default" w:eastAsia="仿宋_GB2312" w:cs="仿宋_GB2312"/>
          <w:color w:val="auto"/>
          <w:sz w:val="32"/>
          <w:shd w:val="clear" w:color="auto" w:fill="auto"/>
          <w:lang w:val="en-US" w:eastAsia="zh-CN"/>
        </w:rPr>
      </w:pPr>
      <w:bookmarkStart w:id="20" w:name="_Toc25355"/>
      <w:bookmarkStart w:id="21" w:name="_Toc22746"/>
      <w:bookmarkStart w:id="22" w:name="_Toc5319"/>
      <w:bookmarkStart w:id="23" w:name="_Toc26625"/>
      <w:bookmarkStart w:id="24" w:name="_Toc486"/>
      <w:bookmarkStart w:id="25" w:name="_Toc13013"/>
      <w:bookmarkStart w:id="26" w:name="_Toc30737"/>
      <w:bookmarkStart w:id="27" w:name="_Toc2474"/>
      <w:bookmarkStart w:id="28" w:name="_Toc11201"/>
      <w:bookmarkStart w:id="29" w:name="_Toc14368"/>
      <w:bookmarkStart w:id="30" w:name="_Toc3125"/>
      <w:bookmarkStart w:id="31" w:name="_Toc19394"/>
      <w:r>
        <w:rPr>
          <w:rFonts w:hint="eastAsia" w:cs="仿宋_GB2312"/>
          <w:color w:val="auto"/>
          <w:sz w:val="32"/>
          <w:shd w:val="clear" w:color="auto" w:fill="auto"/>
          <w:lang w:val="en-US" w:eastAsia="zh-CN"/>
        </w:rPr>
        <w:t>为深入贯彻落实党中央、国务院关于现代化产业体系建设部署，</w:t>
      </w:r>
      <w:r>
        <w:rPr>
          <w:rFonts w:hint="eastAsia" w:eastAsia="仿宋_GB2312" w:cs="仿宋_GB2312"/>
          <w:color w:val="auto"/>
          <w:sz w:val="32"/>
          <w:shd w:val="clear" w:color="auto" w:fill="auto"/>
          <w:lang w:val="en-US" w:eastAsia="zh-CN"/>
        </w:rPr>
        <w:t>把握新兴产业和未来产业发展机遇，依据《北京市西城区国民经济和社会发展第十五个五年规划纲要》</w:t>
      </w:r>
      <w:r>
        <w:rPr>
          <w:rFonts w:hint="eastAsia" w:cs="仿宋_GB2312"/>
          <w:color w:val="auto"/>
          <w:sz w:val="32"/>
          <w:highlight w:val="none"/>
          <w:shd w:val="clear" w:color="auto" w:fill="auto"/>
          <w:lang w:val="en-US" w:eastAsia="zh-CN"/>
        </w:rPr>
        <w:t>《北京市“十五五”时期现代化产业体系规划》</w:t>
      </w:r>
      <w:r>
        <w:rPr>
          <w:rFonts w:hint="eastAsia" w:cs="仿宋_GB2312"/>
          <w:color w:val="auto"/>
          <w:sz w:val="32"/>
          <w:shd w:val="clear" w:color="auto" w:fill="auto"/>
          <w:lang w:val="en-US" w:eastAsia="zh-CN"/>
        </w:rPr>
        <w:t>，编制本规划。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bookmarkStart w:id="32" w:name="_Toc32246"/>
      <w:r>
        <w:rPr>
          <w:rFonts w:hint="eastAsia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  <w:t>一、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>
        <w:rPr>
          <w:rFonts w:hint="eastAsia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  <w:t>总体要求</w:t>
      </w:r>
      <w:bookmarkEnd w:id="32"/>
    </w:p>
    <w:p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contextualSpacing/>
        <w:textAlignment w:val="auto"/>
        <w:rPr>
          <w:rFonts w:hint="default" w:ascii="仿宋_GB2312" w:hAnsi="仿宋_GB2312" w:eastAsia="仿宋_GB2312" w:cs="仿宋_GB2312"/>
          <w:color w:val="auto"/>
          <w:sz w:val="36"/>
          <w:szCs w:val="36"/>
          <w:shd w:val="clear" w:color="auto" w:fill="auto"/>
          <w:lang w:val="en-US" w:eastAsia="zh-CN"/>
        </w:rPr>
      </w:pPr>
      <w:bookmarkStart w:id="33" w:name="_Toc7564"/>
      <w:bookmarkStart w:id="34" w:name="_Toc13014"/>
      <w:bookmarkStart w:id="35" w:name="_Toc13311"/>
      <w:bookmarkStart w:id="36" w:name="_Toc10729"/>
      <w:bookmarkStart w:id="37" w:name="_Toc26902"/>
      <w:bookmarkStart w:id="38" w:name="_Toc26921"/>
      <w:bookmarkStart w:id="39" w:name="_Toc24096"/>
      <w:bookmarkStart w:id="40" w:name="_Toc15097"/>
      <w:bookmarkStart w:id="41" w:name="_Toc11518"/>
      <w:bookmarkStart w:id="42" w:name="_Toc17583"/>
      <w:bookmarkStart w:id="43" w:name="_Toc12743"/>
      <w:bookmarkStart w:id="44" w:name="_Toc8292"/>
      <w:r>
        <w:rPr>
          <w:rFonts w:hint="default" w:eastAsia="仿宋_GB2312" w:cs="Times New Roman"/>
          <w:color w:val="auto"/>
          <w:sz w:val="32"/>
          <w:shd w:val="clear" w:color="auto" w:fill="auto"/>
          <w:lang w:val="en-US" w:eastAsia="zh-CN"/>
        </w:rPr>
        <w:t>坚持以习近平新时代中国特色社会主义思想为指导，深入贯彻党的二十大和二十届历次全会精神</w:t>
      </w:r>
      <w:r>
        <w:rPr>
          <w:rFonts w:hint="eastAsia" w:eastAsia="仿宋_GB2312" w:cs="Times New Roman"/>
          <w:color w:val="auto"/>
          <w:sz w:val="32"/>
          <w:shd w:val="clear" w:color="auto" w:fill="auto"/>
          <w:lang w:val="en-US" w:eastAsia="zh-CN"/>
        </w:rPr>
        <w:t>，</w:t>
      </w:r>
      <w:r>
        <w:rPr>
          <w:rFonts w:hint="eastAsia" w:eastAsia="仿宋_GB2312" w:cs="仿宋_GB2312"/>
          <w:color w:val="auto"/>
          <w:sz w:val="32"/>
          <w:shd w:val="clear" w:color="auto" w:fill="auto"/>
          <w:lang w:val="en-US" w:eastAsia="zh-CN"/>
        </w:rPr>
        <w:t>立足首都功能核心区定位，坚持以新时代首都发展为统领，以推动高质量发展为主题，</w:t>
      </w:r>
      <w:r>
        <w:rPr>
          <w:rFonts w:hint="eastAsia" w:cs="仿宋_GB2312"/>
          <w:b w:val="0"/>
          <w:bCs/>
          <w:color w:val="auto"/>
          <w:sz w:val="32"/>
          <w:szCs w:val="32"/>
          <w:u w:val="none"/>
          <w:shd w:val="clear" w:color="auto" w:fill="auto"/>
          <w:lang w:val="en-US" w:eastAsia="zh-CN"/>
        </w:rPr>
        <w:t>以科技创新与产业创新融合为抓手，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坚持智能化、绿色化、融合化方向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/>
          <w:color w:val="auto"/>
          <w:u w:val="none"/>
          <w:shd w:val="clear" w:color="auto" w:fill="auto"/>
          <w:lang w:val="en-US" w:eastAsia="zh-CN"/>
        </w:rPr>
        <w:t>服务保障</w:t>
      </w:r>
      <w:r>
        <w:rPr>
          <w:rFonts w:hint="eastAsia"/>
          <w:color w:val="auto"/>
          <w:u w:val="none"/>
          <w:shd w:val="clear" w:color="auto" w:fill="auto"/>
        </w:rPr>
        <w:t>国家金融管理中心建设</w:t>
      </w:r>
      <w:r>
        <w:rPr>
          <w:rFonts w:hint="eastAsia"/>
          <w:color w:val="auto"/>
          <w:u w:val="none"/>
          <w:shd w:val="clear" w:color="auto" w:fill="auto"/>
          <w:lang w:eastAsia="zh-CN"/>
        </w:rPr>
        <w:t>，</w:t>
      </w:r>
      <w:r>
        <w:rPr>
          <w:rFonts w:hint="eastAsia"/>
          <w:color w:val="auto"/>
          <w:u w:val="none"/>
          <w:shd w:val="clear" w:color="auto" w:fill="auto"/>
          <w:lang w:val="en-US" w:eastAsia="zh-CN"/>
        </w:rPr>
        <w:t>发挥国家</w:t>
      </w:r>
      <w:r>
        <w:rPr>
          <w:rFonts w:hint="eastAsia"/>
          <w:color w:val="auto"/>
          <w:u w:val="none"/>
          <w:shd w:val="clear" w:color="auto" w:fill="auto"/>
        </w:rPr>
        <w:t>级金融科技示范区</w:t>
      </w:r>
      <w:r>
        <w:rPr>
          <w:rFonts w:hint="eastAsia"/>
          <w:color w:val="auto"/>
          <w:u w:val="none"/>
          <w:shd w:val="clear" w:color="auto" w:fill="auto"/>
          <w:lang w:eastAsia="zh-CN"/>
        </w:rPr>
        <w:t>、</w:t>
      </w:r>
      <w:r>
        <w:rPr>
          <w:rFonts w:hint="eastAsia"/>
          <w:color w:val="auto"/>
          <w:u w:val="none"/>
          <w:shd w:val="clear" w:color="auto" w:fill="auto"/>
        </w:rPr>
        <w:t>全球数字经济标杆城市示范区</w:t>
      </w:r>
      <w:r>
        <w:rPr>
          <w:rFonts w:hint="eastAsia"/>
          <w:color w:val="auto"/>
          <w:u w:val="none"/>
          <w:shd w:val="clear" w:color="auto" w:fill="auto"/>
          <w:lang w:eastAsia="zh-CN"/>
        </w:rPr>
        <w:t>、</w:t>
      </w:r>
      <w:r>
        <w:rPr>
          <w:rFonts w:hint="eastAsia"/>
          <w:color w:val="auto"/>
          <w:u w:val="none"/>
          <w:shd w:val="clear" w:color="auto" w:fill="auto"/>
          <w:lang w:val="en-US" w:eastAsia="zh-CN"/>
        </w:rPr>
        <w:t>国际消费中心城市示范区的引领驱动作用，推动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u w:val="none"/>
          <w:shd w:val="clear" w:color="auto" w:fill="auto"/>
          <w:lang w:val="en-US" w:eastAsia="zh-CN"/>
        </w:rPr>
        <w:t>产业上新、空间更新、机制创新、生态焕新</w:t>
      </w:r>
      <w:r>
        <w:rPr>
          <w:rFonts w:hint="eastAsia"/>
          <w:color w:val="auto"/>
          <w:u w:val="none"/>
          <w:shd w:val="clear" w:color="auto" w:fill="auto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打造梯队结构合理、质量效益高、创新驱动强的</w:t>
      </w:r>
      <w:r>
        <w:rPr>
          <w:rFonts w:hint="eastAsia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现代化产业体系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，</w:t>
      </w:r>
      <w:r>
        <w:rPr>
          <w:rFonts w:hint="eastAsia"/>
          <w:color w:val="auto"/>
          <w:highlight w:val="none"/>
          <w:u w:val="none"/>
          <w:shd w:val="clear" w:color="auto" w:fill="auto"/>
        </w:rPr>
        <w:t>推动经济实现质的有效提升和量的合理增长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shd w:val="clear" w:color="auto" w:fill="auto"/>
        </w:rPr>
        <w:t>。</w:t>
      </w:r>
    </w:p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bookmarkStart w:id="45" w:name="_Toc16315"/>
      <w:bookmarkStart w:id="46" w:name="_Toc14623"/>
      <w:bookmarkStart w:id="47" w:name="_Toc18002"/>
      <w:bookmarkStart w:id="48" w:name="_Toc17156"/>
      <w:bookmarkStart w:id="49" w:name="_Toc1776"/>
      <w:bookmarkStart w:id="50" w:name="_Toc20281"/>
      <w:bookmarkStart w:id="51" w:name="_Toc28424"/>
      <w:bookmarkStart w:id="52" w:name="_Toc30613"/>
      <w:bookmarkStart w:id="53" w:name="_Toc25693"/>
      <w:bookmarkStart w:id="54" w:name="_Toc21881"/>
      <w:bookmarkStart w:id="55" w:name="_Toc19537"/>
      <w:bookmarkStart w:id="56" w:name="_Toc4215"/>
      <w:bookmarkStart w:id="57" w:name="_Toc20047"/>
      <w:r>
        <w:rPr>
          <w:rFonts w:hint="eastAsia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  <w:t>二、加快构建现代化产业体系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shd w:val="clear" w:color="auto" w:fill="auto"/>
          <w:lang w:val="en-US" w:eastAsia="zh-CN"/>
        </w:rPr>
        <w:t>以高质量、内涵式发展为主线，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发挥“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金融强基+科技引领+数字赋能+融合增效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”的协同驱动作用，</w:t>
      </w:r>
      <w:bookmarkStart w:id="58" w:name="_Toc18884"/>
      <w:bookmarkStart w:id="59" w:name="_Toc18739"/>
      <w:bookmarkStart w:id="60" w:name="_Toc31963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加快构建更具竞争力的“1+3+2”现代化产业体系，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全面激活新质生产力。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 w:val="0"/>
          <w:color w:val="auto"/>
          <w:sz w:val="32"/>
          <w:szCs w:val="32"/>
          <w:shd w:val="clear" w:color="auto" w:fill="auto"/>
          <w:lang w:val="en-US" w:eastAsia="zh-CN"/>
        </w:rPr>
      </w:pPr>
      <w:bookmarkStart w:id="61" w:name="_Toc31497"/>
      <w:bookmarkStart w:id="62" w:name="_Toc26593"/>
      <w:bookmarkStart w:id="63" w:name="_Toc20631"/>
      <w:bookmarkStart w:id="64" w:name="_Toc14543"/>
      <w:bookmarkStart w:id="65" w:name="_Toc14203"/>
      <w:bookmarkStart w:id="66" w:name="_Toc5038"/>
      <w:bookmarkStart w:id="67" w:name="_Toc29741"/>
      <w:bookmarkStart w:id="68" w:name="_Toc25933"/>
      <w:bookmarkStart w:id="69" w:name="_Toc30775"/>
      <w:bookmarkStart w:id="70" w:name="_Toc1322"/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color w:val="auto"/>
          <w:sz w:val="32"/>
          <w:szCs w:val="32"/>
          <w:shd w:val="clear" w:color="auto" w:fill="auto"/>
          <w:lang w:val="en-US" w:eastAsia="zh-CN"/>
        </w:rPr>
        <w:t>巩固扩大金融业强基优势</w:t>
      </w:r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bookmarkEnd w:id="58"/>
    <w:bookmarkEnd w:id="59"/>
    <w:bookmarkEnd w:id="6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bookmarkStart w:id="71" w:name="_Toc15562"/>
      <w:bookmarkStart w:id="72" w:name="_Toc12294"/>
      <w:bookmarkStart w:id="73" w:name="_Toc30768"/>
      <w:bookmarkStart w:id="74" w:name="_Toc26800"/>
      <w:bookmarkStart w:id="75" w:name="_Toc11340"/>
      <w:bookmarkStart w:id="76" w:name="_Toc10361"/>
      <w:bookmarkStart w:id="77" w:name="_Toc19108"/>
      <w:bookmarkStart w:id="78" w:name="_Toc23534"/>
      <w:bookmarkStart w:id="79" w:name="_Toc30838"/>
      <w:bookmarkStart w:id="80" w:name="_Toc11221"/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全力服务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</w:rPr>
        <w:t>国家金融管理中心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积极参与关键领域的规则制定与治理、国际标准制定，支持金融监管部门推进金融科技和资本市场创新监管试点，争取跨境金融、人民币国际化等国家金融开放政策创新突破和试点先行，做好重要功能机构运行服务保障，积极承接新型金融基础设施落地，加强金融文化培育和传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。</w:t>
      </w:r>
      <w:bookmarkStart w:id="81" w:name="_Toc31175"/>
      <w:bookmarkStart w:id="82" w:name="_Toc4014"/>
      <w:bookmarkStart w:id="83" w:name="_Toc18076"/>
      <w:bookmarkStart w:id="84" w:name="_Toc21827"/>
      <w:bookmarkStart w:id="85" w:name="_Toc25896"/>
      <w:bookmarkStart w:id="86" w:name="_Toc2782"/>
      <w:bookmarkStart w:id="87" w:name="_Toc28028"/>
      <w:bookmarkStart w:id="88" w:name="_Toc4636"/>
      <w:bookmarkStart w:id="89" w:name="_Toc7552"/>
      <w:bookmarkStart w:id="90" w:name="_Toc31906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打造以北京证券交易所（以下简称北交所）为核心的资本市场生态圈，全面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auto"/>
        </w:rPr>
        <w:t>服务北交所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做大做强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完善服务企业上市机制，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探索建立北交所与相关科技、产业资源平台的对接机制，促进“政策－金融－科技－产业”深度融合。持续优化现代金融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产业结构，巩固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提升货币金融服务业发展优势，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支持和服务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科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</w:rPr>
        <w:t>技保险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保险创新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业务板块落地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/>
          <w:b w:val="0"/>
          <w:bCs w:val="0"/>
          <w:u w:val="none"/>
        </w:rPr>
        <w:t>大力发展证券、基金等资本市场服务业</w:t>
      </w:r>
      <w:r>
        <w:rPr>
          <w:rFonts w:hint="eastAsia" w:ascii="仿宋_GB2312" w:hAnsi="仿宋_GB2312" w:eastAsia="仿宋_GB2312"/>
          <w:b w:val="0"/>
          <w:bCs w:val="0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高起点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打造优质基金聚集区，</w:t>
      </w:r>
      <w:r>
        <w:rPr>
          <w:rFonts w:hint="eastAsia" w:ascii="仿宋_GB2312" w:hAnsi="仿宋_GB2312" w:eastAsia="仿宋_GB2312"/>
          <w:b w:val="0"/>
          <w:bCs w:val="0"/>
          <w:highlight w:val="none"/>
        </w:rPr>
        <w:t>巩固提升资管产业发展优势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。</w:t>
      </w:r>
      <w:bookmarkStart w:id="91" w:name="_Toc15983"/>
      <w:bookmarkStart w:id="92" w:name="_Toc28577"/>
      <w:bookmarkStart w:id="93" w:name="_Toc25748"/>
      <w:bookmarkStart w:id="94" w:name="_Toc5563"/>
      <w:bookmarkStart w:id="95" w:name="_Toc32275"/>
      <w:bookmarkStart w:id="96" w:name="_Toc30208"/>
      <w:bookmarkStart w:id="97" w:name="_Toc28628"/>
      <w:bookmarkStart w:id="98" w:name="_Toc13369"/>
      <w:bookmarkStart w:id="99" w:name="_Toc11189"/>
      <w:bookmarkStart w:id="100" w:name="_Toc29821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加强金融“五篇大文章”融合示范</w:t>
      </w:r>
      <w:bookmarkEnd w:id="91"/>
      <w:bookmarkEnd w:id="92"/>
      <w:bookmarkEnd w:id="93"/>
      <w:bookmarkEnd w:id="94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做强科技金融，做优绿色金融，做实普惠金融，做新养老金融，做深数字金融，持续提升金融服务实体经济质效，高水平助力金融强国建设。</w:t>
      </w:r>
    </w:p>
    <w:bookmarkEnd w:id="95"/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color w:val="auto"/>
          <w:sz w:val="32"/>
          <w:szCs w:val="32"/>
          <w:shd w:val="clear" w:color="auto" w:fill="auto"/>
          <w:lang w:val="en-US" w:eastAsia="zh-CN"/>
        </w:rPr>
      </w:pPr>
      <w:bookmarkStart w:id="101" w:name="_Toc9241"/>
      <w:bookmarkStart w:id="102" w:name="_Toc19167"/>
      <w:bookmarkStart w:id="103" w:name="_Toc9674"/>
      <w:bookmarkStart w:id="104" w:name="_Toc17633"/>
      <w:bookmarkStart w:id="105" w:name="_Toc8178"/>
      <w:bookmarkStart w:id="106" w:name="_Toc23846"/>
      <w:bookmarkStart w:id="107" w:name="_Toc16621"/>
      <w:bookmarkStart w:id="108" w:name="_Toc14520"/>
      <w:r>
        <w:rPr>
          <w:rFonts w:hint="eastAsia" w:ascii="楷体_GB2312" w:hAnsi="楷体_GB2312" w:eastAsia="楷体_GB2312" w:cs="楷体_GB2312"/>
          <w:b w:val="0"/>
          <w:color w:val="auto"/>
          <w:sz w:val="32"/>
          <w:szCs w:val="32"/>
          <w:shd w:val="clear" w:color="auto" w:fill="auto"/>
          <w:lang w:val="en-US" w:eastAsia="zh-CN"/>
        </w:rPr>
        <w:t>（二）提升潜力产业</w:t>
      </w:r>
      <w:bookmarkEnd w:id="96"/>
      <w:bookmarkEnd w:id="97"/>
      <w:bookmarkEnd w:id="101"/>
      <w:bookmarkEnd w:id="102"/>
      <w:bookmarkEnd w:id="103"/>
      <w:r>
        <w:rPr>
          <w:rFonts w:hint="eastAsia" w:ascii="楷体_GB2312" w:hAnsi="楷体_GB2312" w:eastAsia="楷体_GB2312" w:cs="楷体_GB2312"/>
          <w:b w:val="0"/>
          <w:color w:val="auto"/>
          <w:sz w:val="32"/>
          <w:szCs w:val="32"/>
          <w:shd w:val="clear" w:color="auto" w:fill="auto"/>
          <w:lang w:val="en-US" w:eastAsia="zh-CN"/>
        </w:rPr>
        <w:t>发展能级</w:t>
      </w:r>
      <w:bookmarkEnd w:id="104"/>
      <w:bookmarkEnd w:id="105"/>
      <w:bookmarkEnd w:id="106"/>
      <w:bookmarkEnd w:id="107"/>
      <w:bookmarkEnd w:id="10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</w:pPr>
      <w:bookmarkStart w:id="109" w:name="_Toc15476"/>
      <w:bookmarkStart w:id="110" w:name="_Toc26186"/>
      <w:bookmarkStart w:id="111" w:name="_Toc17615"/>
      <w:bookmarkStart w:id="112" w:name="_Toc1593"/>
      <w:bookmarkStart w:id="113" w:name="_Toc1721"/>
      <w:bookmarkStart w:id="114" w:name="_Toc26266"/>
      <w:bookmarkStart w:id="115" w:name="_Toc9687"/>
      <w:bookmarkStart w:id="116" w:name="_Toc29142"/>
      <w:bookmarkStart w:id="117" w:name="_Toc22822"/>
      <w:bookmarkStart w:id="118" w:name="_Toc31240"/>
      <w:bookmarkStart w:id="119" w:name="_Toc19457"/>
      <w:bookmarkStart w:id="120" w:name="_Toc28706"/>
      <w:bookmarkStart w:id="121" w:name="_Toc13645"/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1.</w:t>
      </w:r>
      <w:bookmarkStart w:id="122" w:name="_Toc13696"/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壮大金融科技</w:t>
      </w:r>
      <w:bookmarkEnd w:id="122"/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产业规模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以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</w:rPr>
        <w:t>技术深度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赋能金融服务升级为导向，大力发展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/>
        </w:rPr>
        <w:t>监管合规科技、金融数据挖掘分析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/>
        </w:rPr>
        <w:t>优势赛道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/>
          <w:lang w:eastAsia="zh-CN"/>
        </w:rPr>
        <w:t>，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spacing w:val="0"/>
          <w:sz w:val="32"/>
          <w:szCs w:val="32"/>
          <w:highlight w:val="none"/>
          <w:shd w:val="clear"/>
          <w:lang w:val="en-US" w:eastAsia="zh-CN"/>
        </w:rPr>
        <w:t>积极培育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</w:rPr>
        <w:t>支付科技、信贷科技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等潜力领域，探索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</w:rPr>
        <w:t>“技术赋能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eastAsia="zh-CN"/>
        </w:rPr>
        <w:t>－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</w:rPr>
        <w:t>场景应用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eastAsia="zh-CN"/>
        </w:rPr>
        <w:t>－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</w:rPr>
        <w:t>生态闭环”的协同模式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</w:rPr>
        <w:t>夯实国家金融管理中心数字底座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深化建设国家级金融科技示范区，加强与高校院所、科技企业合作，推进知识创新、关键技术创新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应用创新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推动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金融行业可信数据空间、金融科技特色产业园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优化金融科技创新生态，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打造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具有影响力的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金融科技发展高地。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促进金融科技集聚发展，重点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吸引国内外大型金融机构、互联网巨擘和科技龙头企业衍生的金融科技企业落地，推动人工智能、量子科技等在金融服务中的应用和落地，引导更多社会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力量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参与金融科技基础研究与应用研究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深化金融科技开放协作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持续办好金融科技大会等品牌活动，搭建多层次国际交流合作平台，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2"/>
          <w:highlight w:val="none"/>
          <w:shd w:val="clear" w:color="auto" w:fill="auto"/>
          <w:lang w:val="en-US" w:eastAsia="zh-CN"/>
        </w:rPr>
        <w:t>加强与全球金融科技发达城市和先进园区的合作交流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，探索建立常态化对接机制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提升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金融科技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国际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影响力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</w:pPr>
      <w:bookmarkStart w:id="123" w:name="_Toc25387"/>
      <w:bookmarkStart w:id="124" w:name="_Toc1592"/>
      <w:bookmarkStart w:id="125" w:name="_Toc30645"/>
      <w:bookmarkStart w:id="126" w:name="_Toc26663"/>
      <w:bookmarkStart w:id="127" w:name="_Toc5454"/>
      <w:bookmarkStart w:id="128" w:name="_Toc18964"/>
      <w:bookmarkStart w:id="129" w:name="_Toc28035"/>
      <w:bookmarkStart w:id="130" w:name="_Toc25595"/>
      <w:bookmarkStart w:id="131" w:name="_Toc23231"/>
      <w:bookmarkStart w:id="132" w:name="_Toc3168"/>
      <w:bookmarkStart w:id="133" w:name="_Toc21094"/>
      <w:bookmarkStart w:id="134" w:name="_Toc29834"/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2.推动数据产业创新发展</w:t>
      </w:r>
      <w:bookmarkEnd w:id="121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u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以中国数据街为引擎，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积极建设国家数据管理中心、国家数据资源中心、国家数据流通交易中心重要承载区，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打造高能级数据产业集聚区。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发挥“中国数据街”数据要素综合服务中心、智能数据标注基地等创新载体作用，承接数据管理、交易和治理功能落地，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参与数据流通利用基础设施、数据安全防护平台等重点项目，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支持建设和升级新型数据基础设施，搭建数据识别采集、数据加工分析、数据流通服务、数据应用治理等功能型服务平台，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构建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数据生态服务体系。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聚焦数据资源、数据技术、数据服务、数据应用、数据安全等数据产业相关领域，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加快培育和引进一批</w:t>
      </w: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t>总部型、枢纽型、平台型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数据企业，积极孵化和支持数科公司和分支机构发展，建设数据领域重点实验室、技术创新中心、新兴产业创新中心等国家级科技创新平台，</w:t>
      </w:r>
      <w:r>
        <w:rPr>
          <w:rFonts w:hint="eastAsia" w:ascii="Times New Roman" w:hAnsi="Calibri" w:eastAsia="仿宋_GB2312" w:cs="Times New Roman"/>
          <w:color w:val="auto"/>
          <w:sz w:val="32"/>
          <w:highlight w:val="none"/>
          <w:shd w:val="clear" w:color="auto" w:fill="auto"/>
          <w:lang w:val="en-US" w:eastAsia="zh-CN"/>
        </w:rPr>
        <w:t>打造数据产业发展高地。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>利用国家数据要素综合试验区（北京）建设契机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>积极争取数据授权运营等政策试点及机制创新，主动参与标准、制度、规则建设，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争创全国</w:t>
      </w:r>
      <w:r>
        <w:rPr>
          <w:rFonts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数据要素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市场化配置</w:t>
      </w:r>
      <w:r>
        <w:rPr>
          <w:rFonts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改革标杆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</w:pPr>
      <w:bookmarkStart w:id="135" w:name="_Toc27319"/>
      <w:bookmarkStart w:id="136" w:name="_Toc25086"/>
      <w:bookmarkStart w:id="137" w:name="_Toc20460"/>
      <w:bookmarkStart w:id="138" w:name="_Toc5727"/>
      <w:bookmarkStart w:id="139" w:name="_Toc8194"/>
      <w:bookmarkStart w:id="140" w:name="_Toc28099"/>
      <w:bookmarkStart w:id="141" w:name="_Toc28647"/>
      <w:bookmarkStart w:id="142" w:name="_Toc2121"/>
      <w:bookmarkStart w:id="143" w:name="_Toc4122"/>
      <w:bookmarkStart w:id="144" w:name="_Toc15487"/>
      <w:bookmarkStart w:id="145" w:name="_Toc1168"/>
      <w:bookmarkStart w:id="146" w:name="_Toc18031"/>
      <w:bookmarkStart w:id="147" w:name="_Toc9379"/>
      <w:bookmarkStart w:id="148" w:name="_Toc32532"/>
      <w:bookmarkStart w:id="149" w:name="_Toc18384"/>
      <w:bookmarkStart w:id="150" w:name="_Toc22808"/>
      <w:bookmarkStart w:id="151" w:name="_Toc12194"/>
      <w:bookmarkStart w:id="152" w:name="_Toc29400"/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3.加快推动人工智能应用</w:t>
      </w:r>
      <w:bookmarkEnd w:id="135"/>
      <w:bookmarkEnd w:id="136"/>
      <w:bookmarkEnd w:id="137"/>
      <w:bookmarkEnd w:id="138"/>
      <w:bookmarkEnd w:id="139"/>
      <w:bookmarkEnd w:id="140"/>
      <w:bookmarkEnd w:id="141"/>
      <w:bookmarkEnd w:id="142"/>
    </w:p>
    <w:p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/>
          <w:bCs w:val="0"/>
          <w:color w:val="auto"/>
          <w:shd w:val="clear" w:color="auto" w:fill="auto"/>
          <w:lang w:eastAsia="zh-CN"/>
        </w:rPr>
      </w:pP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val="en-US" w:eastAsia="zh-CN"/>
        </w:rPr>
        <w:t>以科技创新为驱动，以场景开放为牵引，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</w:rPr>
        <w:t>聚焦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val="en-US" w:eastAsia="zh-CN"/>
        </w:rPr>
        <w:t>通用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</w:rPr>
        <w:t>大模型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eastAsia="zh-CN"/>
        </w:rPr>
        <w:t>、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val="en-US" w:eastAsia="zh-CN"/>
        </w:rPr>
        <w:t>核心算法技术、行业应用软件、人工智能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</w:rPr>
        <w:t>应用服务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val="en-US" w:eastAsia="zh-CN"/>
        </w:rPr>
        <w:t>等重点领域，实施“人工智能+”行动，构建以应用为导向的产业创新发展生态。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bidi="ar"/>
        </w:rPr>
        <w:t>瞄准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val="en-US" w:eastAsia="zh-CN" w:bidi="ar"/>
        </w:rPr>
        <w:t>关键算法、软件栈、</w:t>
      </w:r>
      <w:r>
        <w:rPr>
          <w:rFonts w:hint="eastAsia" w:ascii="仿宋_GB2312" w:hAnsi="仿宋_GB2312" w:eastAsia="仿宋_GB2312"/>
          <w:b w:val="0"/>
          <w:bCs/>
          <w:color w:val="auto"/>
          <w:highlight w:val="none"/>
          <w:shd w:val="clear" w:color="auto" w:fill="auto"/>
          <w:lang w:val="en-US" w:eastAsia="zh-CN" w:bidi="ar"/>
        </w:rPr>
        <w:t>智能计算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bidi="ar"/>
        </w:rPr>
        <w:t>等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val="en-US" w:eastAsia="zh-CN" w:bidi="ar"/>
        </w:rPr>
        <w:t>前沿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bidi="ar"/>
        </w:rPr>
        <w:t>领域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eastAsia="zh-CN" w:bidi="ar"/>
        </w:rPr>
        <w:t>，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bidi="ar"/>
        </w:rPr>
        <w:t>加快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val="en-US" w:eastAsia="zh-CN" w:bidi="ar"/>
        </w:rPr>
        <w:t>引进和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bidi="ar"/>
        </w:rPr>
        <w:t>培育一批</w:t>
      </w:r>
      <w:r>
        <w:rPr>
          <w:rFonts w:hint="eastAsia" w:ascii="仿宋_GB2312" w:hAnsi="仿宋_GB2312" w:eastAsia="仿宋_GB2312"/>
          <w:color w:val="auto"/>
          <w:shd w:val="clear" w:color="auto" w:fill="auto"/>
          <w:lang w:bidi="ar"/>
        </w:rPr>
        <w:t>成长性好、创新能力强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bidi="ar"/>
        </w:rPr>
        <w:t>的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val="en-US" w:eastAsia="zh-CN" w:bidi="ar"/>
        </w:rPr>
        <w:t>链主企业、准独角兽、专精特新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bidi="ar"/>
        </w:rPr>
        <w:t>“小巨人”，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  <w:lang w:bidi="ar"/>
        </w:rPr>
        <w:t>支持科研院所、行业领军企业搭建开放平台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  <w:lang w:val="en-US" w:eastAsia="zh-CN" w:bidi="ar"/>
        </w:rPr>
        <w:t>提供开源生态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auto"/>
          <w:lang w:bidi="ar"/>
        </w:rPr>
        <w:t>，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val="en-US" w:eastAsia="zh-CN" w:bidi="ar"/>
        </w:rPr>
        <w:t>夯实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bidi="ar"/>
        </w:rPr>
        <w:t>人工智能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val="en-US" w:eastAsia="zh-CN" w:bidi="ar"/>
        </w:rPr>
        <w:t>核心技术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bidi="ar"/>
        </w:rPr>
        <w:t>底座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eastAsia="zh-CN" w:bidi="ar"/>
        </w:rPr>
        <w:t>，</w:t>
      </w:r>
      <w:r>
        <w:rPr>
          <w:rFonts w:hint="eastAsia" w:ascii="仿宋_GB2312" w:hAnsi="仿宋_GB2312" w:eastAsia="仿宋_GB2312"/>
          <w:color w:val="auto"/>
          <w:shd w:val="clear" w:color="auto" w:fill="auto"/>
          <w:lang w:bidi="ar"/>
        </w:rPr>
        <w:t>加强人工智能与量子科技、6G（第六代移动通信）等技术协同创新</w:t>
      </w:r>
      <w:r>
        <w:rPr>
          <w:rFonts w:hint="eastAsia" w:ascii="仿宋_GB2312" w:hAnsi="仿宋_GB2312" w:eastAsia="仿宋_GB2312"/>
          <w:b w:val="0"/>
          <w:bCs/>
          <w:color w:val="auto"/>
          <w:shd w:val="clear" w:color="auto" w:fill="auto"/>
          <w:lang w:eastAsia="zh-CN" w:bidi="ar"/>
        </w:rPr>
        <w:t>。</w:t>
      </w:r>
      <w:r>
        <w:rPr>
          <w:rFonts w:hint="eastAsia" w:ascii="仿宋_GB2312" w:hAnsi="仿宋_GB2312" w:eastAsia="仿宋_GB2312"/>
          <w:b w:val="0"/>
          <w:bCs w:val="0"/>
          <w:color w:val="auto"/>
          <w:shd w:val="clear" w:color="auto" w:fill="auto"/>
          <w:lang w:val="en-US" w:eastAsia="zh-CN"/>
        </w:rPr>
        <w:t>实施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</w:rPr>
        <w:t>“央地合作·AI生态计划”，聚焦“AI+金融”“AI+医疗”“AI+教育”“AI+电力”“AI+文化”“AI+安全”等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val="en-US" w:eastAsia="zh-CN"/>
        </w:rPr>
        <w:t>领域，加快建设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</w:rPr>
        <w:t>AI示范应用场景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val="en-US" w:eastAsia="zh-CN"/>
        </w:rPr>
        <w:t>促进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</w:rPr>
        <w:t>人工智能与实体经济深度融合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eastAsia="zh-CN"/>
        </w:rPr>
        <w:t>。</w:t>
      </w:r>
      <w:r>
        <w:rPr>
          <w:rFonts w:hint="eastAsia" w:ascii="仿宋_GB2312" w:hAnsi="仿宋_GB2312" w:eastAsia="仿宋_GB2312"/>
          <w:b w:val="0"/>
          <w:bCs w:val="0"/>
          <w:color w:val="auto"/>
          <w:shd w:val="clear" w:color="auto" w:fill="auto"/>
          <w:lang w:val="en-US" w:eastAsia="zh-CN"/>
        </w:rPr>
        <w:t>开展“人工智能+”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</w:rPr>
        <w:t>应用场景验证</w:t>
      </w:r>
      <w:r>
        <w:rPr>
          <w:rFonts w:hint="eastAsia" w:ascii="仿宋_GB2312" w:hAnsi="仿宋_GB2312" w:eastAsia="仿宋_GB2312"/>
          <w:b w:val="0"/>
          <w:bCs w:val="0"/>
          <w:color w:val="auto"/>
          <w:shd w:val="clear" w:color="auto" w:fill="auto"/>
          <w:lang w:val="en-US" w:eastAsia="zh-CN"/>
        </w:rPr>
        <w:t>，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</w:rPr>
        <w:t>支持垂类大模型在政务、医疗、教育、金融等领域商业化落地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探索打造</w:t>
      </w:r>
      <w:r>
        <w:rPr>
          <w:rFonts w:hint="eastAsia" w:ascii="仿宋_GB2312" w:hAnsi="仿宋_GB2312" w:eastAsia="仿宋_GB2312"/>
          <w:b w:val="0"/>
          <w:bCs w:val="0"/>
          <w:color w:val="auto"/>
          <w:highlight w:val="none"/>
          <w:shd w:val="clear" w:color="auto" w:fill="auto"/>
          <w:lang w:val="en-US" w:eastAsia="zh-CN"/>
        </w:rPr>
        <w:t>人工智能主题楼宇、开放式创业社区，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bidi="ar"/>
        </w:rPr>
        <w:t>形成</w:t>
      </w:r>
      <w:r>
        <w:rPr>
          <w:rFonts w:hint="eastAsia" w:ascii="仿宋_GB2312" w:hAnsi="仿宋_GB2312" w:eastAsia="仿宋_GB2312" w:cs="仿宋_GB2312"/>
          <w:bCs w:val="0"/>
          <w:color w:val="auto"/>
          <w:shd w:val="clear" w:color="auto" w:fill="auto"/>
        </w:rPr>
        <w:t>“应用场景</w:t>
      </w:r>
      <w:r>
        <w:rPr>
          <w:rFonts w:hint="eastAsia" w:ascii="仿宋_GB2312" w:hAnsi="仿宋_GB2312" w:eastAsia="仿宋_GB2312" w:cs="仿宋_GB2312"/>
          <w:bCs w:val="0"/>
          <w:color w:val="auto"/>
          <w:shd w:val="clear" w:color="auto" w:fill="auto"/>
          <w:lang w:eastAsia="zh-CN"/>
        </w:rPr>
        <w:t>－</w:t>
      </w:r>
      <w:r>
        <w:rPr>
          <w:rFonts w:hint="eastAsia" w:ascii="仿宋_GB2312" w:hAnsi="仿宋_GB2312" w:eastAsia="仿宋_GB2312" w:cs="仿宋_GB2312"/>
          <w:bCs w:val="0"/>
          <w:color w:val="auto"/>
          <w:shd w:val="clear" w:color="auto" w:fill="auto"/>
        </w:rPr>
        <w:t>技术研发</w:t>
      </w:r>
      <w:r>
        <w:rPr>
          <w:rFonts w:hint="eastAsia" w:ascii="仿宋_GB2312" w:hAnsi="仿宋_GB2312" w:eastAsia="仿宋_GB2312" w:cs="仿宋_GB2312"/>
          <w:bCs w:val="0"/>
          <w:color w:val="auto"/>
          <w:shd w:val="clear" w:color="auto" w:fill="auto"/>
          <w:lang w:eastAsia="zh-CN"/>
        </w:rPr>
        <w:t>－</w:t>
      </w:r>
      <w:r>
        <w:rPr>
          <w:rFonts w:hint="eastAsia" w:ascii="仿宋_GB2312" w:hAnsi="仿宋_GB2312" w:eastAsia="仿宋_GB2312" w:cs="仿宋_GB2312"/>
          <w:bCs w:val="0"/>
          <w:color w:val="auto"/>
          <w:shd w:val="clear" w:color="auto" w:fill="auto"/>
          <w:lang w:val="en-US" w:eastAsia="zh-CN"/>
        </w:rPr>
        <w:t>成果落地</w:t>
      </w:r>
      <w:r>
        <w:rPr>
          <w:rFonts w:hint="eastAsia" w:ascii="仿宋_GB2312" w:hAnsi="仿宋_GB2312" w:eastAsia="仿宋_GB2312" w:cs="仿宋_GB2312"/>
          <w:bCs w:val="0"/>
          <w:color w:val="auto"/>
          <w:shd w:val="clear" w:color="auto" w:fill="auto"/>
        </w:rPr>
        <w:t>”的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val="en-US" w:eastAsia="zh-CN" w:bidi="ar"/>
        </w:rPr>
        <w:t>产业培育</w:t>
      </w:r>
      <w:r>
        <w:rPr>
          <w:rFonts w:hint="eastAsia" w:ascii="仿宋_GB2312" w:hAnsi="仿宋_GB2312" w:eastAsia="仿宋_GB2312" w:cs="仿宋_GB2312"/>
          <w:bCs w:val="0"/>
          <w:color w:val="auto"/>
          <w:shd w:val="clear" w:color="auto" w:fill="auto"/>
        </w:rPr>
        <w:t>闭环</w:t>
      </w:r>
      <w:r>
        <w:rPr>
          <w:rFonts w:hint="eastAsia" w:ascii="仿宋_GB2312" w:hAnsi="仿宋_GB2312" w:eastAsia="仿宋_GB2312" w:cs="仿宋_GB2312"/>
          <w:bCs w:val="0"/>
          <w:color w:val="auto"/>
          <w:shd w:val="clear" w:color="auto" w:fill="auto"/>
          <w:lang w:eastAsia="zh-CN"/>
        </w:rPr>
        <w:t>。</w:t>
      </w:r>
    </w:p>
    <w:bookmarkEnd w:id="98"/>
    <w:bookmarkEnd w:id="99"/>
    <w:bookmarkEnd w:id="100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</w:pPr>
      <w:bookmarkStart w:id="153" w:name="_Toc23887"/>
      <w:bookmarkStart w:id="154" w:name="_Toc17728"/>
      <w:bookmarkStart w:id="155" w:name="_Toc2074"/>
      <w:bookmarkStart w:id="156" w:name="_Toc28148"/>
      <w:bookmarkStart w:id="157" w:name="_Toc22767"/>
      <w:bookmarkStart w:id="158" w:name="_Toc30578"/>
      <w:bookmarkStart w:id="159" w:name="_Toc21517"/>
      <w:bookmarkStart w:id="160" w:name="_Toc31420"/>
      <w:bookmarkStart w:id="161" w:name="_Toc1736"/>
      <w:bookmarkStart w:id="162" w:name="_Toc4502"/>
      <w:bookmarkStart w:id="163" w:name="_Toc3411"/>
      <w:bookmarkStart w:id="164" w:name="_Toc18296"/>
      <w:bookmarkStart w:id="165" w:name="_Toc29060"/>
      <w:bookmarkStart w:id="166" w:name="_Toc2665"/>
      <w:bookmarkStart w:id="167" w:name="_Toc20415"/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（三）</w:t>
      </w:r>
      <w:bookmarkEnd w:id="153"/>
      <w:bookmarkEnd w:id="154"/>
      <w:bookmarkEnd w:id="155"/>
      <w:bookmarkEnd w:id="156"/>
      <w:bookmarkEnd w:id="157"/>
      <w:bookmarkEnd w:id="158"/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推动特色领域融合发展</w:t>
      </w:r>
      <w:bookmarkEnd w:id="159"/>
      <w:bookmarkEnd w:id="160"/>
      <w:bookmarkEnd w:id="161"/>
      <w:bookmarkEnd w:id="162"/>
      <w:bookmarkEnd w:id="16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contextualSpacing w:val="0"/>
        <w:textAlignment w:val="auto"/>
        <w:outlineLvl w:val="2"/>
        <w:rPr>
          <w:rFonts w:hint="default" w:ascii="仿宋_GB2312" w:hAnsi="仿宋_GB2312" w:eastAsia="仿宋_GB2312" w:cs="仿宋_GB2312"/>
          <w:b/>
          <w:color w:val="auto"/>
          <w:sz w:val="32"/>
          <w:szCs w:val="22"/>
          <w:u w:val="none"/>
          <w:shd w:val="clear" w:color="auto" w:fill="auto"/>
          <w:lang w:val="en-US" w:eastAsia="zh-CN"/>
        </w:rPr>
      </w:pPr>
      <w:bookmarkStart w:id="168" w:name="_Toc2636"/>
      <w:bookmarkStart w:id="169" w:name="_Toc3017"/>
      <w:bookmarkStart w:id="170" w:name="_Toc21307"/>
      <w:bookmarkStart w:id="171" w:name="_Toc5710"/>
      <w:bookmarkStart w:id="172" w:name="_Toc31184"/>
      <w:bookmarkStart w:id="173" w:name="_Toc31792"/>
      <w:bookmarkStart w:id="174" w:name="_Toc12399"/>
      <w:r>
        <w:rPr>
          <w:rFonts w:hint="eastAsia" w:ascii="仿宋_GB2312" w:hAnsi="仿宋_GB2312" w:eastAsia="仿宋_GB2312" w:cs="仿宋_GB2312"/>
          <w:b/>
          <w:color w:val="auto"/>
          <w:sz w:val="32"/>
          <w:szCs w:val="22"/>
          <w:u w:val="none"/>
          <w:shd w:val="clear" w:color="auto" w:fill="auto"/>
          <w:lang w:val="en-US" w:eastAsia="zh-CN"/>
        </w:rPr>
        <w:t>1.推动“文化+”融合创新</w:t>
      </w:r>
      <w:bookmarkEnd w:id="168"/>
      <w:bookmarkEnd w:id="169"/>
      <w:bookmarkEnd w:id="170"/>
      <w:bookmarkEnd w:id="17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contextualSpacing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u w:val="none"/>
          <w:shd w:val="clear" w:color="auto" w:fill="auto"/>
          <w:lang w:val="en-US" w:eastAsia="zh-CN"/>
        </w:rPr>
        <w:t>以促进“文化+科技”为主线，</w:t>
      </w:r>
      <w:r>
        <w:rPr>
          <w:rFonts w:hint="eastAsia" w:ascii="仿宋_GB2312" w:hAnsi="仿宋_GB2312" w:eastAsia="仿宋_GB2312" w:cs="仿宋_GB2312"/>
          <w:color w:val="auto"/>
          <w:sz w:val="32"/>
          <w:u w:val="none"/>
          <w:shd w:val="clear" w:color="auto" w:fill="auto"/>
          <w:lang w:val="en-US" w:eastAsia="zh-CN"/>
        </w:rPr>
        <w:t>以演艺创作、创意设计、出版传播等领域为重点，支持应用新技术、研发新产品，促进产业规模和效益同步提升。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培育新型文化业态，</w:t>
      </w:r>
      <w:r>
        <w:rPr>
          <w:rFonts w:hint="eastAsia" w:ascii="Times New Roman" w:hAnsi="Times New Roman" w:eastAsia="仿宋_GB2312" w:cs="Times New Roman"/>
          <w:color w:val="auto"/>
          <w:sz w:val="32"/>
          <w:u w:val="none"/>
          <w:shd w:val="clear" w:color="auto" w:fill="auto"/>
          <w:lang w:val="en-US" w:eastAsia="zh-CN"/>
        </w:rPr>
        <w:t>以数字技术赋能文化产业为主线，</w:t>
      </w:r>
      <w:r>
        <w:rPr>
          <w:rFonts w:hint="eastAsia" w:ascii="仿宋_GB2312" w:hAnsi="仿宋_GB2312" w:eastAsia="仿宋_GB2312"/>
          <w:b w:val="0"/>
          <w:bCs w:val="0"/>
          <w:color w:val="auto"/>
          <w:szCs w:val="32"/>
          <w:u w:val="none"/>
          <w:shd w:val="clear" w:color="auto" w:fill="auto"/>
          <w:lang w:val="en-US" w:eastAsia="zh-CN"/>
        </w:rPr>
        <w:t>打造</w:t>
      </w:r>
      <w:r>
        <w:rPr>
          <w:rFonts w:hint="eastAsia" w:ascii="仿宋_GB2312" w:hAnsi="仿宋_GB2312" w:eastAsia="仿宋_GB2312"/>
          <w:b w:val="0"/>
          <w:bCs w:val="0"/>
          <w:color w:val="auto"/>
          <w:szCs w:val="32"/>
          <w:u w:val="none"/>
          <w:shd w:val="clear" w:color="auto" w:fill="auto"/>
        </w:rPr>
        <w:t>以影视制作、沉浸式演艺为</w:t>
      </w:r>
      <w:r>
        <w:rPr>
          <w:rFonts w:hint="eastAsia" w:ascii="仿宋_GB2312" w:hAnsi="仿宋_GB2312" w:eastAsia="仿宋_GB2312"/>
          <w:b w:val="0"/>
          <w:bCs w:val="0"/>
          <w:color w:val="auto"/>
          <w:szCs w:val="32"/>
          <w:u w:val="none"/>
          <w:shd w:val="clear" w:color="auto" w:fill="auto"/>
          <w:lang w:val="en-US" w:eastAsia="zh-CN"/>
        </w:rPr>
        <w:t>核心</w:t>
      </w:r>
      <w:r>
        <w:rPr>
          <w:rFonts w:hint="eastAsia" w:ascii="仿宋_GB2312" w:hAnsi="仿宋_GB2312" w:eastAsia="仿宋_GB2312"/>
          <w:b w:val="0"/>
          <w:bCs w:val="0"/>
          <w:color w:val="auto"/>
          <w:szCs w:val="32"/>
          <w:u w:val="none"/>
          <w:shd w:val="clear" w:color="auto" w:fill="auto"/>
        </w:rPr>
        <w:t>的“AI+视听”产业集群</w:t>
      </w:r>
      <w:r>
        <w:rPr>
          <w:rFonts w:hint="eastAsia" w:ascii="仿宋_GB2312" w:hAnsi="仿宋_GB2312" w:eastAsia="仿宋_GB2312"/>
          <w:b w:val="0"/>
          <w:bCs w:val="0"/>
          <w:color w:val="auto"/>
          <w:szCs w:val="32"/>
          <w:u w:val="none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>发展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泛动画、微短剧、游戏等数字文娱，</w:t>
      </w:r>
      <w:r>
        <w:rPr>
          <w:rFonts w:hint="eastAsia" w:ascii="Times New Roman" w:hAnsi="Times New Roman" w:eastAsia="仿宋_GB2312" w:cs="Times New Roman"/>
          <w:color w:val="auto"/>
          <w:sz w:val="32"/>
          <w:u w:val="none"/>
          <w:shd w:val="clear" w:color="auto" w:fill="auto"/>
          <w:lang w:val="en-US" w:eastAsia="zh-CN"/>
        </w:rPr>
        <w:t>引导文化资源数字化开发。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促进文商旅体多元融合，将天桥演艺区建设成“演艺之都”核心引领区、演艺经济高质量发展先行示范区、具有鲜明中国文化特色的一流演艺区，形成以音乐剧为主导、传统京味演艺为亮点的天桥演艺群落。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</w:rPr>
        <w:t>构建“西城礼物”文创品牌体系，实现文化资源转化与文化资产增值。深化“文旅＋百业”融合，打造文商旅体融合新场景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val="en-US"/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</w:rPr>
        <w:t>拉动文化消费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val="en-US"/>
        </w:rPr>
        <w:t>新增长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contextualSpacing w:val="0"/>
        <w:textAlignment w:val="auto"/>
        <w:outlineLvl w:val="2"/>
        <w:rPr>
          <w:rFonts w:hint="default" w:ascii="仿宋_GB2312" w:hAnsi="仿宋_GB2312" w:eastAsia="仿宋_GB2312" w:cs="仿宋_GB2312"/>
          <w:b/>
          <w:color w:val="auto"/>
          <w:sz w:val="32"/>
          <w:szCs w:val="22"/>
          <w:u w:val="none"/>
          <w:shd w:val="clear" w:color="auto" w:fill="auto"/>
          <w:lang w:val="en-US" w:eastAsia="zh-CN"/>
        </w:rPr>
      </w:pPr>
      <w:bookmarkStart w:id="175" w:name="_Toc6594"/>
      <w:bookmarkStart w:id="176" w:name="_Toc16880"/>
      <w:bookmarkStart w:id="177" w:name="_Toc14278"/>
      <w:bookmarkStart w:id="178" w:name="_Toc28140"/>
      <w:r>
        <w:rPr>
          <w:rFonts w:hint="eastAsia" w:ascii="仿宋_GB2312" w:hAnsi="仿宋_GB2312" w:eastAsia="仿宋_GB2312" w:cs="仿宋_GB2312"/>
          <w:b/>
          <w:color w:val="auto"/>
          <w:sz w:val="32"/>
          <w:szCs w:val="22"/>
          <w:u w:val="none"/>
          <w:shd w:val="clear" w:color="auto" w:fill="auto"/>
          <w:lang w:val="en-US" w:eastAsia="zh-CN"/>
        </w:rPr>
        <w:t>2.深化“绿色+”赋能升级</w:t>
      </w:r>
      <w:bookmarkEnd w:id="172"/>
      <w:bookmarkEnd w:id="173"/>
      <w:bookmarkEnd w:id="175"/>
      <w:bookmarkEnd w:id="176"/>
      <w:bookmarkEnd w:id="177"/>
      <w:bookmarkEnd w:id="178"/>
    </w:p>
    <w:bookmarkEnd w:id="174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contextualSpacing w:val="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2"/>
          <w:u w:val="none"/>
          <w:shd w:val="clear" w:color="auto" w:fill="auto"/>
          <w:lang w:val="en-US" w:eastAsia="zh-CN"/>
        </w:rPr>
      </w:pPr>
      <w:r>
        <w:rPr>
          <w:rFonts w:hint="eastAsia" w:ascii="仿宋_GB2312" w:eastAsia="仿宋_GB2312" w:cs="宋体"/>
          <w:color w:val="auto"/>
          <w:sz w:val="32"/>
          <w:szCs w:val="24"/>
          <w:u w:val="none" w:color="auto"/>
          <w:shd w:val="clear" w:color="auto" w:fill="auto"/>
          <w:lang w:val="en-US" w:eastAsia="zh-CN"/>
        </w:rPr>
        <w:t>响应北京国际绿色经济标杆城市建设</w:t>
      </w:r>
      <w:r>
        <w:rPr>
          <w:rFonts w:hint="eastAsia" w:ascii="仿宋_GB2312" w:eastAsia="仿宋_GB2312" w:cs="宋体"/>
          <w:color w:val="auto"/>
          <w:szCs w:val="24"/>
          <w:u w:val="none" w:color="auto"/>
          <w:shd w:val="clear" w:color="auto" w:fill="auto"/>
          <w:lang w:val="en-US" w:eastAsia="zh-CN"/>
        </w:rPr>
        <w:t>，以绿色金融、绿色专业服务、碳市场与交易服务等领域为重点，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鼓励开发ESG（环境、社会和公司治理）投融资产品，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2"/>
          <w:u w:val="none"/>
          <w:shd w:val="clear" w:color="auto" w:fill="auto"/>
        </w:rPr>
        <w:t>培育和引进一批碳盘查、碳足迹认证、ESG信息披露、绿色认证、低碳战略咨询专业机构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22"/>
          <w:u w:val="none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2"/>
          <w:u w:val="none"/>
          <w:shd w:val="clear" w:color="auto" w:fill="auto"/>
          <w:lang w:val="en-US" w:eastAsia="zh-CN"/>
        </w:rPr>
        <w:t>提升特色绿色产业能级。</w:t>
      </w:r>
      <w:bookmarkStart w:id="179" w:name="_Toc31037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2"/>
          <w:u w:val="none"/>
          <w:shd w:val="clear" w:color="auto" w:fill="auto"/>
          <w:lang w:val="en-US" w:eastAsia="zh-CN"/>
        </w:rPr>
        <w:t>积极申报国家碳达峰试点，探索建设促进ESG体系高质量发展试点。更好地发挥国家建筑绿色低碳技术创新中心优势作用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u w:val="none"/>
          <w:shd w:val="clear" w:color="auto" w:fill="auto"/>
        </w:rPr>
        <w:t>，</w:t>
      </w:r>
      <w:r>
        <w:rPr>
          <w:rFonts w:hint="eastAsia" w:ascii="仿宋_GB2312" w:hAnsi="仿宋_GB2312" w:eastAsia="仿宋_GB2312"/>
          <w:bCs w:val="0"/>
          <w:color w:val="auto"/>
          <w:szCs w:val="22"/>
          <w:u w:val="none"/>
          <w:shd w:val="clear" w:color="auto" w:fill="auto"/>
        </w:rPr>
        <w:t>促进绿色建材智能化生产、规模化定制、服务化延伸</w:t>
      </w:r>
      <w:r>
        <w:rPr>
          <w:rFonts w:hint="eastAsia" w:ascii="仿宋_GB2312" w:hAnsi="仿宋_GB2312" w:eastAsia="仿宋_GB2312"/>
          <w:bCs w:val="0"/>
          <w:color w:val="auto"/>
          <w:szCs w:val="22"/>
          <w:u w:val="none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/>
          <w:bCs w:val="0"/>
          <w:color w:val="auto"/>
          <w:szCs w:val="22"/>
          <w:u w:val="none"/>
          <w:shd w:val="clear" w:color="auto" w:fill="auto"/>
          <w:lang w:val="en-US" w:eastAsia="zh-CN"/>
        </w:rPr>
        <w:t>大力发展</w:t>
      </w:r>
      <w:r>
        <w:rPr>
          <w:rFonts w:hint="eastAsia" w:ascii="仿宋_GB2312" w:hAnsi="仿宋_GB2312" w:eastAsia="仿宋_GB2312"/>
          <w:sz w:val="32"/>
          <w:szCs w:val="32"/>
          <w:lang w:bidi="ar"/>
        </w:rPr>
        <w:t>新型储能、碳捕集利用等</w:t>
      </w:r>
      <w:r>
        <w:rPr>
          <w:rFonts w:hint="eastAsia" w:ascii="仿宋_GB2312" w:hAnsi="仿宋_GB2312" w:eastAsia="仿宋_GB2312"/>
          <w:sz w:val="32"/>
          <w:szCs w:val="32"/>
          <w:lang w:val="en-US" w:eastAsia="zh-CN" w:bidi="ar"/>
        </w:rPr>
        <w:t>绿色能源新技术新业态，促进重点产业绿色化升级。</w:t>
      </w:r>
      <w:r>
        <w:rPr>
          <w:rFonts w:hint="default" w:hAnsi="仿宋_GB2312" w:eastAsia="仿宋_GB2312" w:cs="仿宋_GB2312" w:asciiTheme="minorHAnsi"/>
          <w:b w:val="0"/>
          <w:bCs w:val="0"/>
          <w:szCs w:val="32"/>
          <w:lang w:bidi="ar"/>
        </w:rPr>
        <w:t>贯彻绿色</w:t>
      </w:r>
      <w:r>
        <w:rPr>
          <w:rFonts w:hint="eastAsia" w:hAnsi="仿宋_GB2312" w:eastAsia="仿宋_GB2312" w:cs="仿宋_GB2312"/>
          <w:b w:val="0"/>
          <w:bCs w:val="0"/>
          <w:szCs w:val="32"/>
          <w:lang w:val="en-US" w:eastAsia="zh-CN" w:bidi="ar"/>
        </w:rPr>
        <w:t>城市</w:t>
      </w:r>
      <w:r>
        <w:rPr>
          <w:rFonts w:hint="default" w:hAnsi="仿宋_GB2312" w:eastAsia="仿宋_GB2312" w:cs="仿宋_GB2312" w:asciiTheme="minorHAnsi"/>
          <w:b w:val="0"/>
          <w:bCs w:val="0"/>
          <w:szCs w:val="32"/>
          <w:lang w:bidi="ar"/>
        </w:rPr>
        <w:t>发展理念，新建民用建筑全面执行绿色建筑标准，</w:t>
      </w:r>
      <w:r>
        <w:rPr>
          <w:rFonts w:hint="eastAsia" w:hAnsi="仿宋_GB2312" w:eastAsia="仿宋_GB2312" w:cs="仿宋_GB2312"/>
          <w:b w:val="0"/>
          <w:bCs w:val="0"/>
          <w:szCs w:val="32"/>
          <w:lang w:val="en-US" w:eastAsia="zh-CN" w:bidi="ar"/>
        </w:rPr>
        <w:t>支持</w:t>
      </w:r>
      <w:r>
        <w:rPr>
          <w:rFonts w:hint="default" w:hAnsi="仿宋_GB2312" w:eastAsia="仿宋_GB2312" w:cs="仿宋_GB2312" w:asciiTheme="minorHAnsi"/>
          <w:b w:val="0"/>
          <w:bCs w:val="0"/>
          <w:szCs w:val="32"/>
          <w:lang w:bidi="ar"/>
        </w:rPr>
        <w:t>老旧小区</w:t>
      </w:r>
      <w:r>
        <w:rPr>
          <w:rFonts w:hint="eastAsia" w:hAnsi="仿宋_GB2312" w:eastAsia="仿宋_GB2312" w:cs="仿宋_GB2312"/>
          <w:b w:val="0"/>
          <w:bCs w:val="0"/>
          <w:szCs w:val="32"/>
          <w:lang w:eastAsia="zh-CN" w:bidi="ar"/>
        </w:rPr>
        <w:t>、</w:t>
      </w:r>
      <w:r>
        <w:rPr>
          <w:rFonts w:hint="default" w:hAnsi="仿宋_GB2312" w:eastAsia="仿宋_GB2312" w:cs="仿宋_GB2312" w:asciiTheme="minorHAnsi"/>
          <w:b w:val="0"/>
          <w:bCs w:val="0"/>
          <w:szCs w:val="32"/>
          <w:lang w:bidi="ar"/>
        </w:rPr>
        <w:t>公共建筑节能绿色化改造</w:t>
      </w:r>
      <w:r>
        <w:rPr>
          <w:rFonts w:hint="eastAsia" w:hAnsi="仿宋_GB2312" w:eastAsia="仿宋_GB2312" w:cs="仿宋_GB2312"/>
          <w:b w:val="0"/>
          <w:bCs w:val="0"/>
          <w:szCs w:val="32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</w:rPr>
        <w:t>推进零碳学校、零碳园区</w:t>
      </w:r>
      <w:r>
        <w:rPr>
          <w:rFonts w:hint="eastAsia" w:ascii="仿宋_GB2312" w:hAnsi="仿宋_GB2312" w:eastAsia="仿宋_GB2312" w:cs="仿宋_GB2312"/>
          <w:b w:val="0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lang w:val="en-US" w:eastAsia="zh-CN"/>
        </w:rPr>
        <w:t>零碳医院、低碳社区</w:t>
      </w:r>
      <w:r>
        <w:rPr>
          <w:rFonts w:hint="eastAsia" w:ascii="仿宋_GB2312" w:hAnsi="仿宋_GB2312" w:eastAsia="仿宋_GB2312" w:cs="仿宋_GB2312"/>
          <w:b w:val="0"/>
        </w:rPr>
        <w:t>建设，提升数据中心绿色低碳水平</w:t>
      </w:r>
      <w:r>
        <w:rPr>
          <w:rFonts w:hint="eastAsia" w:ascii="仿宋_GB2312" w:hAnsi="仿宋_GB2312" w:eastAsia="仿宋_GB2312" w:cs="仿宋_GB2312"/>
          <w:b w:val="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</w:rPr>
        <w:t>推动公共设施机构节能降碳</w:t>
      </w:r>
      <w:r>
        <w:rPr>
          <w:rFonts w:hint="eastAsia" w:ascii="仿宋_GB2312" w:hAnsi="仿宋_GB2312" w:eastAsia="仿宋_GB2312" w:cs="仿宋_GB2312"/>
          <w:b w:val="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</w:rPr>
        <w:t>强化建筑、交通、供热、产业等领域和重点排放单位碳减排</w:t>
      </w:r>
      <w:r>
        <w:rPr>
          <w:rFonts w:hint="eastAsia" w:ascii="仿宋_GB2312" w:hAnsi="仿宋_GB2312" w:eastAsia="仿宋_GB2312" w:cs="仿宋_GB2312"/>
          <w:b w:val="0"/>
          <w:lang w:eastAsia="zh-CN"/>
        </w:rPr>
        <w:t>。</w:t>
      </w:r>
    </w:p>
    <w:bookmarkEnd w:id="164"/>
    <w:bookmarkEnd w:id="165"/>
    <w:bookmarkEnd w:id="166"/>
    <w:bookmarkEnd w:id="167"/>
    <w:bookmarkEnd w:id="179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bookmarkStart w:id="180" w:name="_Toc23390"/>
      <w:bookmarkStart w:id="181" w:name="_Toc25232"/>
      <w:bookmarkStart w:id="182" w:name="_Toc24481"/>
      <w:bookmarkStart w:id="183" w:name="_Toc8408"/>
      <w:bookmarkStart w:id="184" w:name="_Toc9097"/>
      <w:bookmarkStart w:id="185" w:name="_Toc10764"/>
      <w:bookmarkStart w:id="186" w:name="_Toc25692"/>
      <w:bookmarkStart w:id="187" w:name="_Toc19703"/>
      <w:bookmarkStart w:id="188" w:name="_Toc15927"/>
      <w:bookmarkStart w:id="189" w:name="_Toc19295"/>
      <w:bookmarkStart w:id="190" w:name="_Toc15466"/>
      <w:bookmarkStart w:id="191" w:name="_Toc16299"/>
      <w:bookmarkStart w:id="192" w:name="_Toc31488"/>
      <w:r>
        <w:rPr>
          <w:rFonts w:hint="eastAsia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  <w:t>三、优化产业总体空间布局</w:t>
      </w:r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严格落实首都功能核心区控规要求，按照核带引领、协同联动、功能融合理念，构建“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highlight w:val="none"/>
          <w:shd w:val="clear" w:color="auto" w:fill="auto"/>
          <w:lang w:val="en-US" w:eastAsia="zh-CN" w:bidi="ar-SA"/>
        </w:rPr>
        <w:t>一核一带五区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”产业空间布局，提升产业综合承载力，引领和带动产业高质量发展。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193" w:name="_Toc22987"/>
      <w:bookmarkStart w:id="194" w:name="_Toc24208"/>
      <w:bookmarkStart w:id="195" w:name="_Toc30255"/>
      <w:bookmarkStart w:id="196" w:name="_Toc26322"/>
      <w:bookmarkStart w:id="197" w:name="_Toc27160"/>
      <w:bookmarkStart w:id="198" w:name="_Toc28386"/>
      <w:bookmarkStart w:id="199" w:name="_Toc3440"/>
      <w:bookmarkStart w:id="200" w:name="_Toc15449"/>
      <w:bookmarkStart w:id="201" w:name="_Toc21607"/>
      <w:bookmarkStart w:id="202" w:name="_Toc16374"/>
      <w:bookmarkStart w:id="203" w:name="_Toc13109"/>
      <w:bookmarkStart w:id="204" w:name="_Toc29913"/>
      <w:bookmarkStart w:id="205" w:name="_Toc10043"/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  <w:t>（一）</w:t>
      </w:r>
      <w:bookmarkEnd w:id="193"/>
      <w:bookmarkEnd w:id="194"/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  <w:t>强化金融街发展极核</w:t>
      </w:r>
      <w:bookmarkEnd w:id="195"/>
      <w:bookmarkEnd w:id="196"/>
      <w:bookmarkEnd w:id="197"/>
      <w:bookmarkEnd w:id="198"/>
      <w:bookmarkEnd w:id="199"/>
      <w:bookmarkEnd w:id="200"/>
      <w:bookmarkEnd w:id="201"/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  <w:t>功能</w:t>
      </w:r>
      <w:bookmarkEnd w:id="202"/>
      <w:bookmarkEnd w:id="203"/>
      <w:bookmarkEnd w:id="204"/>
      <w:bookmarkEnd w:id="20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Cs w:val="0"/>
          <w:color w:val="auto"/>
          <w:szCs w:val="22"/>
          <w:shd w:val="clear" w:color="auto" w:fill="auto"/>
        </w:rPr>
        <w:t>因时制宜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持续强化国家金融管理中心建设，优化高端商务空间形态、服务品质，增强对金融商务、专业服务要素吸引力，提升辐射带动能级，打造“高品质+高颜值”国家金融管理中心。实施商务楼宇品牌跃升计划、老旧楼宇提振赋能计划，进一步优化业态结构、提升服务能级，提升楼宇发展活力和效能，培育更多楼宇经济地标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聚焦交通治理精细化、公共空间活力化、配套服务品质化，以</w:t>
      </w:r>
      <w:r>
        <w:rPr>
          <w:rFonts w:hint="eastAsia" w:ascii="仿宋_GB2312" w:hAnsi="仿宋" w:eastAsia="仿宋_GB2312" w:cs="仿宋"/>
          <w:sz w:val="32"/>
          <w:szCs w:val="32"/>
        </w:rPr>
        <w:t>金融大街沿线及周边区域为核心，</w:t>
      </w:r>
      <w:r>
        <w:rPr>
          <w:rFonts w:hint="eastAsia" w:ascii="仿宋_GB2312" w:hAnsi="仿宋_GB2312" w:eastAsia="仿宋_GB2312" w:cs="仿宋_GB2312"/>
          <w:sz w:val="32"/>
          <w:szCs w:val="32"/>
        </w:rPr>
        <w:t>分阶段、系统化推进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街区</w:t>
      </w:r>
      <w:r>
        <w:rPr>
          <w:rFonts w:hint="eastAsia" w:ascii="仿宋_GB2312" w:hAnsi="仿宋_GB2312" w:eastAsia="仿宋_GB2312" w:cs="仿宋_GB2312"/>
          <w:sz w:val="32"/>
          <w:szCs w:val="32"/>
        </w:rPr>
        <w:t>品质提升，构建与国家金融管理中心定位相匹配的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宜业宜享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环境。</w:t>
      </w:r>
      <w:r>
        <w:rPr>
          <w:rFonts w:hint="eastAsia" w:ascii="仿宋_GB2312" w:hAnsi="仿宋_GB2312" w:eastAsia="仿宋_GB2312"/>
          <w:highlight w:val="none"/>
        </w:rPr>
        <w:t>持续发挥“四位一体”服务支持体系作用，深化“6R”服务体系，完善“双管家”服务机制，组织举办上市培育、投融资对接等活动，构建一体化服务生态圈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eastAsia="zh-CN"/>
        </w:rPr>
        <w:t>。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高水平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办好金融街论坛，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</w:rPr>
        <w:t>持续扩大海外交流合作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auto"/>
          <w:spacing w:val="0"/>
          <w:sz w:val="32"/>
          <w:szCs w:val="22"/>
          <w:shd w:val="clear" w:color="auto" w:fill="auto"/>
        </w:rPr>
        <w:t>全方位、多层次、务实灵活地参与全球</w:t>
      </w:r>
      <w:r>
        <w:rPr>
          <w:rFonts w:hint="eastAsia" w:ascii="仿宋_GB2312" w:hAnsi="仿宋_GB2312" w:eastAsia="仿宋_GB2312"/>
          <w:bCs w:val="0"/>
          <w:color w:val="auto"/>
          <w:szCs w:val="22"/>
          <w:shd w:val="clear" w:color="auto" w:fill="auto"/>
        </w:rPr>
        <w:t>金融治理体系建设</w:t>
      </w:r>
      <w:r>
        <w:rPr>
          <w:rFonts w:hint="eastAsia" w:ascii="仿宋_GB2312" w:hAnsi="仿宋_GB2312" w:eastAsia="仿宋_GB2312"/>
          <w:bCs w:val="0"/>
          <w:color w:val="auto"/>
          <w:szCs w:val="22"/>
          <w:shd w:val="clear" w:color="auto" w:fill="auto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健全金融法治环境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全面提升区域金融法治协同效能，</w:t>
      </w:r>
      <w:r>
        <w:rPr>
          <w:rFonts w:hint="eastAsia" w:ascii="仿宋_GB2312" w:hAnsi="仿宋_GB2312" w:eastAsia="仿宋_GB2312"/>
          <w:highlight w:val="none"/>
        </w:rPr>
        <w:t>构建既能有效防控风险、又能充分激发市场主体创新活力的现代化监管生态</w:t>
      </w:r>
      <w:r>
        <w:rPr>
          <w:rFonts w:hint="eastAsia" w:ascii="仿宋_GB2312" w:hAnsi="仿宋_GB2312" w:eastAsia="仿宋_GB231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u w:val="none"/>
          <w:shd w:val="clear" w:color="auto" w:fill="auto"/>
          <w:lang w:val="en-US" w:eastAsia="zh-CN"/>
        </w:rPr>
      </w:pPr>
      <w:bookmarkStart w:id="206" w:name="_Toc31000"/>
      <w:bookmarkStart w:id="207" w:name="_Toc13319"/>
      <w:bookmarkStart w:id="208" w:name="_Toc13015"/>
      <w:bookmarkStart w:id="209" w:name="_Toc13417"/>
      <w:bookmarkStart w:id="210" w:name="_Toc16030"/>
      <w:bookmarkStart w:id="211" w:name="_Toc12488"/>
      <w:r>
        <w:rPr>
          <w:rFonts w:hint="eastAsia" w:ascii="楷体_GB2312" w:hAnsi="楷体_GB2312" w:eastAsia="楷体_GB2312" w:cs="楷体_GB2312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（二）做优数智产业创新发展带</w:t>
      </w:r>
      <w:bookmarkEnd w:id="206"/>
      <w:bookmarkEnd w:id="207"/>
      <w:bookmarkEnd w:id="208"/>
      <w:bookmarkEnd w:id="209"/>
      <w:bookmarkEnd w:id="21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22"/>
          <w:highlight w:val="none"/>
          <w:u w:val="none"/>
          <w:shd w:val="clear" w:color="auto" w:fill="auto"/>
          <w:lang w:val="en-US" w:eastAsia="zh-CN"/>
        </w:rPr>
      </w:pPr>
      <w:bookmarkStart w:id="212" w:name="_Toc5480"/>
      <w:bookmarkStart w:id="213" w:name="_Toc1330"/>
      <w:bookmarkStart w:id="214" w:name="_Toc27202"/>
      <w:bookmarkStart w:id="215" w:name="_Toc10797"/>
      <w:bookmarkStart w:id="216" w:name="_Toc796"/>
      <w:bookmarkStart w:id="217" w:name="_Toc10941"/>
      <w:bookmarkStart w:id="218" w:name="_Toc25983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以串联中关村西城园德胜、展览路、广马（广安－马连道）三大片区的空间走廊为依托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highlight w:val="none"/>
          <w:shd w:val="clear" w:color="auto" w:fill="auto"/>
          <w:lang w:val="en-US" w:eastAsia="zh-CN" w:bidi="ar-SA"/>
        </w:rPr>
        <w:t>，</w:t>
      </w:r>
      <w:r>
        <w:rPr>
          <w:rFonts w:hint="eastAsia" w:ascii="仿宋_GB2312" w:hAnsi="仿宋_GB2312" w:eastAsia="仿宋_GB2312"/>
          <w:bCs w:val="0"/>
          <w:color w:val="auto"/>
          <w:szCs w:val="22"/>
          <w:highlight w:val="none"/>
          <w:shd w:val="clear" w:color="auto" w:fill="auto"/>
        </w:rPr>
        <w:t>推动金融</w:t>
      </w:r>
      <w:r>
        <w:rPr>
          <w:rFonts w:hint="eastAsia" w:ascii="仿宋_GB2312" w:hAnsi="仿宋_GB2312" w:eastAsia="仿宋_GB2312"/>
          <w:bCs w:val="0"/>
          <w:color w:val="auto"/>
          <w:szCs w:val="22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仿宋_GB2312" w:eastAsia="仿宋_GB2312"/>
          <w:bCs w:val="0"/>
          <w:color w:val="auto"/>
          <w:szCs w:val="22"/>
          <w:highlight w:val="none"/>
          <w:shd w:val="clear" w:color="auto" w:fill="auto"/>
        </w:rPr>
        <w:t>信息</w:t>
      </w:r>
      <w:r>
        <w:rPr>
          <w:rFonts w:hint="eastAsia" w:ascii="仿宋_GB2312" w:hAnsi="仿宋_GB2312" w:eastAsia="仿宋_GB2312"/>
          <w:bCs w:val="0"/>
          <w:color w:val="auto"/>
          <w:szCs w:val="22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仿宋_GB2312" w:eastAsia="仿宋_GB2312"/>
          <w:bCs w:val="0"/>
          <w:color w:val="auto"/>
          <w:szCs w:val="22"/>
          <w:highlight w:val="none"/>
          <w:shd w:val="clear" w:color="auto" w:fill="auto"/>
        </w:rPr>
        <w:t>科技</w:t>
      </w:r>
      <w:r>
        <w:rPr>
          <w:rFonts w:hint="eastAsia" w:ascii="仿宋_GB2312" w:hAnsi="仿宋_GB2312" w:eastAsia="仿宋_GB2312"/>
          <w:bCs w:val="0"/>
          <w:color w:val="auto"/>
          <w:szCs w:val="22"/>
          <w:highlight w:val="none"/>
          <w:shd w:val="clear" w:color="auto" w:fill="auto"/>
          <w:lang w:eastAsia="zh-CN"/>
        </w:rPr>
        <w:t>、</w:t>
      </w:r>
      <w:r>
        <w:rPr>
          <w:rFonts w:hint="eastAsia" w:ascii="仿宋_GB2312" w:hAnsi="仿宋_GB2312" w:eastAsia="仿宋_GB2312"/>
          <w:bCs w:val="0"/>
          <w:color w:val="auto"/>
          <w:szCs w:val="22"/>
          <w:highlight w:val="none"/>
          <w:shd w:val="clear" w:color="auto" w:fill="auto"/>
        </w:rPr>
        <w:t>数据深度融合，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highlight w:val="none"/>
          <w:shd w:val="clear" w:color="auto" w:fill="auto"/>
          <w:lang w:val="en-US" w:eastAsia="zh-CN" w:bidi="ar-SA"/>
        </w:rPr>
        <w:t>促进新业态、新模式、新技术发展，提升数智产业创新发展能级。加强重点楼宇和产业空间统筹，支持打造数据要素产业园、特色楼宇，吸引全模态数据服务机构、数字科技企业入驻。探索央地合作机制，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shd w:val="clear" w:color="auto" w:fill="auto"/>
          <w:lang w:val="en-US" w:eastAsia="zh-CN"/>
        </w:rPr>
        <w:t>建设重点行业数据交易平台、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可信数据空间、高质量数据集，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 w:eastAsia="zh-CN"/>
        </w:rPr>
        <w:t>推动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/>
        </w:rPr>
        <w:t>开放实验室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/>
        </w:rPr>
        <w:t>共性技术实验室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 w:eastAsia="zh-CN"/>
        </w:rPr>
        <w:t>落地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/>
        </w:rPr>
        <w:t>，</w:t>
      </w:r>
      <w:r>
        <w:rPr>
          <w:rFonts w:hint="eastAsia" w:ascii="Times New Roman" w:hAnsi="Times New Roman" w:eastAsia="仿宋_GB2312" w:cs="Times New Roman"/>
          <w:color w:val="auto"/>
          <w:szCs w:val="22"/>
          <w:highlight w:val="none"/>
          <w:u w:val="none"/>
          <w:shd w:val="clear" w:color="auto" w:fill="auto"/>
          <w:lang w:val="en-US" w:eastAsia="zh-CN"/>
        </w:rPr>
        <w:t>完善数智产业创新生态。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 w:eastAsia="zh-CN"/>
        </w:rPr>
        <w:t>搭建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/>
        </w:rPr>
        <w:t>算力、数据共享、测试认证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/>
        </w:rPr>
        <w:t>多层次创新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22"/>
          <w:shd w:val="clear" w:color="auto" w:fill="auto"/>
          <w:lang w:val="en-US" w:eastAsia="zh-CN"/>
        </w:rPr>
        <w:t>服务体系，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22"/>
          <w:highlight w:val="none"/>
          <w:u w:val="none"/>
          <w:shd w:val="clear" w:color="auto" w:fill="auto"/>
          <w:lang w:val="en-US" w:eastAsia="zh-CN"/>
        </w:rPr>
        <w:t>完善生态要素合作伙伴网络，为数智企业提供数据应用、登记、评估、入表、交易等一站式服务。</w:t>
      </w:r>
      <w:r>
        <w:rPr>
          <w:rFonts w:hint="eastAsia" w:ascii="仿宋_GB2312" w:hAnsi="仿宋_GB2312" w:eastAsia="仿宋_GB2312"/>
          <w:color w:val="auto"/>
          <w:shd w:val="clear" w:color="auto" w:fill="auto"/>
        </w:rPr>
        <w:t>以</w:t>
      </w:r>
      <w:r>
        <w:rPr>
          <w:rFonts w:hint="eastAsia" w:ascii="仿宋_GB2312" w:hAnsi="仿宋_GB2312" w:eastAsia="仿宋_GB2312"/>
          <w:color w:val="auto"/>
          <w:shd w:val="clear" w:color="auto" w:fill="auto"/>
          <w:lang w:val="en-US" w:eastAsia="zh-CN"/>
        </w:rPr>
        <w:t>资源利用和产业培育</w:t>
      </w:r>
      <w:r>
        <w:rPr>
          <w:rFonts w:hint="eastAsia" w:ascii="仿宋_GB2312" w:hAnsi="仿宋_GB2312" w:eastAsia="仿宋_GB2312"/>
          <w:color w:val="auto"/>
          <w:shd w:val="clear" w:color="auto" w:fill="auto"/>
        </w:rPr>
        <w:t>为牵引，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auto"/>
          <w:lang w:val="en-US" w:eastAsia="zh-CN"/>
        </w:rPr>
        <w:t>推动金融街、金科新区联合举办高级别行业性活动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。搭建不同片区一体化招商平台，以“商”招商，以“链”招商，推动细分领域企业集聚，实现产业链融合、价值链协同。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219" w:name="_Toc8187"/>
      <w:bookmarkStart w:id="220" w:name="_Toc4923"/>
      <w:bookmarkStart w:id="221" w:name="_Toc23422"/>
      <w:bookmarkStart w:id="222" w:name="_Toc4049"/>
      <w:bookmarkStart w:id="223" w:name="_Toc20797"/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  <w:t>（三）加强五个重点产业片区建设</w:t>
      </w:r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以南北均衡协调为导向，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坚持协同化、融合化、集群化思路，优化金融科技产业生态体系，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促进信息科技创新发展，培育孵化数据产业集群，推动文化与数字、科技融合创新，形成重点产业生态组团。</w:t>
      </w:r>
      <w:bookmarkStart w:id="224" w:name="_Toc30426"/>
      <w:bookmarkStart w:id="225" w:name="_Toc14347"/>
      <w:bookmarkStart w:id="226" w:name="_Toc9142"/>
      <w:bookmarkStart w:id="227" w:name="_Toc28421"/>
      <w:bookmarkStart w:id="228" w:name="_Toc6845"/>
      <w:bookmarkStart w:id="229" w:name="_Toc27626"/>
      <w:bookmarkStart w:id="230" w:name="_Toc5736"/>
      <w:bookmarkStart w:id="231" w:name="_Toc25211"/>
      <w:bookmarkStart w:id="232" w:name="_Toc19810"/>
      <w:bookmarkStart w:id="233" w:name="_Toc30914"/>
      <w:bookmarkStart w:id="234" w:name="_Toc4714"/>
      <w:bookmarkStart w:id="235" w:name="_Toc17415"/>
      <w:bookmarkStart w:id="236" w:name="_Toc26603"/>
      <w:bookmarkStart w:id="237" w:name="_Toc9708"/>
      <w:bookmarkStart w:id="238" w:name="_Toc32533"/>
      <w:bookmarkStart w:id="239" w:name="_Toc9156"/>
      <w:bookmarkStart w:id="240" w:name="_Toc19679"/>
      <w:r>
        <w:rPr>
          <w:rFonts w:hint="eastAsia" w:ascii="仿宋_GB2312" w:hAnsi="仿宋_GB2312" w:eastAsia="仿宋_GB2312"/>
          <w:b w:val="0"/>
          <w:bCs w:val="0"/>
          <w:color w:val="auto"/>
          <w:szCs w:val="22"/>
          <w:highlight w:val="none"/>
          <w:shd w:val="clear" w:color="auto" w:fill="auto"/>
          <w:lang w:val="en-US" w:eastAsia="zh-CN"/>
        </w:rPr>
        <w:t>德胜信息科技片区</w:t>
      </w:r>
      <w:bookmarkEnd w:id="224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highlight w:val="none"/>
          <w:shd w:val="clear" w:color="auto" w:fill="auto"/>
          <w:lang w:val="en-US" w:eastAsia="zh-CN" w:bidi="ar-SA"/>
        </w:rPr>
        <w:t>以中关村西城园德胜地区为核心，紧扣世界领先科技园区建设目标，联动周边特色楼宇、科技孵化器，打造战略性新兴产业和未来产业聚集地。展览路金融科技片区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2"/>
          <w:highlight w:val="none"/>
          <w:shd w:val="clear" w:color="auto" w:fill="auto"/>
          <w:lang w:val="en-US" w:eastAsia="zh-CN"/>
        </w:rPr>
        <w:t>以金科新区核心区为主承载，加强产业链招商，完善产业生态体系，持续输出前沿技术、创新模式，提升金融科技国际影响力和知名度。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highlight w:val="none"/>
          <w:shd w:val="clear" w:color="auto" w:fill="auto"/>
          <w:lang w:val="en-US" w:eastAsia="zh-CN" w:bidi="ar-SA"/>
        </w:rPr>
        <w:t>大吉巷数字科技片区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发挥大吉巷高品质楼宇资源优势，联动周边存量空间，吸引数字科技、数据产业、人工智能等优质企业集聚，打造以数据要素为核心驱动的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highlight w:val="none"/>
          <w:shd w:val="clear" w:color="auto" w:fill="auto"/>
          <w:lang w:val="en-US" w:eastAsia="zh-CN" w:bidi="ar-SA"/>
        </w:rPr>
        <w:t>数字经济创新策源地。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广安门创新服务片区</w:t>
      </w:r>
      <w:r>
        <w:rPr>
          <w:rFonts w:hint="eastAsia" w:ascii="仿宋_GB2312" w:hAnsi="仿宋_GB2312" w:eastAsia="仿宋_GB2312"/>
          <w:b w:val="0"/>
          <w:bCs w:val="0"/>
          <w:color w:val="auto"/>
          <w:szCs w:val="22"/>
          <w:shd w:val="clear" w:color="auto" w:fill="auto"/>
          <w:lang w:val="en-US" w:eastAsia="zh-CN"/>
        </w:rPr>
        <w:t>依托两广路沿线重点楼宇，吸引知识产权、科技咨询、技术转移、专利服务等专业机构集聚，打造知识密集型服务生态，成为未来产业创新服务中心。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马连道创新示范片区把握街区更新重大机遇，坚持“茶+数据”双轮驱动，以数据要素与数字科技全面赋能茶交易、茶体验、茶传播，引领茶产业链重塑与价值链跃升，打造“茶+数据”融合创新典范。</w:t>
      </w:r>
    </w:p>
    <w:bookmarkEnd w:id="225"/>
    <w:bookmarkEnd w:id="226"/>
    <w:bookmarkEnd w:id="227"/>
    <w:bookmarkEnd w:id="228"/>
    <w:bookmarkEnd w:id="229"/>
    <w:bookmarkEnd w:id="230"/>
    <w:bookmarkEnd w:id="231"/>
    <w:bookmarkEnd w:id="232"/>
    <w:bookmarkEnd w:id="233"/>
    <w:bookmarkEnd w:id="234"/>
    <w:bookmarkEnd w:id="235"/>
    <w:bookmarkEnd w:id="236"/>
    <w:bookmarkEnd w:id="237"/>
    <w:bookmarkEnd w:id="238"/>
    <w:bookmarkEnd w:id="239"/>
    <w:bookmarkEnd w:id="24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241" w:name="_Toc8359"/>
      <w:bookmarkStart w:id="242" w:name="_Toc7779"/>
      <w:bookmarkStart w:id="243" w:name="_Toc14420"/>
      <w:bookmarkStart w:id="244" w:name="_Toc18025"/>
      <w:bookmarkStart w:id="245" w:name="_Toc9785"/>
      <w:bookmarkStart w:id="246" w:name="_Toc10025"/>
      <w:bookmarkStart w:id="247" w:name="_Toc4691"/>
      <w:bookmarkStart w:id="248" w:name="_Toc17352"/>
      <w:bookmarkStart w:id="249" w:name="_Toc15212"/>
      <w:bookmarkStart w:id="250" w:name="_Toc18379"/>
      <w:bookmarkStart w:id="251" w:name="_Toc24487"/>
      <w:bookmarkStart w:id="252" w:name="_Toc9463"/>
      <w:bookmarkStart w:id="253" w:name="_Toc30589"/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  <w:t>（四）集中打造一批特色产业节点</w:t>
      </w:r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outlineLvl w:val="9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22"/>
          <w:shd w:val="clear" w:color="auto" w:fill="auto"/>
          <w:lang w:val="en-US" w:eastAsia="zh-CN" w:bidi="ar-SA"/>
        </w:rPr>
        <w:t>以专业化、特色化、品质化为导向，以文化、绿色、商业等领域为重点，加强空间利用引导，推动优质企业和机构在特定区域集聚，释放产业高质量发展活力。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</w:rPr>
        <w:t>推动文化产业园区“一园一品”建设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  <w:lang w:eastAsia="zh-CN"/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32"/>
          <w:szCs w:val="32"/>
          <w:highlight w:val="none"/>
          <w:vertAlign w:val="baseline"/>
        </w:rPr>
        <w:t>引导各园区聚焦细分领域引入头部企业及高潜力成长型企业，推动文化产业园区从单纯产业集聚空间向复合型城市文化空间转变，提升园区文化经济贡献率。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shd w:val="clear" w:color="auto" w:fill="auto"/>
          <w:lang w:val="en-US" w:eastAsia="zh-CN" w:bidi="ar-SA"/>
        </w:rPr>
        <w:t>以绿色能源、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>绿色建筑、绿色材料、绿色专业服务为重点，在西二环沿线、阜外地区、西单地区、宣武门地区、中关村西城园德胜地区培育打造绿色产业群落，拓展“绿色+”融合发展空间。落实国际消费中心城市示范区建设部署，聚焦国潮时尚、商务配套、文商旅融合、非遗老字号、文化演艺、茶文化体验等不同消费赛道，差异化布局特色消费商圈，加强设施改造、业态提升、场景拓展，打造功能特色鲜明、业态多元融合的消费地标矩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bookmarkStart w:id="254" w:name="_Toc12606"/>
      <w:bookmarkStart w:id="255" w:name="_Toc29581"/>
      <w:bookmarkStart w:id="256" w:name="_Toc30544"/>
      <w:bookmarkStart w:id="257" w:name="_Toc27712"/>
      <w:bookmarkStart w:id="258" w:name="_Toc11351"/>
      <w:bookmarkStart w:id="259" w:name="_Toc12422"/>
      <w:bookmarkStart w:id="260" w:name="_Toc11896"/>
      <w:bookmarkStart w:id="261" w:name="_Toc695"/>
      <w:bookmarkStart w:id="262" w:name="_Toc3728"/>
      <w:bookmarkStart w:id="263" w:name="_Toc17892"/>
      <w:bookmarkStart w:id="264" w:name="_Toc639"/>
      <w:bookmarkStart w:id="265" w:name="_Toc9040"/>
      <w:bookmarkStart w:id="266" w:name="_Toc9717"/>
      <w:r>
        <w:rPr>
          <w:rFonts w:hint="eastAsia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  <w:t>四、提升产业发展生态</w:t>
      </w:r>
      <w:bookmarkEnd w:id="254"/>
      <w:r>
        <w:rPr>
          <w:rFonts w:hint="eastAsia" w:ascii="黑体" w:hAnsi="黑体" w:eastAsia="黑体" w:cs="黑体"/>
          <w:bCs w:val="0"/>
          <w:color w:val="auto"/>
          <w:sz w:val="32"/>
          <w:szCs w:val="32"/>
          <w:shd w:val="clear" w:color="auto" w:fill="auto"/>
          <w:lang w:val="en-US" w:eastAsia="zh-CN"/>
        </w:rPr>
        <w:t>环境</w:t>
      </w:r>
      <w:bookmarkEnd w:id="255"/>
      <w:bookmarkEnd w:id="256"/>
      <w:bookmarkEnd w:id="257"/>
      <w:bookmarkEnd w:id="258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default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</w:pPr>
      <w:bookmarkStart w:id="267" w:name="_Toc23960"/>
      <w:bookmarkStart w:id="268" w:name="_Toc9511"/>
      <w:bookmarkStart w:id="269" w:name="_Toc4628"/>
      <w:bookmarkStart w:id="270" w:name="_Toc23374"/>
      <w:bookmarkStart w:id="271" w:name="_Toc3647"/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（一）培育壮大企业主体群落</w:t>
      </w:r>
      <w:bookmarkEnd w:id="267"/>
      <w:bookmarkEnd w:id="268"/>
      <w:bookmarkEnd w:id="269"/>
      <w:bookmarkEnd w:id="27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contextualSpacing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u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实施“谱链结网”工程，</w:t>
      </w:r>
      <w:r>
        <w:rPr>
          <w:rFonts w:hint="eastAsia" w:ascii="仿宋_GB2312" w:hAnsi="仿宋_GB2312" w:eastAsia="仿宋_GB2312"/>
          <w:b w:val="0"/>
          <w:color w:val="auto"/>
          <w:szCs w:val="32"/>
          <w:shd w:val="clear" w:color="auto" w:fill="auto"/>
          <w:lang w:val="en-US" w:eastAsia="zh-CN"/>
        </w:rPr>
        <w:t>聚焦金融科技、数据、人工智能、通信、能源等重点领域，支持开展技术攻关、平台建设、场景开放，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依托“央地合作·梦想伙伴计划”</w:t>
      </w:r>
      <w:r>
        <w:rPr>
          <w:rFonts w:hint="eastAsia" w:eastAsia="仿宋_GB2312"/>
          <w:color w:val="auto"/>
          <w:sz w:val="32"/>
          <w:szCs w:val="24"/>
          <w:shd w:val="clear" w:color="auto" w:fill="auto"/>
        </w:rPr>
        <w:t>推动央企与驻区高校院所、民营企业等多元主体联动</w:t>
      </w:r>
      <w:r>
        <w:rPr>
          <w:rFonts w:hint="eastAsia" w:eastAsia="仿宋_GB2312"/>
          <w:color w:val="auto"/>
          <w:sz w:val="32"/>
          <w:szCs w:val="24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/>
          <w:b w:val="0"/>
          <w:color w:val="auto"/>
          <w:szCs w:val="32"/>
          <w:shd w:val="clear" w:color="auto" w:fill="auto"/>
          <w:lang w:val="en-US" w:eastAsia="zh-CN"/>
        </w:rPr>
        <w:t>强化产业链创新链策源功能。实施</w:t>
      </w:r>
      <w:r>
        <w:rPr>
          <w:rFonts w:hint="eastAsia" w:ascii="仿宋_GB2312" w:hAnsi="仿宋_GB2312" w:eastAsia="仿宋_GB2312"/>
          <w:b w:val="0"/>
          <w:color w:val="auto"/>
          <w:szCs w:val="32"/>
          <w:highlight w:val="none"/>
          <w:shd w:val="clear" w:color="auto" w:fill="auto"/>
          <w:lang w:val="en-US" w:eastAsia="zh-CN"/>
        </w:rPr>
        <w:t>重点潜力企业培育</w:t>
      </w:r>
      <w:r>
        <w:rPr>
          <w:rFonts w:hint="eastAsia" w:ascii="仿宋_GB2312" w:hAnsi="仿宋_GB2312" w:eastAsia="仿宋_GB2312"/>
          <w:b w:val="0"/>
          <w:color w:val="auto"/>
          <w:szCs w:val="32"/>
          <w:shd w:val="clear" w:color="auto" w:fill="auto"/>
          <w:lang w:val="en-US" w:eastAsia="zh-CN"/>
        </w:rPr>
        <w:t>工程，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聚焦金融、金融科技、数据、人工智能等产业领域，精准遴选潜力标杆企业，实施“一企一策”滴灌服务，强化创新要素支持，深化数字赋能和应用场景开放，构建专业、精准、高效的企业成长支持体系。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>利用北京西城·高校发展联盟科研资源，依托区校协同发展高层次平台，联合一流高校建立成果转化合作服务中心，推动前沿领域的优秀创业团队入驻、创新成果落地。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shd w:val="clear" w:color="auto" w:fill="auto"/>
          <w:lang w:val="zh-CN" w:bidi="zh-CN"/>
        </w:rPr>
        <w:t>大力发展广告、会展、咨询、法律、信用等专业服务业，分领域推进向专业化和价值链高端延伸，培育具有跨领域、多资质集成能力的商务服务品牌。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</w:pPr>
      <w:bookmarkStart w:id="272" w:name="_Toc15376"/>
      <w:bookmarkStart w:id="273" w:name="_Toc16007"/>
      <w:bookmarkStart w:id="274" w:name="_Toc29370"/>
      <w:bookmarkStart w:id="275" w:name="_Toc5041"/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（二）强化产业空间高效利用</w:t>
      </w:r>
      <w:bookmarkEnd w:id="271"/>
      <w:bookmarkEnd w:id="272"/>
      <w:bookmarkEnd w:id="273"/>
      <w:bookmarkEnd w:id="274"/>
      <w:bookmarkEnd w:id="275"/>
    </w:p>
    <w:p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加快推动西直门外片区、金融街及周边片区、马连道片区、天桥片区等重点区域城市更新，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探索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整片区成规模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空间更新机制，</w:t>
      </w:r>
      <w:r>
        <w:rPr>
          <w:rFonts w:hint="eastAsia"/>
          <w:b w:val="0"/>
          <w:bCs w:val="0"/>
          <w:highlight w:val="none"/>
          <w:lang w:val="en-US" w:eastAsia="zh-CN"/>
        </w:rPr>
        <w:t>实现</w:t>
      </w:r>
      <w:r>
        <w:rPr>
          <w:rFonts w:hint="eastAsia"/>
          <w:b w:val="0"/>
          <w:bCs w:val="0"/>
          <w:highlight w:val="none"/>
        </w:rPr>
        <w:t>空间资源统筹利用、整体性功能引导、精细化业态设计</w:t>
      </w:r>
      <w:r>
        <w:rPr>
          <w:rFonts w:hint="eastAsia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。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持续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推进老旧低效楼宇更新，着力打造集约高效、智慧智能、绿色低碳的高品质楼宇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有效盘活低效存量资源，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以载体改造带动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产业更新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升级。</w:t>
      </w:r>
      <w:r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支持产业园区、重点楼宇等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空间载体</w:t>
      </w:r>
      <w:r>
        <w:rPr>
          <w:rFonts w:hint="eastAsia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引入专业化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运营管理</w:t>
      </w:r>
      <w:r>
        <w:rPr>
          <w:rFonts w:hint="eastAsia" w:cs="仿宋_GB2312"/>
          <w:b w:val="0"/>
          <w:bCs w:val="0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团队，拓展高价值服务，增强“空间+服务+投资”的黏性，提高产业空间利用效益。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加强区属平台公司运营空间统筹，</w:t>
      </w:r>
      <w:r>
        <w:rPr>
          <w:rFonts w:hint="eastAsia" w:cs="仿宋_GB2312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支持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探索租金转股权模式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通过租金延期支付并转为股权投资的方式，</w:t>
      </w:r>
      <w:r>
        <w:rPr>
          <w:rFonts w:hint="eastAsia" w:cs="仿宋_GB2312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引进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具备一定营收、一定估值且具备增长潜力的初创型、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成长型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企业</w:t>
      </w:r>
      <w:r>
        <w:rPr>
          <w:rFonts w:hint="eastAsia" w:ascii="Times New Roman" w:hAnsi="Times New Roman" w:cs="Times New Roman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，降低优质企业入区发展早期成本。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/>
          <w:color w:val="auto"/>
          <w:shd w:val="clear" w:color="auto" w:fill="auto"/>
          <w:lang w:eastAsia="zh-CN"/>
        </w:rPr>
      </w:pPr>
      <w:bookmarkStart w:id="276" w:name="_Toc4137"/>
      <w:bookmarkStart w:id="277" w:name="_Toc12662"/>
      <w:bookmarkStart w:id="278" w:name="_Toc9219"/>
      <w:bookmarkStart w:id="279" w:name="_Toc19158"/>
      <w:bookmarkStart w:id="280" w:name="_Toc16148"/>
      <w:r>
        <w:rPr>
          <w:rFonts w:hint="eastAsia" w:ascii="楷体_GB2312" w:hAnsi="楷体_GB2312" w:eastAsia="楷体_GB2312" w:cs="楷体_GB2312"/>
          <w:b w:val="0"/>
          <w:bCs/>
          <w:color w:val="auto"/>
          <w:shd w:val="clear" w:color="auto" w:fill="auto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/>
          <w:color w:val="auto"/>
          <w:shd w:val="clear" w:color="auto" w:fill="auto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 w:val="0"/>
          <w:bCs/>
          <w:color w:val="auto"/>
          <w:shd w:val="clear" w:color="auto" w:fill="auto"/>
          <w:lang w:eastAsia="zh-CN"/>
        </w:rPr>
        <w:t>）打造青年人才集聚高地</w:t>
      </w:r>
      <w:bookmarkEnd w:id="276"/>
      <w:bookmarkEnd w:id="277"/>
      <w:bookmarkEnd w:id="278"/>
      <w:bookmarkEnd w:id="279"/>
      <w:bookmarkEnd w:id="280"/>
    </w:p>
    <w:p>
      <w:pPr>
        <w:pStyle w:val="33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以“西融计划”为抓手，完善“1+1+N”人才政策体系，搭建人才沟通合作平台，</w:t>
      </w:r>
      <w:r>
        <w:rPr>
          <w:rFonts w:hint="eastAsia"/>
          <w:b w:val="0"/>
          <w:bCs w:val="0"/>
          <w:color w:val="auto"/>
          <w:shd w:val="clear" w:color="auto" w:fill="auto"/>
          <w:lang w:val="en-US" w:eastAsia="zh-CN"/>
        </w:rPr>
        <w:t>推出一批重点产业领域的优培岗位，</w:t>
      </w:r>
      <w:r>
        <w:rPr>
          <w:rFonts w:hint="eastAsia"/>
          <w:b w:val="0"/>
          <w:bCs w:val="0"/>
          <w:color w:val="auto"/>
          <w:shd w:val="clear" w:color="auto" w:fill="auto"/>
          <w:lang w:eastAsia="zh-CN"/>
        </w:rPr>
        <w:t>吸引更多京内外优秀青年人才集聚发展</w:t>
      </w:r>
      <w:r>
        <w:rPr>
          <w:rFonts w:hint="eastAsia"/>
          <w:b w:val="0"/>
          <w:bCs/>
          <w:color w:val="auto"/>
          <w:shd w:val="clear" w:color="auto" w:fill="auto"/>
          <w:lang w:val="en-US" w:eastAsia="zh-CN"/>
        </w:rPr>
        <w:t>。</w:t>
      </w:r>
      <w:r>
        <w:rPr>
          <w:rFonts w:hint="eastAsia"/>
          <w:b w:val="0"/>
          <w:bCs w:val="0"/>
          <w:color w:val="auto"/>
          <w:shd w:val="clear" w:color="auto" w:fill="auto"/>
        </w:rPr>
        <w:t>办好金融街论坛年会人才论坛、</w:t>
      </w:r>
      <w:r>
        <w:rPr>
          <w:rFonts w:hint="eastAsia"/>
          <w:b w:val="0"/>
          <w:bCs w:val="0"/>
          <w:color w:val="auto"/>
          <w:highlight w:val="none"/>
          <w:shd w:val="clear" w:color="auto" w:fill="auto"/>
        </w:rPr>
        <w:t>HIC00L全球创业大赛西城赛区</w:t>
      </w:r>
      <w:r>
        <w:rPr>
          <w:rFonts w:hint="eastAsia"/>
          <w:b w:val="0"/>
          <w:bCs w:val="0"/>
          <w:color w:val="auto"/>
          <w:shd w:val="clear" w:color="auto" w:fill="auto"/>
        </w:rPr>
        <w:t>等系列活动</w:t>
      </w:r>
      <w:r>
        <w:rPr>
          <w:rFonts w:hint="eastAsia"/>
          <w:b w:val="0"/>
          <w:bCs w:val="0"/>
          <w:color w:val="auto"/>
          <w:shd w:val="clear" w:color="auto" w:fill="auto"/>
          <w:lang w:eastAsia="zh-CN"/>
        </w:rPr>
        <w:t>，吸引海内外青年科技人才参与</w:t>
      </w:r>
      <w:r>
        <w:rPr>
          <w:rFonts w:hint="eastAsia"/>
          <w:b w:val="0"/>
          <w:bCs w:val="0"/>
          <w:color w:val="auto"/>
          <w:shd w:val="clear" w:color="auto" w:fill="auto"/>
        </w:rPr>
        <w:t>。</w:t>
      </w:r>
      <w:r>
        <w:rPr>
          <w:rFonts w:hint="eastAsia"/>
          <w:b w:val="0"/>
          <w:bCs/>
          <w:color w:val="auto"/>
          <w:shd w:val="clear" w:color="auto" w:fill="auto"/>
        </w:rPr>
        <w:t>加强青年宜学、宜居、宜业</w:t>
      </w:r>
      <w:r>
        <w:rPr>
          <w:rFonts w:hint="eastAsia"/>
          <w:b w:val="0"/>
          <w:bCs/>
          <w:color w:val="auto"/>
          <w:shd w:val="clear" w:color="auto" w:fill="auto"/>
          <w:lang w:val="en-US" w:eastAsia="zh-CN"/>
        </w:rPr>
        <w:t>等全方位</w:t>
      </w:r>
      <w:r>
        <w:rPr>
          <w:rFonts w:hint="eastAsia"/>
          <w:b w:val="0"/>
          <w:bCs/>
          <w:color w:val="auto"/>
          <w:shd w:val="clear" w:color="auto" w:fill="auto"/>
        </w:rPr>
        <w:t>保障，搭建青年人才交流平台、创业项目展示平台，集聚高活力青年科技人才</w:t>
      </w:r>
      <w:r>
        <w:rPr>
          <w:rFonts w:hint="eastAsia"/>
          <w:b w:val="0"/>
          <w:bCs/>
          <w:color w:val="auto"/>
          <w:shd w:val="clear" w:color="auto" w:fill="auto"/>
          <w:lang w:eastAsia="zh-CN"/>
        </w:rPr>
        <w:t>，</w:t>
      </w:r>
      <w:r>
        <w:rPr>
          <w:rFonts w:hint="eastAsia"/>
          <w:b w:val="0"/>
          <w:bCs/>
          <w:color w:val="auto"/>
          <w:highlight w:val="none"/>
          <w:shd w:val="clear" w:color="auto" w:fill="auto"/>
          <w:lang w:val="en-US" w:eastAsia="zh-CN"/>
        </w:rPr>
        <w:t>营造青年人才创新创业良好生态</w:t>
      </w:r>
      <w:r>
        <w:rPr>
          <w:rFonts w:hint="eastAsia"/>
          <w:b w:val="0"/>
          <w:bCs/>
          <w:color w:val="auto"/>
          <w:shd w:val="clear" w:color="auto" w:fill="auto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深入推进教育科技人才一体发展，拓展多领域、多层次政产学研用合作，加大多元人才成长平台建设。深化“西融·人才港”建设，</w:t>
      </w:r>
      <w:r>
        <w:rPr>
          <w:rFonts w:hint="eastAsia"/>
          <w:b w:val="0"/>
          <w:bCs/>
          <w:color w:val="auto"/>
          <w:shd w:val="clear" w:color="auto" w:fill="auto"/>
          <w:lang w:eastAsia="zh-CN"/>
        </w:rPr>
        <w:t>用好人才会客厅、政务服务流动站、“业美西城”人社服务站等人才服务平台，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动态优化人才服务体系，完善人才激励机制。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shd w:val="clear" w:color="auto" w:fill="auto"/>
          <w:lang w:val="en-US" w:eastAsia="zh-CN"/>
        </w:rPr>
      </w:pPr>
      <w:bookmarkStart w:id="281" w:name="_Toc25241"/>
      <w:bookmarkStart w:id="282" w:name="_Toc30546"/>
      <w:bookmarkStart w:id="283" w:name="_Toc10317"/>
      <w:bookmarkStart w:id="284" w:name="_Toc27981"/>
      <w:bookmarkStart w:id="285" w:name="_Toc17166"/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shd w:val="clear" w:color="auto" w:fill="auto"/>
          <w:lang w:val="en-US" w:eastAsia="zh-CN"/>
        </w:rPr>
        <w:t>（四）加强金融资本投资服务</w:t>
      </w:r>
      <w:bookmarkEnd w:id="281"/>
      <w:bookmarkEnd w:id="282"/>
      <w:bookmarkEnd w:id="283"/>
      <w:bookmarkEnd w:id="284"/>
      <w:bookmarkEnd w:id="285"/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扩大区级创投引导基金规模，优化母基金、子基金/专项基金、直投基金矩阵式结构，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t>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重点领域的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t>链主企业或产业投资方共同组建产业链基金。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>积极对接国家级和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市级重点产业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>基金，协同搭建“项目+资本”常态化对接机制，加大对在区落地项目的投资力度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u w:val="none"/>
          <w:shd w:val="clear" w:color="auto" w:fill="auto"/>
          <w:lang w:val="en-US" w:eastAsia="zh-CN" w:bidi="ar-SA"/>
        </w:rPr>
        <w:t>深耕“金融街·融启荟”投资对接服务品牌，依托专业、精细、生态化服务赋能科创企业，构建全链条、多层次资本赋能金融服务体系。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加强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市场化基金引导，构建覆盖种子期、初创期、成长期等企业全生命成长周期的基金体系，打造金融街资本市场领域专业化、精细化、生态化的科技金融赋能平台，促进“科技－产业－金融”良性循环。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auto"/>
          <w:lang w:val="en-US" w:eastAsia="zh-CN"/>
        </w:rPr>
        <w:t>用足用好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auto"/>
        </w:rPr>
        <w:t>中小微企业担保风险补偿资金，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shd w:val="clear" w:color="auto" w:fill="auto"/>
          <w:lang w:val="en-US" w:eastAsia="zh-CN" w:bidi="ar-SA"/>
        </w:rPr>
        <w:t>建立“政银保”协同服务新机制，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>大力</w:t>
      </w:r>
      <w:r>
        <w:rPr>
          <w:rFonts w:hint="eastAsia" w:ascii="仿宋_GB2312" w:hAnsi="仿宋_GB2312" w:eastAsia="仿宋_GB2312" w:cs="仿宋_GB2312"/>
          <w:bCs w:val="0"/>
          <w:color w:val="auto"/>
          <w:sz w:val="32"/>
          <w:szCs w:val="32"/>
          <w:u w:val="none"/>
          <w:shd w:val="clear" w:color="auto" w:fill="auto"/>
        </w:rPr>
        <w:t>发展科技金融专营机构，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u w:val="none"/>
          <w:shd w:val="clear" w:color="auto" w:fill="auto"/>
          <w:lang w:val="en-US" w:eastAsia="zh-CN" w:bidi="ar-SA"/>
        </w:rPr>
        <w:t>擦亮“融享汇”融资对接服务品牌，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>支持风险投资、融资担保等机构为符合条件的企业提供融资服务</w:t>
      </w:r>
      <w:r>
        <w:rPr>
          <w:rFonts w:hint="eastAsia" w:ascii="仿宋_GB2312" w:hAnsi="仿宋_GB2312" w:eastAsia="仿宋_GB2312" w:cs="仿宋_GB2312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pacing w:before="0" w:beforeAutospacing="0" w:after="0" w:afterAutospacing="0" w:line="560" w:lineRule="exact"/>
        <w:ind w:left="0" w:right="0" w:firstLine="640" w:firstLineChars="200"/>
        <w:textAlignment w:val="auto"/>
        <w:outlineLvl w:val="1"/>
        <w:rPr>
          <w:rFonts w:hint="eastAsia" w:ascii="楷体_GB2312" w:hAnsi="楷体_GB2312" w:eastAsia="楷体_GB2312" w:cs="楷体_GB2312"/>
          <w:bCs/>
          <w:color w:val="auto"/>
          <w:shd w:val="clear" w:color="auto" w:fill="auto"/>
        </w:rPr>
      </w:pPr>
      <w:bookmarkStart w:id="286" w:name="_Toc14835"/>
      <w:bookmarkStart w:id="287" w:name="_Toc19632"/>
      <w:bookmarkStart w:id="288" w:name="_Toc28257"/>
      <w:bookmarkStart w:id="289" w:name="_Toc29971"/>
      <w:bookmarkStart w:id="290" w:name="_Toc28313"/>
      <w:r>
        <w:rPr>
          <w:rFonts w:hint="eastAsia" w:ascii="楷体_GB2312" w:hAnsi="楷体_GB2312" w:eastAsia="楷体_GB2312" w:cs="楷体_GB2312"/>
          <w:bCs/>
          <w:color w:val="auto"/>
          <w:shd w:val="clear" w:color="auto" w:fill="auto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color w:val="auto"/>
          <w:shd w:val="clear" w:color="auto" w:fill="auto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bCs/>
          <w:color w:val="auto"/>
          <w:shd w:val="clear" w:color="auto" w:fill="auto"/>
          <w:lang w:eastAsia="zh-CN"/>
        </w:rPr>
        <w:t>）</w:t>
      </w:r>
      <w:r>
        <w:rPr>
          <w:rFonts w:hint="eastAsia" w:ascii="楷体_GB2312" w:hAnsi="楷体_GB2312" w:eastAsia="楷体_GB2312" w:cs="楷体_GB2312"/>
          <w:bCs/>
          <w:color w:val="auto"/>
          <w:highlight w:val="none"/>
          <w:shd w:val="clear" w:color="auto" w:fill="auto"/>
          <w:lang w:eastAsia="zh-CN"/>
        </w:rPr>
        <w:t>激活数据</w:t>
      </w:r>
      <w:r>
        <w:rPr>
          <w:rFonts w:hint="eastAsia" w:ascii="楷体_GB2312" w:hAnsi="楷体_GB2312" w:eastAsia="楷体_GB2312" w:cs="楷体_GB2312"/>
          <w:bCs/>
          <w:color w:val="auto"/>
          <w:shd w:val="clear" w:color="auto" w:fill="auto"/>
          <w:lang w:val="en-US" w:eastAsia="zh-CN"/>
        </w:rPr>
        <w:t>算力资源</w:t>
      </w:r>
      <w:bookmarkEnd w:id="286"/>
      <w:bookmarkEnd w:id="287"/>
      <w:bookmarkEnd w:id="288"/>
      <w:bookmarkEnd w:id="289"/>
      <w:r>
        <w:rPr>
          <w:rFonts w:hint="eastAsia" w:ascii="楷体_GB2312" w:hAnsi="楷体_GB2312" w:eastAsia="楷体_GB2312" w:cs="楷体_GB2312"/>
          <w:bCs/>
          <w:color w:val="auto"/>
          <w:shd w:val="clear" w:color="auto" w:fill="auto"/>
          <w:lang w:val="en-US" w:eastAsia="zh-CN"/>
        </w:rPr>
        <w:t>价值</w:t>
      </w:r>
      <w:bookmarkEnd w:id="29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/>
          <w:bCs w:val="0"/>
          <w:color w:val="auto"/>
          <w:highlight w:val="none"/>
          <w:shd w:val="clear" w:color="auto" w:fill="auto"/>
          <w:lang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稳步推动各级各类公共数据开发利用，</w:t>
      </w:r>
      <w:r>
        <w:rPr>
          <w:rFonts w:hint="eastAsia" w:ascii="仿宋_GB2312" w:hAnsi="仿宋_GB2312" w:eastAsia="仿宋_GB2312"/>
          <w:bCs w:val="0"/>
          <w:color w:val="auto"/>
          <w:u w:val="none"/>
          <w:shd w:val="clear" w:color="auto" w:fill="auto"/>
        </w:rPr>
        <w:t>探索建立企业数据资源开发利用</w:t>
      </w:r>
      <w:r>
        <w:rPr>
          <w:rFonts w:hint="eastAsia" w:ascii="仿宋_GB2312" w:hAnsi="仿宋_GB2312" w:eastAsia="仿宋_GB2312"/>
          <w:bCs w:val="0"/>
          <w:color w:val="auto"/>
          <w:u w:val="none"/>
          <w:shd w:val="clear" w:color="auto" w:fill="auto"/>
          <w:lang w:val="en-US" w:eastAsia="zh-CN"/>
        </w:rPr>
        <w:t>权益形成、</w:t>
      </w:r>
      <w:r>
        <w:rPr>
          <w:rFonts w:hint="eastAsia" w:ascii="仿宋_GB2312" w:hAnsi="仿宋_GB2312" w:eastAsia="仿宋_GB2312"/>
          <w:bCs w:val="0"/>
          <w:color w:val="auto"/>
          <w:u w:val="none"/>
          <w:shd w:val="clear" w:color="auto" w:fill="auto"/>
        </w:rPr>
        <w:t>权益保护、价值获得、收益分配等机制，</w:t>
      </w:r>
      <w:r>
        <w:rPr>
          <w:rFonts w:hint="eastAsia" w:ascii="仿宋_GB2312" w:hAnsi="仿宋_GB2312" w:eastAsia="仿宋_GB2312"/>
          <w:bCs w:val="0"/>
          <w:color w:val="auto"/>
          <w:u w:val="none"/>
          <w:shd w:val="clear" w:color="auto" w:fill="auto"/>
          <w:lang w:val="en-US" w:eastAsia="zh-CN"/>
        </w:rPr>
        <w:t>大力推动</w:t>
      </w:r>
      <w:r>
        <w:rPr>
          <w:rFonts w:hint="eastAsia" w:ascii="仿宋_GB2312" w:hAnsi="仿宋_GB2312" w:eastAsia="仿宋_GB2312"/>
          <w:bCs w:val="0"/>
          <w:color w:val="auto"/>
          <w:u w:val="none"/>
          <w:shd w:val="clear" w:color="auto" w:fill="auto"/>
        </w:rPr>
        <w:t>产业链数据整合融通</w:t>
      </w:r>
      <w:r>
        <w:rPr>
          <w:rFonts w:hint="eastAsia" w:ascii="仿宋_GB2312" w:hAnsi="仿宋_GB2312" w:eastAsia="仿宋_GB2312"/>
          <w:bCs w:val="0"/>
          <w:color w:val="auto"/>
          <w:u w:val="none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为各行业提供充足高效的数据支持。鼓励平台型机构提供高质量数据产品、专业化数据服务、行业性数据标准，发挥“医保+商保”清分结算中心、中国药品价格登记系统等数据开发利用平台的标杆作用，加速数据资源化、产业化、价值化。举办“数据要素</w:t>
      </w:r>
      <w:r>
        <w:rPr>
          <w:rFonts w:hint="default" w:ascii="Arial" w:hAnsi="Arial" w:eastAsia="仿宋_GB2312" w:cs="Arial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”大赛等赛事活动，营造“供数、用数”良好氛围。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bidi="ar-SA"/>
        </w:rPr>
        <w:t>加快推进存量数据中心智算化升级改造，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val="en-US" w:eastAsia="zh-CN" w:bidi="ar-SA"/>
        </w:rPr>
        <w:t>鼓励建设算力互联互通平台，提升</w:t>
      </w:r>
      <w:r>
        <w:rPr>
          <w:rFonts w:hint="eastAsia" w:ascii="仿宋_GB2312" w:hAnsi="仿宋_GB2312" w:eastAsia="仿宋_GB2312" w:cs="仿宋_GB2312"/>
          <w:bCs w:val="0"/>
          <w:color w:val="auto"/>
          <w:spacing w:val="0"/>
          <w:sz w:val="32"/>
          <w:szCs w:val="32"/>
          <w:highlight w:val="none"/>
          <w:shd w:val="clear" w:color="auto" w:fill="auto"/>
        </w:rPr>
        <w:t>算力资源调度、算力资源服务和算力交易结算等基础服务能力</w:t>
      </w:r>
      <w:r>
        <w:rPr>
          <w:rFonts w:hint="eastAsia" w:ascii="仿宋_GB2312" w:hAnsi="仿宋_GB2312" w:eastAsia="仿宋_GB2312"/>
          <w:bCs w:val="0"/>
          <w:color w:val="auto"/>
          <w:shd w:val="clear" w:color="auto" w:fill="auto"/>
          <w:lang w:eastAsia="zh-CN" w:bidi="ar-SA"/>
        </w:rPr>
        <w:t>。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依托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highlight w:val="none"/>
          <w:shd w:val="clear" w:color="auto" w:fill="auto"/>
        </w:rPr>
        <w:t>京津冀蒙算力供给走廊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建设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highlight w:val="none"/>
          <w:shd w:val="clear" w:color="auto" w:fill="auto"/>
        </w:rPr>
        <w:t>，</w:t>
      </w:r>
      <w:r>
        <w:rPr>
          <w:rFonts w:hint="eastAsia" w:ascii="仿宋_GB2312" w:hAnsi="仿宋_GB2312" w:eastAsia="仿宋_GB2312"/>
          <w:bCs w:val="0"/>
          <w:color w:val="auto"/>
          <w:highlight w:val="none"/>
          <w:shd w:val="clear" w:color="auto" w:fill="auto"/>
          <w:lang w:bidi="ar-SA"/>
        </w:rPr>
        <w:t>构建多元泛在、内外联动的算力支撑体系</w:t>
      </w:r>
      <w:r>
        <w:rPr>
          <w:rFonts w:hint="eastAsia" w:ascii="仿宋_GB2312" w:hAnsi="仿宋_GB2312" w:eastAsia="仿宋_GB2312"/>
          <w:bCs w:val="0"/>
          <w:color w:val="auto"/>
          <w:highlight w:val="none"/>
          <w:shd w:val="clear" w:color="auto" w:fill="auto"/>
          <w:lang w:eastAsia="zh-CN" w:bidi="ar-SA"/>
        </w:rPr>
        <w:t>，</w:t>
      </w:r>
      <w:r>
        <w:rPr>
          <w:rFonts w:hint="eastAsia" w:ascii="仿宋_GB2312" w:hAnsi="仿宋_GB2312" w:eastAsia="仿宋_GB2312" w:cs="仿宋_GB2312"/>
          <w:bCs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以算力补贴等形式鼓励购买、租用非关联方的智能算力资源，降低企业和个人开发者算力成本。</w:t>
      </w:r>
    </w:p>
    <w:bookmarkEnd w:id="259"/>
    <w:bookmarkEnd w:id="260"/>
    <w:bookmarkEnd w:id="261"/>
    <w:bookmarkEnd w:id="262"/>
    <w:bookmarkEnd w:id="263"/>
    <w:bookmarkEnd w:id="264"/>
    <w:bookmarkEnd w:id="265"/>
    <w:bookmarkEnd w:id="266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outlineLvl w:val="1"/>
        <w:rPr>
          <w:rFonts w:hint="default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291" w:name="_Toc27633"/>
      <w:bookmarkStart w:id="292" w:name="_Toc1664"/>
      <w:bookmarkStart w:id="293" w:name="_Toc4847"/>
      <w:bookmarkStart w:id="294" w:name="_Toc3049"/>
      <w:bookmarkStart w:id="295" w:name="_Toc21718"/>
      <w:bookmarkStart w:id="296" w:name="_Toc29562"/>
      <w:bookmarkStart w:id="297" w:name="_Toc11460"/>
      <w:bookmarkStart w:id="298" w:name="_Toc12137"/>
      <w:bookmarkStart w:id="299" w:name="_Toc19410"/>
      <w:bookmarkStart w:id="300" w:name="_Toc15642"/>
      <w:bookmarkStart w:id="301" w:name="_Toc594"/>
      <w:bookmarkStart w:id="302" w:name="_Toc19790"/>
      <w:bookmarkStart w:id="303" w:name="_Toc20511"/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  <w:t>（六）推动应用场景开放</w:t>
      </w:r>
      <w:bookmarkEnd w:id="291"/>
      <w:bookmarkEnd w:id="292"/>
      <w:bookmarkEnd w:id="293"/>
      <w:bookmarkEnd w:id="294"/>
      <w:bookmarkEnd w:id="295"/>
      <w:r>
        <w:rPr>
          <w:rFonts w:hint="eastAsia" w:ascii="楷体_GB2312" w:hAnsi="楷体_GB2312" w:eastAsia="楷体_GB2312" w:cs="楷体_GB2312"/>
          <w:color w:val="auto"/>
          <w:sz w:val="32"/>
          <w:szCs w:val="32"/>
          <w:shd w:val="clear" w:color="auto" w:fill="auto"/>
          <w:lang w:val="en-US" w:eastAsia="zh-CN"/>
        </w:rPr>
        <w:t>赋能</w:t>
      </w:r>
      <w:bookmarkEnd w:id="296"/>
      <w:bookmarkEnd w:id="297"/>
      <w:bookmarkEnd w:id="298"/>
      <w:bookmarkEnd w:id="299"/>
      <w:bookmarkEnd w:id="300"/>
      <w:bookmarkEnd w:id="301"/>
      <w:bookmarkEnd w:id="302"/>
      <w:bookmarkEnd w:id="30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hd w:val="clear" w:color="auto" w:fill="auto"/>
          <w:lang w:val="en-US" w:eastAsia="zh-CN"/>
        </w:rPr>
        <w:t>加强城市应用场景统筹，分批分类开放重点领域场景，建设集测试、展示、路演、体验为一体的场景创新服务平台，定期举办场景需求征集、清单发布活动，推动千行百业场景全面有序开放。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组织应用场景发布会、供需对接会，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为技术供给方、应用需求方、专业投资机构提供交流平台，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推动新技术、新产品有效对接和应用合作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探索市场化场景合作新机制，在商业模式、项目采购、资金合作等方面形成符合场景特征的新制度，支持头部企业、科研机构牵头建立场景创新共同体。聚焦</w:t>
      </w:r>
      <w:r>
        <w:rPr>
          <w:rFonts w:hint="eastAsia" w:ascii="仿宋_GB2312" w:hAnsi="仿宋_GB2312" w:eastAsia="仿宋_GB2312"/>
          <w:b w:val="0"/>
          <w:bCs w:val="0"/>
          <w:color w:val="auto"/>
          <w:shd w:val="clear" w:color="auto" w:fill="auto"/>
        </w:rPr>
        <w:t>公共安全预警、社会治安管理</w:t>
      </w:r>
      <w:r>
        <w:rPr>
          <w:rFonts w:hint="eastAsia" w:ascii="仿宋_GB2312" w:hAnsi="仿宋_GB2312" w:eastAsia="仿宋_GB2312"/>
          <w:b w:val="0"/>
          <w:bCs w:val="0"/>
          <w:color w:val="auto"/>
          <w:shd w:val="clear" w:color="auto" w:fill="auto"/>
          <w:lang w:eastAsia="zh-CN"/>
        </w:rPr>
        <w:t>、</w:t>
      </w:r>
      <w:r>
        <w:rPr>
          <w:rFonts w:hint="eastAsia" w:ascii="仿宋_GB2312" w:hAnsi="仿宋_GB2312" w:eastAsia="仿宋_GB2312"/>
          <w:b w:val="0"/>
          <w:bCs w:val="0"/>
          <w:color w:val="auto"/>
          <w:shd w:val="clear" w:color="auto" w:fill="auto"/>
          <w:lang w:val="en-US" w:eastAsia="zh-CN"/>
        </w:rPr>
        <w:t>城市更新、特色展会、商业消费</w:t>
      </w:r>
      <w:r>
        <w:rPr>
          <w:rFonts w:hint="eastAsia" w:ascii="仿宋_GB2312" w:hAnsi="仿宋_GB2312" w:eastAsia="仿宋_GB2312"/>
          <w:b w:val="0"/>
          <w:bCs w:val="0"/>
          <w:color w:val="auto"/>
          <w:shd w:val="clear" w:color="auto" w:fill="auto"/>
        </w:rPr>
        <w:t>等领域</w:t>
      </w:r>
      <w:r>
        <w:rPr>
          <w:rFonts w:hint="eastAsia" w:ascii="仿宋_GB2312" w:hAnsi="仿宋_GB2312" w:eastAsia="仿宋_GB2312"/>
          <w:b w:val="0"/>
          <w:bCs w:val="0"/>
          <w:color w:val="auto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支持具有首创性、示范性的标杆场景项目落地，建立场景应用转化机制，推动一批经验证的解决方案快速在区产业化。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0"/>
        <w:rPr>
          <w:rFonts w:hint="eastAsia" w:ascii="黑体" w:hAnsi="黑体" w:eastAsia="黑体" w:cs="黑体"/>
          <w:bCs w:val="0"/>
          <w:color w:val="auto"/>
          <w:highlight w:val="none"/>
          <w:shd w:val="clear" w:color="auto" w:fill="auto"/>
          <w:lang w:val="en-US" w:eastAsia="zh-CN"/>
        </w:rPr>
      </w:pPr>
      <w:bookmarkStart w:id="304" w:name="_Toc19776"/>
      <w:bookmarkStart w:id="305" w:name="_Toc19021"/>
      <w:bookmarkStart w:id="306" w:name="_Toc5871"/>
      <w:bookmarkStart w:id="307" w:name="_Toc22369"/>
      <w:bookmarkStart w:id="308" w:name="_Toc1891"/>
      <w:bookmarkStart w:id="309" w:name="_Toc13679"/>
      <w:bookmarkStart w:id="310" w:name="_Toc19003"/>
      <w:r>
        <w:rPr>
          <w:rFonts w:hint="eastAsia" w:ascii="黑体" w:hAnsi="黑体" w:eastAsia="黑体" w:cs="黑体"/>
          <w:bCs w:val="0"/>
          <w:color w:val="auto"/>
          <w:highlight w:val="none"/>
          <w:shd w:val="clear" w:color="auto" w:fill="auto"/>
          <w:lang w:val="en-US" w:eastAsia="zh-CN"/>
        </w:rPr>
        <w:t>五、规划实施保障</w:t>
      </w:r>
      <w:bookmarkEnd w:id="304"/>
      <w:bookmarkEnd w:id="305"/>
      <w:bookmarkEnd w:id="306"/>
      <w:bookmarkEnd w:id="307"/>
      <w:bookmarkEnd w:id="308"/>
      <w:bookmarkEnd w:id="309"/>
      <w:bookmarkEnd w:id="310"/>
    </w:p>
    <w:p>
      <w:pPr>
        <w:numPr>
          <w:ilvl w:val="-1"/>
          <w:numId w:val="0"/>
        </w:numPr>
        <w:spacing w:line="560" w:lineRule="exact"/>
        <w:ind w:firstLine="660" w:firstLineChars="200"/>
        <w:outlineLvl w:val="9"/>
        <w:rPr>
          <w:rFonts w:hint="eastAsia" w:ascii="仿宋_GB2312" w:hAnsi="仿宋_GB2312" w:eastAsia="仿宋_GB2312" w:cs="仿宋_GB2312"/>
          <w:color w:val="auto"/>
          <w:u w:val="none"/>
          <w:shd w:val="clear" w:color="auto" w:fill="FFFFFF"/>
          <w:lang w:val="en-US" w:eastAsia="zh-CN"/>
        </w:rPr>
      </w:pPr>
      <w:bookmarkStart w:id="311" w:name="_Toc19369"/>
      <w:bookmarkStart w:id="312" w:name="_Toc6717"/>
      <w:bookmarkStart w:id="313" w:name="_Toc5862"/>
      <w:bookmarkStart w:id="314" w:name="_Toc9761"/>
      <w:bookmarkStart w:id="315" w:name="_Toc19302"/>
      <w:bookmarkStart w:id="316" w:name="_Toc18177"/>
      <w:bookmarkStart w:id="317" w:name="_Toc16073"/>
      <w:r>
        <w:rPr>
          <w:rFonts w:hint="eastAsia" w:ascii="仿宋_GB2312" w:hAnsi="仿宋_GB2312" w:eastAsia="仿宋_GB2312" w:cs="仿宋_GB2312"/>
          <w:bCs w:val="0"/>
          <w:snapToGrid w:val="0"/>
          <w:color w:val="auto"/>
          <w:spacing w:val="5"/>
          <w:kern w:val="0"/>
          <w:highlight w:val="none"/>
          <w:shd w:val="clear" w:color="auto" w:fill="auto"/>
          <w:lang w:val="en-US" w:eastAsia="zh-CN"/>
        </w:rPr>
        <w:t>依托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5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全区经济高质量发展协同机制，</w:t>
      </w:r>
      <w:bookmarkEnd w:id="311"/>
      <w:bookmarkEnd w:id="312"/>
      <w:bookmarkEnd w:id="313"/>
      <w:bookmarkEnd w:id="314"/>
      <w:bookmarkEnd w:id="315"/>
      <w:bookmarkEnd w:id="316"/>
      <w:bookmarkEnd w:id="317"/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5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构建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spacing w:val="5"/>
          <w:kern w:val="0"/>
          <w:highlight w:val="none"/>
          <w:shd w:val="clear" w:color="auto" w:fill="auto"/>
        </w:rPr>
        <w:t>“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spacing w:val="5"/>
          <w:kern w:val="0"/>
          <w:highlight w:val="none"/>
          <w:shd w:val="clear" w:color="auto" w:fill="auto"/>
          <w:lang w:val="en-US" w:eastAsia="zh-CN"/>
        </w:rPr>
        <w:t>政府主导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spacing w:val="5"/>
          <w:kern w:val="0"/>
          <w:highlight w:val="none"/>
          <w:shd w:val="clear" w:color="auto" w:fill="auto"/>
        </w:rPr>
        <w:t>、多元协同、动态闭环”的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规划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spacing w:val="5"/>
          <w:kern w:val="0"/>
          <w:highlight w:val="none"/>
          <w:shd w:val="clear" w:color="auto" w:fill="auto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spacing w:val="5"/>
          <w:kern w:val="0"/>
          <w:highlight w:val="none"/>
          <w:shd w:val="clear" w:color="auto" w:fill="auto"/>
        </w:rPr>
        <w:t>体系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spacing w:val="5"/>
          <w:kern w:val="0"/>
          <w:highlight w:val="none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auto"/>
          <w:spacing w:val="5"/>
          <w:kern w:val="0"/>
          <w:sz w:val="32"/>
          <w:szCs w:val="32"/>
          <w:highlight w:val="none"/>
          <w:shd w:val="clear" w:color="auto" w:fill="auto"/>
          <w:lang w:val="en-US" w:eastAsia="zh-CN" w:bidi="ar-SA"/>
        </w:rPr>
        <w:t>做好产业运行监测与规划评估，确保规划蓝图转化为全区上下的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spacing w:val="5"/>
          <w:kern w:val="0"/>
          <w:highlight w:val="none"/>
          <w:shd w:val="clear" w:color="auto" w:fill="auto"/>
        </w:rPr>
        <w:t>统一行动</w:t>
      </w:r>
      <w:r>
        <w:rPr>
          <w:rFonts w:hint="eastAsia" w:ascii="仿宋_GB2312" w:hAnsi="仿宋_GB2312" w:eastAsia="仿宋_GB2312" w:cs="仿宋_GB2312"/>
          <w:bCs w:val="0"/>
          <w:snapToGrid w:val="0"/>
          <w:color w:val="auto"/>
          <w:spacing w:val="5"/>
          <w:kern w:val="0"/>
          <w:highlight w:val="none"/>
          <w:shd w:val="clear" w:color="auto" w:fill="auto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shd w:val="clear" w:color="auto" w:fill="auto"/>
          <w:lang w:val="en-US" w:eastAsia="zh-CN"/>
        </w:rPr>
        <w:t>坚持系统集成、精准滴灌，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做好重点政策评估修订，加强专项政策补充新增，有序开展政策兑现，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shd w:val="clear" w:color="auto" w:fill="auto"/>
          <w:lang w:val="en-US" w:eastAsia="zh-CN"/>
        </w:rPr>
        <w:t>打造与产业需求相匹配的</w:t>
      </w:r>
      <w:r>
        <w:rPr>
          <w:rFonts w:hint="eastAsia" w:ascii="仿宋_GB2312" w:hAnsi="仿宋_GB2312" w:eastAsia="仿宋_GB2312" w:cs="仿宋_GB2312"/>
          <w:bCs w:val="0"/>
          <w:color w:val="auto"/>
          <w:highlight w:val="none"/>
          <w:shd w:val="clear" w:color="auto" w:fill="auto"/>
        </w:rPr>
        <w:t>多层次政策工具箱</w:t>
      </w:r>
      <w:r>
        <w:rPr>
          <w:rFonts w:hint="eastAsia" w:ascii="仿宋_GB2312" w:hAnsi="仿宋_GB2312" w:eastAsia="仿宋_GB2312" w:cs="仿宋_GB2312"/>
          <w:bCs w:val="0"/>
          <w:color w:val="auto"/>
          <w:highlight w:val="none"/>
          <w:shd w:val="clear" w:color="auto" w:fill="auto"/>
          <w:lang w:eastAsia="zh-CN"/>
        </w:rPr>
        <w:t>。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"/>
        </w:rPr>
        <w:t>支持具有强大资源链接能力、专业服务功能和品牌影响力的高水平行业平台建设，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shd w:val="clear" w:color="auto" w:fill="auto"/>
          <w:lang w:val="en-US" w:eastAsia="zh-CN"/>
        </w:rPr>
        <w:t>鼓励组建产业生态联盟、</w:t>
      </w:r>
      <w:r>
        <w:rPr>
          <w:rFonts w:hint="eastAsia" w:ascii="仿宋_GB2312" w:hAnsi="仿宋_GB2312" w:eastAsia="仿宋_GB2312"/>
          <w:bCs w:val="0"/>
          <w:color w:val="auto"/>
          <w:highlight w:val="none"/>
          <w:shd w:val="clear" w:color="auto" w:fill="auto"/>
        </w:rPr>
        <w:t>产业服务平台</w:t>
      </w:r>
      <w:r>
        <w:rPr>
          <w:rFonts w:hint="eastAsia" w:ascii="仿宋_GB2312" w:hAnsi="仿宋_GB2312" w:eastAsia="仿宋_GB2312"/>
          <w:bCs w:val="0"/>
          <w:color w:val="auto"/>
          <w:highlight w:val="none"/>
          <w:shd w:val="clear" w:color="auto" w:fil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shd w:val="clear" w:color="auto" w:fill="auto"/>
          <w:lang w:val="en-US" w:eastAsia="zh-CN"/>
        </w:rPr>
        <w:t>吸引中小企业、专业机构共同参与，增强产业发展黏性。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深化“服务包”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服务管家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机制，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做强做优“西心办”服务品牌，</w:t>
      </w:r>
      <w:r>
        <w:rPr>
          <w:rFonts w:hint="default" w:ascii="仿宋_GB2312" w:hAnsi="仿宋_GB2312" w:eastAsia="仿宋_GB2312"/>
          <w:bCs w:val="0"/>
        </w:rPr>
        <w:t>升级“西城企事通”平台服务集成功能</w:t>
      </w:r>
      <w:r>
        <w:rPr>
          <w:rFonts w:hint="eastAsia" w:ascii="仿宋_GB2312" w:hAnsi="仿宋_GB2312" w:eastAsia="仿宋_GB2312"/>
          <w:bCs w:val="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优化“西心服务”精准供给，</w:t>
      </w:r>
      <w:r>
        <w:rPr>
          <w:rFonts w:hint="eastAsia" w:ascii="仿宋_GB2312" w:hAnsi="仿宋_GB2312" w:eastAsia="仿宋_GB2312"/>
          <w:color w:val="auto"/>
          <w:u w:val="none"/>
          <w:shd w:val="clear" w:fill="FFFFFF"/>
          <w:lang w:val="en-US" w:eastAsia="zh-CN"/>
        </w:rPr>
        <w:t>构建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shd w:val="clear" w:fill="FFFFFF"/>
          <w:vertAlign w:val="baseline"/>
          <w:lang w:val="en-US" w:eastAsia="zh-CN"/>
        </w:rPr>
        <w:t>基层营商服务矩阵</w:t>
      </w:r>
      <w:r>
        <w:rPr>
          <w:rFonts w:hint="eastAsia" w:ascii="仿宋_GB2312" w:hAnsi="仿宋_GB2312" w:eastAsia="仿宋_GB2312"/>
          <w:color w:val="auto"/>
          <w:u w:val="none"/>
          <w:shd w:val="clear" w:fill="FFFFFF"/>
          <w:lang w:val="en-US" w:eastAsia="zh-CN"/>
        </w:rPr>
        <w:t>，畅通营商环境“最后一公里”。</w:t>
      </w:r>
    </w:p>
    <w:sectPr>
      <w:footerReference r:id="rId11" w:type="default"/>
      <w:pgSz w:w="11906" w:h="16838"/>
      <w:pgMar w:top="2098" w:right="1474" w:bottom="1984" w:left="1587" w:header="1417" w:footer="1417" w:gutter="0"/>
      <w:pgNumType w:fmt="decimal" w:start="1"/>
      <w:cols w:space="0" w:num="1"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2EA5C0E-6BCA-40C3-9C40-800E6F22F53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77E62D0-384B-4C16-B70E-70D1DDE092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D748DEB5-38FE-4A5F-A40A-56B9D15AAC1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E78C55E6-AF18-4220-A389-2543A5F4087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2C973708-080F-407E-96C9-37924818870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F274DC2C-2AEF-4F52-9502-28D8AC808A9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B8CECB55-D7C8-40CA-913B-DD1541832AC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hint="eastAsia" w:ascii="黑体" w:hAnsi="黑体" w:eastAsia="黑体" w:cs="黑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t>I</w:t>
                    </w:r>
                    <w:r>
                      <w:rPr>
                        <w:rFonts w:hint="eastAsia" w:ascii="黑体" w:hAnsi="黑体" w:eastAsia="黑体" w:cs="黑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22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0CF10B47"/>
    <w:rsid w:val="000B6281"/>
    <w:rsid w:val="001B223C"/>
    <w:rsid w:val="002418CC"/>
    <w:rsid w:val="00245594"/>
    <w:rsid w:val="00285085"/>
    <w:rsid w:val="00441793"/>
    <w:rsid w:val="00491800"/>
    <w:rsid w:val="004C691F"/>
    <w:rsid w:val="005610EB"/>
    <w:rsid w:val="0063236C"/>
    <w:rsid w:val="00847DE1"/>
    <w:rsid w:val="008878D1"/>
    <w:rsid w:val="0089189B"/>
    <w:rsid w:val="00951A38"/>
    <w:rsid w:val="00983E09"/>
    <w:rsid w:val="00A516A4"/>
    <w:rsid w:val="00B46918"/>
    <w:rsid w:val="00B64544"/>
    <w:rsid w:val="00B93F2F"/>
    <w:rsid w:val="00B94C65"/>
    <w:rsid w:val="00CA7EEA"/>
    <w:rsid w:val="00D03026"/>
    <w:rsid w:val="00DE0CFA"/>
    <w:rsid w:val="00DF14BB"/>
    <w:rsid w:val="00EA233A"/>
    <w:rsid w:val="010F1DA1"/>
    <w:rsid w:val="012C2953"/>
    <w:rsid w:val="01303AC5"/>
    <w:rsid w:val="01396E1E"/>
    <w:rsid w:val="013B4944"/>
    <w:rsid w:val="013B6E04"/>
    <w:rsid w:val="01420A1F"/>
    <w:rsid w:val="01457570"/>
    <w:rsid w:val="01487902"/>
    <w:rsid w:val="014D28C9"/>
    <w:rsid w:val="015679D0"/>
    <w:rsid w:val="016043AA"/>
    <w:rsid w:val="016D4D19"/>
    <w:rsid w:val="016F0A91"/>
    <w:rsid w:val="017240DE"/>
    <w:rsid w:val="017E2A82"/>
    <w:rsid w:val="019E3125"/>
    <w:rsid w:val="01A2017C"/>
    <w:rsid w:val="01A26771"/>
    <w:rsid w:val="01AC75F0"/>
    <w:rsid w:val="01B34E22"/>
    <w:rsid w:val="01BF5575"/>
    <w:rsid w:val="01C012ED"/>
    <w:rsid w:val="01C42B8B"/>
    <w:rsid w:val="01C74429"/>
    <w:rsid w:val="01C901A1"/>
    <w:rsid w:val="01E23011"/>
    <w:rsid w:val="01EC5C3E"/>
    <w:rsid w:val="01EF572E"/>
    <w:rsid w:val="01F36FCC"/>
    <w:rsid w:val="01F86CD9"/>
    <w:rsid w:val="02094A42"/>
    <w:rsid w:val="021F7DC1"/>
    <w:rsid w:val="022573A2"/>
    <w:rsid w:val="02261A9D"/>
    <w:rsid w:val="022A6766"/>
    <w:rsid w:val="022B099C"/>
    <w:rsid w:val="023575E5"/>
    <w:rsid w:val="023870D5"/>
    <w:rsid w:val="0247556A"/>
    <w:rsid w:val="02493090"/>
    <w:rsid w:val="024B6E08"/>
    <w:rsid w:val="02521EB3"/>
    <w:rsid w:val="02551A35"/>
    <w:rsid w:val="025D0792"/>
    <w:rsid w:val="0261487E"/>
    <w:rsid w:val="02661A7B"/>
    <w:rsid w:val="026D3223"/>
    <w:rsid w:val="027469F5"/>
    <w:rsid w:val="02936A01"/>
    <w:rsid w:val="02A05E21"/>
    <w:rsid w:val="02A1527F"/>
    <w:rsid w:val="02AD7AC3"/>
    <w:rsid w:val="02B726F0"/>
    <w:rsid w:val="02C170CB"/>
    <w:rsid w:val="02C62933"/>
    <w:rsid w:val="02C941D1"/>
    <w:rsid w:val="02D23086"/>
    <w:rsid w:val="02E5725D"/>
    <w:rsid w:val="02F74BED"/>
    <w:rsid w:val="03166EE3"/>
    <w:rsid w:val="0328539C"/>
    <w:rsid w:val="0332621A"/>
    <w:rsid w:val="03367AB9"/>
    <w:rsid w:val="03373831"/>
    <w:rsid w:val="034675D0"/>
    <w:rsid w:val="03497C46"/>
    <w:rsid w:val="034D4E02"/>
    <w:rsid w:val="03631D1E"/>
    <w:rsid w:val="036916A9"/>
    <w:rsid w:val="03795BF7"/>
    <w:rsid w:val="0385634A"/>
    <w:rsid w:val="03934A6B"/>
    <w:rsid w:val="039446EB"/>
    <w:rsid w:val="039667A9"/>
    <w:rsid w:val="039E565E"/>
    <w:rsid w:val="03AD58A1"/>
    <w:rsid w:val="03AF5F4A"/>
    <w:rsid w:val="03DD6186"/>
    <w:rsid w:val="03E017D2"/>
    <w:rsid w:val="03EF1A15"/>
    <w:rsid w:val="03F44FBC"/>
    <w:rsid w:val="03F4702C"/>
    <w:rsid w:val="03F62DA4"/>
    <w:rsid w:val="04212517"/>
    <w:rsid w:val="04221DEB"/>
    <w:rsid w:val="042E0790"/>
    <w:rsid w:val="0438617D"/>
    <w:rsid w:val="04387EA8"/>
    <w:rsid w:val="043A7135"/>
    <w:rsid w:val="0442423B"/>
    <w:rsid w:val="045A6946"/>
    <w:rsid w:val="046250DD"/>
    <w:rsid w:val="04653BF5"/>
    <w:rsid w:val="04933E65"/>
    <w:rsid w:val="04A66578"/>
    <w:rsid w:val="04A722F0"/>
    <w:rsid w:val="04AB3B8E"/>
    <w:rsid w:val="04AF4B6F"/>
    <w:rsid w:val="04BD38C2"/>
    <w:rsid w:val="04C66C1A"/>
    <w:rsid w:val="04CB4348"/>
    <w:rsid w:val="04D035F5"/>
    <w:rsid w:val="04D253F8"/>
    <w:rsid w:val="04D46B3B"/>
    <w:rsid w:val="04D964A5"/>
    <w:rsid w:val="050414F1"/>
    <w:rsid w:val="050B6D23"/>
    <w:rsid w:val="050F05C1"/>
    <w:rsid w:val="05137986"/>
    <w:rsid w:val="051D6770"/>
    <w:rsid w:val="05216546"/>
    <w:rsid w:val="053A13B6"/>
    <w:rsid w:val="05412745"/>
    <w:rsid w:val="05522F23"/>
    <w:rsid w:val="05527330"/>
    <w:rsid w:val="05622E1E"/>
    <w:rsid w:val="05681A7F"/>
    <w:rsid w:val="05740424"/>
    <w:rsid w:val="057C6008"/>
    <w:rsid w:val="057E7581"/>
    <w:rsid w:val="05880374"/>
    <w:rsid w:val="058F1702"/>
    <w:rsid w:val="059211F2"/>
    <w:rsid w:val="059900DE"/>
    <w:rsid w:val="059C3944"/>
    <w:rsid w:val="05A21435"/>
    <w:rsid w:val="05B2719F"/>
    <w:rsid w:val="05B4741B"/>
    <w:rsid w:val="05B72A07"/>
    <w:rsid w:val="05B9052D"/>
    <w:rsid w:val="05E10046"/>
    <w:rsid w:val="05E530D0"/>
    <w:rsid w:val="05EF3F4F"/>
    <w:rsid w:val="05F872A7"/>
    <w:rsid w:val="05F96819"/>
    <w:rsid w:val="060A2B37"/>
    <w:rsid w:val="061614DB"/>
    <w:rsid w:val="06175254"/>
    <w:rsid w:val="06181458"/>
    <w:rsid w:val="062175DB"/>
    <w:rsid w:val="062A4F87"/>
    <w:rsid w:val="06324807"/>
    <w:rsid w:val="063522A9"/>
    <w:rsid w:val="0648365F"/>
    <w:rsid w:val="065467ED"/>
    <w:rsid w:val="06565D7C"/>
    <w:rsid w:val="065A3ABE"/>
    <w:rsid w:val="06604E4C"/>
    <w:rsid w:val="06624721"/>
    <w:rsid w:val="066B0C3D"/>
    <w:rsid w:val="06935222"/>
    <w:rsid w:val="06954AF6"/>
    <w:rsid w:val="069C40D7"/>
    <w:rsid w:val="06AB4E25"/>
    <w:rsid w:val="06AC0092"/>
    <w:rsid w:val="06C04DDC"/>
    <w:rsid w:val="06C260BB"/>
    <w:rsid w:val="06ED4932"/>
    <w:rsid w:val="06F23CF7"/>
    <w:rsid w:val="06F37A6F"/>
    <w:rsid w:val="06F7130D"/>
    <w:rsid w:val="06F757B1"/>
    <w:rsid w:val="070C2530"/>
    <w:rsid w:val="071D689A"/>
    <w:rsid w:val="073B743D"/>
    <w:rsid w:val="074F64DC"/>
    <w:rsid w:val="07504EC1"/>
    <w:rsid w:val="075A7AEE"/>
    <w:rsid w:val="075C5614"/>
    <w:rsid w:val="07707311"/>
    <w:rsid w:val="077C5CB6"/>
    <w:rsid w:val="077E1639"/>
    <w:rsid w:val="07AA637F"/>
    <w:rsid w:val="07B76CEE"/>
    <w:rsid w:val="07C1191B"/>
    <w:rsid w:val="07C224BC"/>
    <w:rsid w:val="07C37441"/>
    <w:rsid w:val="07E32CEB"/>
    <w:rsid w:val="07F82BE5"/>
    <w:rsid w:val="07FC0BA5"/>
    <w:rsid w:val="08183C31"/>
    <w:rsid w:val="081B727D"/>
    <w:rsid w:val="081C4913"/>
    <w:rsid w:val="082459BA"/>
    <w:rsid w:val="08251EAA"/>
    <w:rsid w:val="08485B98"/>
    <w:rsid w:val="0854278F"/>
    <w:rsid w:val="0865674A"/>
    <w:rsid w:val="08713341"/>
    <w:rsid w:val="08767256"/>
    <w:rsid w:val="08935065"/>
    <w:rsid w:val="08966904"/>
    <w:rsid w:val="08A70B11"/>
    <w:rsid w:val="08B35E1E"/>
    <w:rsid w:val="08B6410C"/>
    <w:rsid w:val="08B66FA6"/>
    <w:rsid w:val="08B84ACC"/>
    <w:rsid w:val="08BA6A96"/>
    <w:rsid w:val="08D77648"/>
    <w:rsid w:val="08EA43A8"/>
    <w:rsid w:val="08F33D56"/>
    <w:rsid w:val="08FA1588"/>
    <w:rsid w:val="09012917"/>
    <w:rsid w:val="090146C5"/>
    <w:rsid w:val="090917CB"/>
    <w:rsid w:val="090F576C"/>
    <w:rsid w:val="09273A00"/>
    <w:rsid w:val="092C1016"/>
    <w:rsid w:val="09434CDD"/>
    <w:rsid w:val="09613FEC"/>
    <w:rsid w:val="09676D56"/>
    <w:rsid w:val="09750C0F"/>
    <w:rsid w:val="097906FF"/>
    <w:rsid w:val="09893DB1"/>
    <w:rsid w:val="09AA6B0A"/>
    <w:rsid w:val="09AC5758"/>
    <w:rsid w:val="09B633A2"/>
    <w:rsid w:val="09CD27F9"/>
    <w:rsid w:val="09F36FDE"/>
    <w:rsid w:val="09F4422A"/>
    <w:rsid w:val="09F63AFE"/>
    <w:rsid w:val="09FB55B8"/>
    <w:rsid w:val="0A042457"/>
    <w:rsid w:val="0A053D41"/>
    <w:rsid w:val="0A0A1357"/>
    <w:rsid w:val="0A12645E"/>
    <w:rsid w:val="0A157CFC"/>
    <w:rsid w:val="0A233080"/>
    <w:rsid w:val="0A2A37A7"/>
    <w:rsid w:val="0A382368"/>
    <w:rsid w:val="0A4725AB"/>
    <w:rsid w:val="0A540824"/>
    <w:rsid w:val="0A617B17"/>
    <w:rsid w:val="0A650C83"/>
    <w:rsid w:val="0A682522"/>
    <w:rsid w:val="0A6D0D3A"/>
    <w:rsid w:val="0A7E1D45"/>
    <w:rsid w:val="0A82564E"/>
    <w:rsid w:val="0A960E3D"/>
    <w:rsid w:val="0A96708F"/>
    <w:rsid w:val="0A9877F2"/>
    <w:rsid w:val="0A9B28F7"/>
    <w:rsid w:val="0A9B7EA1"/>
    <w:rsid w:val="0AA479FE"/>
    <w:rsid w:val="0AAE3EBB"/>
    <w:rsid w:val="0AB35E1D"/>
    <w:rsid w:val="0AB94B2B"/>
    <w:rsid w:val="0ACF355F"/>
    <w:rsid w:val="0ADA51CD"/>
    <w:rsid w:val="0ADD081A"/>
    <w:rsid w:val="0AE222D4"/>
    <w:rsid w:val="0AF81AF7"/>
    <w:rsid w:val="0AFC15E8"/>
    <w:rsid w:val="0AFF48CA"/>
    <w:rsid w:val="0AFF6D0D"/>
    <w:rsid w:val="0B024724"/>
    <w:rsid w:val="0B1526A9"/>
    <w:rsid w:val="0B246449"/>
    <w:rsid w:val="0B350656"/>
    <w:rsid w:val="0B372620"/>
    <w:rsid w:val="0B3F3282"/>
    <w:rsid w:val="0B436851"/>
    <w:rsid w:val="0B4D1E43"/>
    <w:rsid w:val="0B4E7969"/>
    <w:rsid w:val="0B57681E"/>
    <w:rsid w:val="0B5A00BC"/>
    <w:rsid w:val="0B6251C3"/>
    <w:rsid w:val="0B6902FF"/>
    <w:rsid w:val="0B696551"/>
    <w:rsid w:val="0B7373D0"/>
    <w:rsid w:val="0B7C097A"/>
    <w:rsid w:val="0B903ADE"/>
    <w:rsid w:val="0B920297"/>
    <w:rsid w:val="0BB53545"/>
    <w:rsid w:val="0BBA0B5B"/>
    <w:rsid w:val="0BEA149C"/>
    <w:rsid w:val="0BED15C5"/>
    <w:rsid w:val="0BF4406D"/>
    <w:rsid w:val="0BF91683"/>
    <w:rsid w:val="0BF945B1"/>
    <w:rsid w:val="0C0544CC"/>
    <w:rsid w:val="0C1666D9"/>
    <w:rsid w:val="0C1B5AE1"/>
    <w:rsid w:val="0C216E2C"/>
    <w:rsid w:val="0C264442"/>
    <w:rsid w:val="0C347916"/>
    <w:rsid w:val="0C453C16"/>
    <w:rsid w:val="0C480432"/>
    <w:rsid w:val="0C491737"/>
    <w:rsid w:val="0C572C27"/>
    <w:rsid w:val="0C5E3BDC"/>
    <w:rsid w:val="0C607954"/>
    <w:rsid w:val="0C6649C2"/>
    <w:rsid w:val="0C727688"/>
    <w:rsid w:val="0C7B478E"/>
    <w:rsid w:val="0C85560D"/>
    <w:rsid w:val="0C8C699B"/>
    <w:rsid w:val="0C915D60"/>
    <w:rsid w:val="0C9814B6"/>
    <w:rsid w:val="0CA84E57"/>
    <w:rsid w:val="0CAF7E46"/>
    <w:rsid w:val="0CC71781"/>
    <w:rsid w:val="0CCC4C4B"/>
    <w:rsid w:val="0CD143AE"/>
    <w:rsid w:val="0CE71E24"/>
    <w:rsid w:val="0CED239A"/>
    <w:rsid w:val="0CF10B47"/>
    <w:rsid w:val="0D0227BA"/>
    <w:rsid w:val="0D091D9A"/>
    <w:rsid w:val="0D0C3638"/>
    <w:rsid w:val="0D10137A"/>
    <w:rsid w:val="0D1F511A"/>
    <w:rsid w:val="0D246BD4"/>
    <w:rsid w:val="0D270472"/>
    <w:rsid w:val="0D330BC5"/>
    <w:rsid w:val="0D374B59"/>
    <w:rsid w:val="0D38442D"/>
    <w:rsid w:val="0D3D37F2"/>
    <w:rsid w:val="0D411534"/>
    <w:rsid w:val="0D417786"/>
    <w:rsid w:val="0D5C1B29"/>
    <w:rsid w:val="0D7F205C"/>
    <w:rsid w:val="0D84744D"/>
    <w:rsid w:val="0D870F11"/>
    <w:rsid w:val="0D9755F8"/>
    <w:rsid w:val="0D9B7B45"/>
    <w:rsid w:val="0DA815B3"/>
    <w:rsid w:val="0DA9532B"/>
    <w:rsid w:val="0DAE2941"/>
    <w:rsid w:val="0DAE649D"/>
    <w:rsid w:val="0DB25485"/>
    <w:rsid w:val="0DBC505E"/>
    <w:rsid w:val="0DC64126"/>
    <w:rsid w:val="0DC7755F"/>
    <w:rsid w:val="0DD405FA"/>
    <w:rsid w:val="0E213113"/>
    <w:rsid w:val="0E337741"/>
    <w:rsid w:val="0E395C1C"/>
    <w:rsid w:val="0E4A266A"/>
    <w:rsid w:val="0E4A4418"/>
    <w:rsid w:val="0E4B63E2"/>
    <w:rsid w:val="0E4F715E"/>
    <w:rsid w:val="0E567261"/>
    <w:rsid w:val="0E59465B"/>
    <w:rsid w:val="0E5B7128"/>
    <w:rsid w:val="0E6354DA"/>
    <w:rsid w:val="0E6F0323"/>
    <w:rsid w:val="0E745939"/>
    <w:rsid w:val="0E8042DE"/>
    <w:rsid w:val="0E87741A"/>
    <w:rsid w:val="0E8A515C"/>
    <w:rsid w:val="0E903DF5"/>
    <w:rsid w:val="0E975183"/>
    <w:rsid w:val="0EC82A4F"/>
    <w:rsid w:val="0ECE5049"/>
    <w:rsid w:val="0ED939EE"/>
    <w:rsid w:val="0EF04AC2"/>
    <w:rsid w:val="0F0373B1"/>
    <w:rsid w:val="0F0740B7"/>
    <w:rsid w:val="0F1A028E"/>
    <w:rsid w:val="0F360E40"/>
    <w:rsid w:val="0F3B1FB3"/>
    <w:rsid w:val="0F3B6457"/>
    <w:rsid w:val="0F461BB7"/>
    <w:rsid w:val="0F590216"/>
    <w:rsid w:val="0F5A68DD"/>
    <w:rsid w:val="0F5B2655"/>
    <w:rsid w:val="0F5D461F"/>
    <w:rsid w:val="0F607C6B"/>
    <w:rsid w:val="0F6459AD"/>
    <w:rsid w:val="0F784FB5"/>
    <w:rsid w:val="0F7D081D"/>
    <w:rsid w:val="0F824086"/>
    <w:rsid w:val="0F9D4A1B"/>
    <w:rsid w:val="0FA40799"/>
    <w:rsid w:val="0FA83AEC"/>
    <w:rsid w:val="0FAB0EE6"/>
    <w:rsid w:val="0FCB1589"/>
    <w:rsid w:val="0FCF029B"/>
    <w:rsid w:val="0FD22917"/>
    <w:rsid w:val="0FDE128A"/>
    <w:rsid w:val="0FF3288D"/>
    <w:rsid w:val="0FFA3C1C"/>
    <w:rsid w:val="100B4351"/>
    <w:rsid w:val="10125409"/>
    <w:rsid w:val="10182972"/>
    <w:rsid w:val="102962AF"/>
    <w:rsid w:val="104233D7"/>
    <w:rsid w:val="1045758D"/>
    <w:rsid w:val="10594DE6"/>
    <w:rsid w:val="105E035B"/>
    <w:rsid w:val="106043C7"/>
    <w:rsid w:val="10654F0F"/>
    <w:rsid w:val="106D2640"/>
    <w:rsid w:val="10947BCD"/>
    <w:rsid w:val="109776BD"/>
    <w:rsid w:val="10A100D7"/>
    <w:rsid w:val="10AE35A2"/>
    <w:rsid w:val="10B11D8F"/>
    <w:rsid w:val="10B4201D"/>
    <w:rsid w:val="10B71B0D"/>
    <w:rsid w:val="10B842E3"/>
    <w:rsid w:val="10C34956"/>
    <w:rsid w:val="10C761F4"/>
    <w:rsid w:val="10E36DA6"/>
    <w:rsid w:val="10F92125"/>
    <w:rsid w:val="110411F6"/>
    <w:rsid w:val="110A7E8F"/>
    <w:rsid w:val="111E1B8C"/>
    <w:rsid w:val="11217992"/>
    <w:rsid w:val="1122167C"/>
    <w:rsid w:val="116752E1"/>
    <w:rsid w:val="118428AE"/>
    <w:rsid w:val="118E286E"/>
    <w:rsid w:val="11967974"/>
    <w:rsid w:val="119836EC"/>
    <w:rsid w:val="11B00A36"/>
    <w:rsid w:val="11B15840"/>
    <w:rsid w:val="11B30526"/>
    <w:rsid w:val="11B36778"/>
    <w:rsid w:val="11B50946"/>
    <w:rsid w:val="11BD69D3"/>
    <w:rsid w:val="11BE6AD3"/>
    <w:rsid w:val="11D02E86"/>
    <w:rsid w:val="11DF756D"/>
    <w:rsid w:val="11F33019"/>
    <w:rsid w:val="11F528ED"/>
    <w:rsid w:val="11FC1ECD"/>
    <w:rsid w:val="12072620"/>
    <w:rsid w:val="120D5E88"/>
    <w:rsid w:val="121C60CC"/>
    <w:rsid w:val="12257600"/>
    <w:rsid w:val="122B4561"/>
    <w:rsid w:val="123478B9"/>
    <w:rsid w:val="124949E7"/>
    <w:rsid w:val="12543AB7"/>
    <w:rsid w:val="12635AA8"/>
    <w:rsid w:val="127842F5"/>
    <w:rsid w:val="12915003"/>
    <w:rsid w:val="12992410"/>
    <w:rsid w:val="12A61E39"/>
    <w:rsid w:val="12B614F8"/>
    <w:rsid w:val="12D1335A"/>
    <w:rsid w:val="12D90460"/>
    <w:rsid w:val="12E50BB3"/>
    <w:rsid w:val="12F11306"/>
    <w:rsid w:val="12F72695"/>
    <w:rsid w:val="12FB6C31"/>
    <w:rsid w:val="130B533F"/>
    <w:rsid w:val="130D010A"/>
    <w:rsid w:val="130D3C66"/>
    <w:rsid w:val="1324792E"/>
    <w:rsid w:val="132D4308"/>
    <w:rsid w:val="13370CE3"/>
    <w:rsid w:val="133E6515"/>
    <w:rsid w:val="1347448C"/>
    <w:rsid w:val="13596EAB"/>
    <w:rsid w:val="13637D2A"/>
    <w:rsid w:val="137361BF"/>
    <w:rsid w:val="13750189"/>
    <w:rsid w:val="13857CA0"/>
    <w:rsid w:val="13995D64"/>
    <w:rsid w:val="13A66595"/>
    <w:rsid w:val="13B61434"/>
    <w:rsid w:val="13B75003"/>
    <w:rsid w:val="13BA3DEE"/>
    <w:rsid w:val="13BF5A76"/>
    <w:rsid w:val="13C25052"/>
    <w:rsid w:val="13C92283"/>
    <w:rsid w:val="13CE5AEB"/>
    <w:rsid w:val="13CE7899"/>
    <w:rsid w:val="13E72709"/>
    <w:rsid w:val="13F54E26"/>
    <w:rsid w:val="13FE7EE7"/>
    <w:rsid w:val="13FF5CA5"/>
    <w:rsid w:val="14060DE1"/>
    <w:rsid w:val="140C5C8F"/>
    <w:rsid w:val="14117786"/>
    <w:rsid w:val="14157276"/>
    <w:rsid w:val="14200292"/>
    <w:rsid w:val="143516C6"/>
    <w:rsid w:val="143811B7"/>
    <w:rsid w:val="143B7744"/>
    <w:rsid w:val="143D057B"/>
    <w:rsid w:val="14411E19"/>
    <w:rsid w:val="14495172"/>
    <w:rsid w:val="14587163"/>
    <w:rsid w:val="14593607"/>
    <w:rsid w:val="145C4EA5"/>
    <w:rsid w:val="146D2C0E"/>
    <w:rsid w:val="147321EF"/>
    <w:rsid w:val="1488724D"/>
    <w:rsid w:val="14972381"/>
    <w:rsid w:val="14B44CE1"/>
    <w:rsid w:val="14B46A8F"/>
    <w:rsid w:val="14B52807"/>
    <w:rsid w:val="14CB3DD9"/>
    <w:rsid w:val="14D74C1D"/>
    <w:rsid w:val="14DC1B42"/>
    <w:rsid w:val="14E32ED1"/>
    <w:rsid w:val="14EB7FD7"/>
    <w:rsid w:val="14EF5D19"/>
    <w:rsid w:val="1505553D"/>
    <w:rsid w:val="15080B89"/>
    <w:rsid w:val="150C0679"/>
    <w:rsid w:val="151E03AD"/>
    <w:rsid w:val="151E0B36"/>
    <w:rsid w:val="15202377"/>
    <w:rsid w:val="15323E58"/>
    <w:rsid w:val="15363948"/>
    <w:rsid w:val="153674A4"/>
    <w:rsid w:val="153D4CD7"/>
    <w:rsid w:val="155838BF"/>
    <w:rsid w:val="156264EB"/>
    <w:rsid w:val="156877E3"/>
    <w:rsid w:val="156C55BC"/>
    <w:rsid w:val="157D3325"/>
    <w:rsid w:val="15833A7D"/>
    <w:rsid w:val="158521DA"/>
    <w:rsid w:val="159A3ED7"/>
    <w:rsid w:val="159D5775"/>
    <w:rsid w:val="15D8055B"/>
    <w:rsid w:val="15DD5B72"/>
    <w:rsid w:val="15E30EA1"/>
    <w:rsid w:val="160475A2"/>
    <w:rsid w:val="16070E41"/>
    <w:rsid w:val="1607143B"/>
    <w:rsid w:val="161F618A"/>
    <w:rsid w:val="162C08A7"/>
    <w:rsid w:val="163141F5"/>
    <w:rsid w:val="163A7468"/>
    <w:rsid w:val="16461969"/>
    <w:rsid w:val="16491459"/>
    <w:rsid w:val="16504596"/>
    <w:rsid w:val="165879B7"/>
    <w:rsid w:val="166B7FD3"/>
    <w:rsid w:val="166D65D9"/>
    <w:rsid w:val="166E2C6E"/>
    <w:rsid w:val="16921052"/>
    <w:rsid w:val="16995DF6"/>
    <w:rsid w:val="16A36DBB"/>
    <w:rsid w:val="16C136E5"/>
    <w:rsid w:val="16DE4297"/>
    <w:rsid w:val="16E86EC4"/>
    <w:rsid w:val="16EA4CA9"/>
    <w:rsid w:val="16FF3FF7"/>
    <w:rsid w:val="17072BD0"/>
    <w:rsid w:val="171B54BE"/>
    <w:rsid w:val="1726179A"/>
    <w:rsid w:val="17285513"/>
    <w:rsid w:val="172B6DB1"/>
    <w:rsid w:val="17345C65"/>
    <w:rsid w:val="1756153E"/>
    <w:rsid w:val="17864105"/>
    <w:rsid w:val="17967340"/>
    <w:rsid w:val="17A315CA"/>
    <w:rsid w:val="17C446B7"/>
    <w:rsid w:val="17DE3E23"/>
    <w:rsid w:val="17E3743F"/>
    <w:rsid w:val="18055854"/>
    <w:rsid w:val="180970F2"/>
    <w:rsid w:val="180C273E"/>
    <w:rsid w:val="18216F24"/>
    <w:rsid w:val="182E79B3"/>
    <w:rsid w:val="183121A5"/>
    <w:rsid w:val="18365A0D"/>
    <w:rsid w:val="18383533"/>
    <w:rsid w:val="184243B2"/>
    <w:rsid w:val="185D11EC"/>
    <w:rsid w:val="186E164B"/>
    <w:rsid w:val="187B08B7"/>
    <w:rsid w:val="18811059"/>
    <w:rsid w:val="188449CB"/>
    <w:rsid w:val="18890233"/>
    <w:rsid w:val="18891FE1"/>
    <w:rsid w:val="18980476"/>
    <w:rsid w:val="189B3AC2"/>
    <w:rsid w:val="18BD1C8B"/>
    <w:rsid w:val="18D53478"/>
    <w:rsid w:val="18E11E1D"/>
    <w:rsid w:val="18EA21F0"/>
    <w:rsid w:val="18F45F0D"/>
    <w:rsid w:val="18F64A8A"/>
    <w:rsid w:val="18FC0A05"/>
    <w:rsid w:val="1906204F"/>
    <w:rsid w:val="191A5124"/>
    <w:rsid w:val="192B12EA"/>
    <w:rsid w:val="192D6E10"/>
    <w:rsid w:val="192F4936"/>
    <w:rsid w:val="193D1546"/>
    <w:rsid w:val="194505FE"/>
    <w:rsid w:val="194859F8"/>
    <w:rsid w:val="196A3BC0"/>
    <w:rsid w:val="19996254"/>
    <w:rsid w:val="19DD25E4"/>
    <w:rsid w:val="19E74BB9"/>
    <w:rsid w:val="1A0C2EC9"/>
    <w:rsid w:val="1A1D0C33"/>
    <w:rsid w:val="1A246465"/>
    <w:rsid w:val="1A2F6BB8"/>
    <w:rsid w:val="1A304E0A"/>
    <w:rsid w:val="1A383CBF"/>
    <w:rsid w:val="1A444411"/>
    <w:rsid w:val="1A462A1B"/>
    <w:rsid w:val="1A512FD2"/>
    <w:rsid w:val="1A6075DA"/>
    <w:rsid w:val="1A66082C"/>
    <w:rsid w:val="1A6C1BBA"/>
    <w:rsid w:val="1A7840BB"/>
    <w:rsid w:val="1A91400F"/>
    <w:rsid w:val="1A9865E9"/>
    <w:rsid w:val="1A9A04D5"/>
    <w:rsid w:val="1AA43102"/>
    <w:rsid w:val="1AA475E6"/>
    <w:rsid w:val="1AA72BF2"/>
    <w:rsid w:val="1AA94BBC"/>
    <w:rsid w:val="1AB53561"/>
    <w:rsid w:val="1ADF238C"/>
    <w:rsid w:val="1AE43B4E"/>
    <w:rsid w:val="1AE87493"/>
    <w:rsid w:val="1AE94FB9"/>
    <w:rsid w:val="1AE97737"/>
    <w:rsid w:val="1AF04599"/>
    <w:rsid w:val="1AF8344E"/>
    <w:rsid w:val="1AFA0549"/>
    <w:rsid w:val="1AFF273F"/>
    <w:rsid w:val="1AFF47DC"/>
    <w:rsid w:val="1B0818E3"/>
    <w:rsid w:val="1B0D65C9"/>
    <w:rsid w:val="1B184A03"/>
    <w:rsid w:val="1B3501FE"/>
    <w:rsid w:val="1B3C158C"/>
    <w:rsid w:val="1B4162C9"/>
    <w:rsid w:val="1B4346C9"/>
    <w:rsid w:val="1B46240B"/>
    <w:rsid w:val="1B4B367E"/>
    <w:rsid w:val="1B506361"/>
    <w:rsid w:val="1B506DE6"/>
    <w:rsid w:val="1B542D7A"/>
    <w:rsid w:val="1B5543FC"/>
    <w:rsid w:val="1B5B127F"/>
    <w:rsid w:val="1B684698"/>
    <w:rsid w:val="1B7619A8"/>
    <w:rsid w:val="1B830F69"/>
    <w:rsid w:val="1B8371BB"/>
    <w:rsid w:val="1B84191A"/>
    <w:rsid w:val="1B882A24"/>
    <w:rsid w:val="1BA56CF7"/>
    <w:rsid w:val="1BAD248A"/>
    <w:rsid w:val="1BB9498B"/>
    <w:rsid w:val="1BBE6445"/>
    <w:rsid w:val="1BCC2910"/>
    <w:rsid w:val="1BD96D5D"/>
    <w:rsid w:val="1BE7256B"/>
    <w:rsid w:val="1BEA0FE8"/>
    <w:rsid w:val="1C085913"/>
    <w:rsid w:val="1C0E117B"/>
    <w:rsid w:val="1C16002F"/>
    <w:rsid w:val="1C1945A6"/>
    <w:rsid w:val="1C1B3898"/>
    <w:rsid w:val="1C1D3957"/>
    <w:rsid w:val="1C1E6EE4"/>
    <w:rsid w:val="1C2269D4"/>
    <w:rsid w:val="1C362480"/>
    <w:rsid w:val="1C451422"/>
    <w:rsid w:val="1C623275"/>
    <w:rsid w:val="1C7D00AF"/>
    <w:rsid w:val="1C827473"/>
    <w:rsid w:val="1C8431EB"/>
    <w:rsid w:val="1C850D11"/>
    <w:rsid w:val="1C8B457A"/>
    <w:rsid w:val="1C8F393E"/>
    <w:rsid w:val="1C9444C1"/>
    <w:rsid w:val="1CAC2742"/>
    <w:rsid w:val="1CDB5968"/>
    <w:rsid w:val="1CE04199"/>
    <w:rsid w:val="1CE1063D"/>
    <w:rsid w:val="1CF76192"/>
    <w:rsid w:val="1D0165EA"/>
    <w:rsid w:val="1D2422D8"/>
    <w:rsid w:val="1D2642A2"/>
    <w:rsid w:val="1D2B3667"/>
    <w:rsid w:val="1D30774C"/>
    <w:rsid w:val="1D3F35B6"/>
    <w:rsid w:val="1D556936"/>
    <w:rsid w:val="1D596426"/>
    <w:rsid w:val="1D7757E7"/>
    <w:rsid w:val="1D8D4321"/>
    <w:rsid w:val="1D9F45B5"/>
    <w:rsid w:val="1DA82F09"/>
    <w:rsid w:val="1DBB0293"/>
    <w:rsid w:val="1DBC4C07"/>
    <w:rsid w:val="1DBE44DB"/>
    <w:rsid w:val="1DC345E1"/>
    <w:rsid w:val="1DC35F95"/>
    <w:rsid w:val="1DE81558"/>
    <w:rsid w:val="1E05035C"/>
    <w:rsid w:val="1E14705E"/>
    <w:rsid w:val="1E162569"/>
    <w:rsid w:val="1E171E3D"/>
    <w:rsid w:val="1E220F0E"/>
    <w:rsid w:val="1E34479D"/>
    <w:rsid w:val="1E37603B"/>
    <w:rsid w:val="1E4F7829"/>
    <w:rsid w:val="1E544E3F"/>
    <w:rsid w:val="1E65704C"/>
    <w:rsid w:val="1E7B2E90"/>
    <w:rsid w:val="1E7B3D90"/>
    <w:rsid w:val="1E870D71"/>
    <w:rsid w:val="1E9516DF"/>
    <w:rsid w:val="1EA41923"/>
    <w:rsid w:val="1EB23704"/>
    <w:rsid w:val="1EB63404"/>
    <w:rsid w:val="1EB95DF3"/>
    <w:rsid w:val="1EBA77FA"/>
    <w:rsid w:val="1EBB0A1A"/>
    <w:rsid w:val="1EBB4EBE"/>
    <w:rsid w:val="1EFD1033"/>
    <w:rsid w:val="1F0C74C8"/>
    <w:rsid w:val="1F0E4FEE"/>
    <w:rsid w:val="1F212F73"/>
    <w:rsid w:val="1F2A2C2F"/>
    <w:rsid w:val="1F38650F"/>
    <w:rsid w:val="1F52137F"/>
    <w:rsid w:val="1F72557D"/>
    <w:rsid w:val="1F7D4C37"/>
    <w:rsid w:val="1F947BE9"/>
    <w:rsid w:val="1FB21E1D"/>
    <w:rsid w:val="1FBF0B3B"/>
    <w:rsid w:val="1FC00BA4"/>
    <w:rsid w:val="1FCF0C21"/>
    <w:rsid w:val="1FDC50EC"/>
    <w:rsid w:val="1FDE39D7"/>
    <w:rsid w:val="1FE61544"/>
    <w:rsid w:val="1FEF4A96"/>
    <w:rsid w:val="1FEF6BCD"/>
    <w:rsid w:val="2000198D"/>
    <w:rsid w:val="20014B53"/>
    <w:rsid w:val="20146634"/>
    <w:rsid w:val="201725C8"/>
    <w:rsid w:val="201E16E6"/>
    <w:rsid w:val="202D3B9A"/>
    <w:rsid w:val="20335306"/>
    <w:rsid w:val="203B0065"/>
    <w:rsid w:val="204131A1"/>
    <w:rsid w:val="204C04C4"/>
    <w:rsid w:val="20560211"/>
    <w:rsid w:val="20623843"/>
    <w:rsid w:val="20827A42"/>
    <w:rsid w:val="208D745C"/>
    <w:rsid w:val="20931C4F"/>
    <w:rsid w:val="20945F2C"/>
    <w:rsid w:val="20B35E4D"/>
    <w:rsid w:val="20B56069"/>
    <w:rsid w:val="20C31E08"/>
    <w:rsid w:val="20C34F4E"/>
    <w:rsid w:val="20C53DD2"/>
    <w:rsid w:val="20C718F8"/>
    <w:rsid w:val="20CC6F0F"/>
    <w:rsid w:val="20D34741"/>
    <w:rsid w:val="20D36967"/>
    <w:rsid w:val="20D800EF"/>
    <w:rsid w:val="20DD736E"/>
    <w:rsid w:val="20DE6C42"/>
    <w:rsid w:val="20E701EC"/>
    <w:rsid w:val="20EB1A8B"/>
    <w:rsid w:val="20EE50D7"/>
    <w:rsid w:val="20F070A1"/>
    <w:rsid w:val="210C7C53"/>
    <w:rsid w:val="2114213B"/>
    <w:rsid w:val="211508B6"/>
    <w:rsid w:val="21162880"/>
    <w:rsid w:val="21330813"/>
    <w:rsid w:val="21393401"/>
    <w:rsid w:val="213B5E42"/>
    <w:rsid w:val="214B42D7"/>
    <w:rsid w:val="21535882"/>
    <w:rsid w:val="215F7D83"/>
    <w:rsid w:val="2164183D"/>
    <w:rsid w:val="21747CD2"/>
    <w:rsid w:val="217575A6"/>
    <w:rsid w:val="21823A71"/>
    <w:rsid w:val="21885798"/>
    <w:rsid w:val="21B93937"/>
    <w:rsid w:val="21C55DF6"/>
    <w:rsid w:val="21DF0EC4"/>
    <w:rsid w:val="21F169D8"/>
    <w:rsid w:val="220B1557"/>
    <w:rsid w:val="220F17A9"/>
    <w:rsid w:val="222F1E4B"/>
    <w:rsid w:val="2230171F"/>
    <w:rsid w:val="225D0766"/>
    <w:rsid w:val="22625D7D"/>
    <w:rsid w:val="2265761B"/>
    <w:rsid w:val="228850B7"/>
    <w:rsid w:val="22943A5C"/>
    <w:rsid w:val="229771F9"/>
    <w:rsid w:val="22993768"/>
    <w:rsid w:val="229D6DB5"/>
    <w:rsid w:val="229E793E"/>
    <w:rsid w:val="22AA3280"/>
    <w:rsid w:val="22AD1BFA"/>
    <w:rsid w:val="22B365D8"/>
    <w:rsid w:val="22B67E76"/>
    <w:rsid w:val="22BB548D"/>
    <w:rsid w:val="22C72083"/>
    <w:rsid w:val="22D30A28"/>
    <w:rsid w:val="22D622C7"/>
    <w:rsid w:val="22E24891"/>
    <w:rsid w:val="22F32E79"/>
    <w:rsid w:val="22F4274D"/>
    <w:rsid w:val="22F95FB5"/>
    <w:rsid w:val="230E1A60"/>
    <w:rsid w:val="23166B67"/>
    <w:rsid w:val="231D6147"/>
    <w:rsid w:val="23203542"/>
    <w:rsid w:val="232079E6"/>
    <w:rsid w:val="2322375E"/>
    <w:rsid w:val="23272B22"/>
    <w:rsid w:val="234A4F88"/>
    <w:rsid w:val="234B6EF7"/>
    <w:rsid w:val="235002CB"/>
    <w:rsid w:val="235A6A54"/>
    <w:rsid w:val="23641680"/>
    <w:rsid w:val="23733FB9"/>
    <w:rsid w:val="23775858"/>
    <w:rsid w:val="237D224F"/>
    <w:rsid w:val="23810484"/>
    <w:rsid w:val="23812232"/>
    <w:rsid w:val="238910E7"/>
    <w:rsid w:val="239006C7"/>
    <w:rsid w:val="23957A8C"/>
    <w:rsid w:val="239C254B"/>
    <w:rsid w:val="23CD36CA"/>
    <w:rsid w:val="23D700A4"/>
    <w:rsid w:val="23D83289"/>
    <w:rsid w:val="23DF1969"/>
    <w:rsid w:val="23EB6DA1"/>
    <w:rsid w:val="23F312F4"/>
    <w:rsid w:val="240A1975"/>
    <w:rsid w:val="2420161F"/>
    <w:rsid w:val="24305262"/>
    <w:rsid w:val="243674C1"/>
    <w:rsid w:val="24415E66"/>
    <w:rsid w:val="244668BA"/>
    <w:rsid w:val="244A6AC8"/>
    <w:rsid w:val="245060A9"/>
    <w:rsid w:val="24634140"/>
    <w:rsid w:val="246A716A"/>
    <w:rsid w:val="246F478D"/>
    <w:rsid w:val="247C0C4C"/>
    <w:rsid w:val="248014F2"/>
    <w:rsid w:val="24831FDA"/>
    <w:rsid w:val="24832476"/>
    <w:rsid w:val="24855D52"/>
    <w:rsid w:val="248A5117"/>
    <w:rsid w:val="248D10AB"/>
    <w:rsid w:val="24945F95"/>
    <w:rsid w:val="249D7540"/>
    <w:rsid w:val="249E0BC2"/>
    <w:rsid w:val="24A3442A"/>
    <w:rsid w:val="24A84AD4"/>
    <w:rsid w:val="24AE5267"/>
    <w:rsid w:val="24B2466D"/>
    <w:rsid w:val="24BF6C72"/>
    <w:rsid w:val="24C22B02"/>
    <w:rsid w:val="24D12D46"/>
    <w:rsid w:val="24D92020"/>
    <w:rsid w:val="24DE1906"/>
    <w:rsid w:val="24DE36B4"/>
    <w:rsid w:val="24E24D34"/>
    <w:rsid w:val="24E30CCB"/>
    <w:rsid w:val="24EC7B7F"/>
    <w:rsid w:val="24F20F0E"/>
    <w:rsid w:val="24FD0A87"/>
    <w:rsid w:val="25021151"/>
    <w:rsid w:val="250F431B"/>
    <w:rsid w:val="25276E09"/>
    <w:rsid w:val="252C0BFF"/>
    <w:rsid w:val="252E63EA"/>
    <w:rsid w:val="252F5CBE"/>
    <w:rsid w:val="25425ABD"/>
    <w:rsid w:val="255045B2"/>
    <w:rsid w:val="25513E86"/>
    <w:rsid w:val="25641E0C"/>
    <w:rsid w:val="256F255E"/>
    <w:rsid w:val="258000FC"/>
    <w:rsid w:val="258129BE"/>
    <w:rsid w:val="25822292"/>
    <w:rsid w:val="25891872"/>
    <w:rsid w:val="258B55EA"/>
    <w:rsid w:val="258D2929"/>
    <w:rsid w:val="25956469"/>
    <w:rsid w:val="259B3353"/>
    <w:rsid w:val="259C77F7"/>
    <w:rsid w:val="25E42EBF"/>
    <w:rsid w:val="25E42F4C"/>
    <w:rsid w:val="25E80121"/>
    <w:rsid w:val="25F50CB6"/>
    <w:rsid w:val="26031625"/>
    <w:rsid w:val="26064C71"/>
    <w:rsid w:val="26143832"/>
    <w:rsid w:val="2628108B"/>
    <w:rsid w:val="26301CEE"/>
    <w:rsid w:val="26404627"/>
    <w:rsid w:val="2641214D"/>
    <w:rsid w:val="265E2CFF"/>
    <w:rsid w:val="266D6A9E"/>
    <w:rsid w:val="26881B2A"/>
    <w:rsid w:val="26A471A6"/>
    <w:rsid w:val="26B80661"/>
    <w:rsid w:val="26C16DEA"/>
    <w:rsid w:val="26CA3EF0"/>
    <w:rsid w:val="26F176CF"/>
    <w:rsid w:val="26F96584"/>
    <w:rsid w:val="26FD5DCD"/>
    <w:rsid w:val="270C4509"/>
    <w:rsid w:val="27233601"/>
    <w:rsid w:val="2727432F"/>
    <w:rsid w:val="273656BF"/>
    <w:rsid w:val="27372964"/>
    <w:rsid w:val="2749750B"/>
    <w:rsid w:val="274C7976"/>
    <w:rsid w:val="2751016E"/>
    <w:rsid w:val="275814FC"/>
    <w:rsid w:val="27595274"/>
    <w:rsid w:val="27612887"/>
    <w:rsid w:val="276E31A4"/>
    <w:rsid w:val="27802801"/>
    <w:rsid w:val="278C564A"/>
    <w:rsid w:val="278F1023"/>
    <w:rsid w:val="279A1481"/>
    <w:rsid w:val="279D3598"/>
    <w:rsid w:val="27A83F1D"/>
    <w:rsid w:val="27AB1F74"/>
    <w:rsid w:val="27AC35F6"/>
    <w:rsid w:val="27B01338"/>
    <w:rsid w:val="27BF3329"/>
    <w:rsid w:val="27C60B5C"/>
    <w:rsid w:val="27D06FB5"/>
    <w:rsid w:val="27D8568C"/>
    <w:rsid w:val="27DD5EA5"/>
    <w:rsid w:val="27E72880"/>
    <w:rsid w:val="28074CD0"/>
    <w:rsid w:val="280D678A"/>
    <w:rsid w:val="2813740A"/>
    <w:rsid w:val="28175856"/>
    <w:rsid w:val="28247630"/>
    <w:rsid w:val="282F4953"/>
    <w:rsid w:val="282F7F92"/>
    <w:rsid w:val="28391121"/>
    <w:rsid w:val="28680AD8"/>
    <w:rsid w:val="28724840"/>
    <w:rsid w:val="287967F4"/>
    <w:rsid w:val="287B6958"/>
    <w:rsid w:val="287F00D6"/>
    <w:rsid w:val="28814A83"/>
    <w:rsid w:val="28846321"/>
    <w:rsid w:val="288D3427"/>
    <w:rsid w:val="288E0F4E"/>
    <w:rsid w:val="28A2470F"/>
    <w:rsid w:val="28AF7842"/>
    <w:rsid w:val="28B210E0"/>
    <w:rsid w:val="28CA01D8"/>
    <w:rsid w:val="28D0421C"/>
    <w:rsid w:val="28DC7F0B"/>
    <w:rsid w:val="28EF40E2"/>
    <w:rsid w:val="28F214DC"/>
    <w:rsid w:val="28F2772E"/>
    <w:rsid w:val="28F72F97"/>
    <w:rsid w:val="28FB2A87"/>
    <w:rsid w:val="290731DA"/>
    <w:rsid w:val="29095FDB"/>
    <w:rsid w:val="291122AA"/>
    <w:rsid w:val="29183639"/>
    <w:rsid w:val="291D4652"/>
    <w:rsid w:val="29233D8C"/>
    <w:rsid w:val="293715C4"/>
    <w:rsid w:val="294A30C6"/>
    <w:rsid w:val="2957178D"/>
    <w:rsid w:val="2964687E"/>
    <w:rsid w:val="296E563B"/>
    <w:rsid w:val="296E789C"/>
    <w:rsid w:val="29736AC1"/>
    <w:rsid w:val="297A26A8"/>
    <w:rsid w:val="297D524A"/>
    <w:rsid w:val="29806A9C"/>
    <w:rsid w:val="29852351"/>
    <w:rsid w:val="298A5BB9"/>
    <w:rsid w:val="298B3E14"/>
    <w:rsid w:val="298C7B83"/>
    <w:rsid w:val="29910CF5"/>
    <w:rsid w:val="29986528"/>
    <w:rsid w:val="29A41709"/>
    <w:rsid w:val="29AB625B"/>
    <w:rsid w:val="29AE6BF1"/>
    <w:rsid w:val="29B175E9"/>
    <w:rsid w:val="29B449E4"/>
    <w:rsid w:val="29B6075C"/>
    <w:rsid w:val="29BB2216"/>
    <w:rsid w:val="29C86C78"/>
    <w:rsid w:val="29C94933"/>
    <w:rsid w:val="29CE5AA6"/>
    <w:rsid w:val="29CE7125"/>
    <w:rsid w:val="29FF65A7"/>
    <w:rsid w:val="2A1A0CEB"/>
    <w:rsid w:val="2A1C3834"/>
    <w:rsid w:val="2A1D1D28"/>
    <w:rsid w:val="2A2474D0"/>
    <w:rsid w:val="2A2658E2"/>
    <w:rsid w:val="2A314286"/>
    <w:rsid w:val="2A355B25"/>
    <w:rsid w:val="2A3A313B"/>
    <w:rsid w:val="2A3C5105"/>
    <w:rsid w:val="2A41096D"/>
    <w:rsid w:val="2A554419"/>
    <w:rsid w:val="2A585CB7"/>
    <w:rsid w:val="2A6603D4"/>
    <w:rsid w:val="2A6D3510"/>
    <w:rsid w:val="2A790107"/>
    <w:rsid w:val="2A8675BA"/>
    <w:rsid w:val="2A880B33"/>
    <w:rsid w:val="2A8940C2"/>
    <w:rsid w:val="2A8D770F"/>
    <w:rsid w:val="2A8E3487"/>
    <w:rsid w:val="2A8F7980"/>
    <w:rsid w:val="2A917854"/>
    <w:rsid w:val="2A9C2048"/>
    <w:rsid w:val="2A9F7442"/>
    <w:rsid w:val="2AAB228B"/>
    <w:rsid w:val="2AAE58D7"/>
    <w:rsid w:val="2ACA0963"/>
    <w:rsid w:val="2AD215C5"/>
    <w:rsid w:val="2AD43590"/>
    <w:rsid w:val="2AE17A5A"/>
    <w:rsid w:val="2AE632C3"/>
    <w:rsid w:val="2AFB6893"/>
    <w:rsid w:val="2B02634F"/>
    <w:rsid w:val="2B042FF6"/>
    <w:rsid w:val="2B141BDE"/>
    <w:rsid w:val="2B204A27"/>
    <w:rsid w:val="2B243F83"/>
    <w:rsid w:val="2B25203D"/>
    <w:rsid w:val="2B285689"/>
    <w:rsid w:val="2B2D4A4E"/>
    <w:rsid w:val="2B32787F"/>
    <w:rsid w:val="2B33475A"/>
    <w:rsid w:val="2B395AE8"/>
    <w:rsid w:val="2B397896"/>
    <w:rsid w:val="2B3E6477"/>
    <w:rsid w:val="2B41674B"/>
    <w:rsid w:val="2B4D50F0"/>
    <w:rsid w:val="2B597F39"/>
    <w:rsid w:val="2B732DA8"/>
    <w:rsid w:val="2B916B5A"/>
    <w:rsid w:val="2B9B099A"/>
    <w:rsid w:val="2BA81B0F"/>
    <w:rsid w:val="2BAC0068"/>
    <w:rsid w:val="2BB46F1D"/>
    <w:rsid w:val="2BB86A0D"/>
    <w:rsid w:val="2BC03B14"/>
    <w:rsid w:val="2BD870AF"/>
    <w:rsid w:val="2BDF043E"/>
    <w:rsid w:val="2BE23A8A"/>
    <w:rsid w:val="2BE617CC"/>
    <w:rsid w:val="2BF0264B"/>
    <w:rsid w:val="2C041C52"/>
    <w:rsid w:val="2C0A4D8F"/>
    <w:rsid w:val="2C0C4FAB"/>
    <w:rsid w:val="2C155C0E"/>
    <w:rsid w:val="2C2218DD"/>
    <w:rsid w:val="2C262215"/>
    <w:rsid w:val="2C26606D"/>
    <w:rsid w:val="2C284BF8"/>
    <w:rsid w:val="2C300C99"/>
    <w:rsid w:val="2C351E0C"/>
    <w:rsid w:val="2C386E53"/>
    <w:rsid w:val="2C3D33B6"/>
    <w:rsid w:val="2C4934E1"/>
    <w:rsid w:val="2C4B162F"/>
    <w:rsid w:val="2C5B55EB"/>
    <w:rsid w:val="2C5D1363"/>
    <w:rsid w:val="2C6D3C9C"/>
    <w:rsid w:val="2C78619D"/>
    <w:rsid w:val="2CAC7351"/>
    <w:rsid w:val="2CB2345D"/>
    <w:rsid w:val="2CB74F17"/>
    <w:rsid w:val="2CB82A3D"/>
    <w:rsid w:val="2CC969F8"/>
    <w:rsid w:val="2CD77367"/>
    <w:rsid w:val="2CDC634B"/>
    <w:rsid w:val="2CEC7A2D"/>
    <w:rsid w:val="2CEF2903"/>
    <w:rsid w:val="2CF85B24"/>
    <w:rsid w:val="2D001B1A"/>
    <w:rsid w:val="2D0363AE"/>
    <w:rsid w:val="2D1E6D44"/>
    <w:rsid w:val="2D300825"/>
    <w:rsid w:val="2D352EF4"/>
    <w:rsid w:val="2D3622E0"/>
    <w:rsid w:val="2D430559"/>
    <w:rsid w:val="2D4D255F"/>
    <w:rsid w:val="2D542766"/>
    <w:rsid w:val="2D572256"/>
    <w:rsid w:val="2D6230D5"/>
    <w:rsid w:val="2D6A0110"/>
    <w:rsid w:val="2D7626DC"/>
    <w:rsid w:val="2D7834AC"/>
    <w:rsid w:val="2D957504"/>
    <w:rsid w:val="2D9B00E0"/>
    <w:rsid w:val="2DAF3344"/>
    <w:rsid w:val="2DB15942"/>
    <w:rsid w:val="2DB43204"/>
    <w:rsid w:val="2DC84F02"/>
    <w:rsid w:val="2DCF50B7"/>
    <w:rsid w:val="2DD83397"/>
    <w:rsid w:val="2DE7182C"/>
    <w:rsid w:val="2DF61A6F"/>
    <w:rsid w:val="2E073C7C"/>
    <w:rsid w:val="2E2C723F"/>
    <w:rsid w:val="2E332EEF"/>
    <w:rsid w:val="2E334A71"/>
    <w:rsid w:val="2E383E35"/>
    <w:rsid w:val="2E4B3B69"/>
    <w:rsid w:val="2E5073D1"/>
    <w:rsid w:val="2E536EC1"/>
    <w:rsid w:val="2E59788D"/>
    <w:rsid w:val="2E67296D"/>
    <w:rsid w:val="2E6A07C1"/>
    <w:rsid w:val="2E6C3ADF"/>
    <w:rsid w:val="2E7A26A0"/>
    <w:rsid w:val="2E897D68"/>
    <w:rsid w:val="2E8C7883"/>
    <w:rsid w:val="2E933762"/>
    <w:rsid w:val="2E975000"/>
    <w:rsid w:val="2E9757EF"/>
    <w:rsid w:val="2EA66FF1"/>
    <w:rsid w:val="2EB3170E"/>
    <w:rsid w:val="2EC658E5"/>
    <w:rsid w:val="2EC851B9"/>
    <w:rsid w:val="2ECE0A3B"/>
    <w:rsid w:val="2ED350EC"/>
    <w:rsid w:val="2EE6563F"/>
    <w:rsid w:val="2EF835C5"/>
    <w:rsid w:val="2EFE507F"/>
    <w:rsid w:val="2F104DB2"/>
    <w:rsid w:val="2F154177"/>
    <w:rsid w:val="2F2B399A"/>
    <w:rsid w:val="2F2F348A"/>
    <w:rsid w:val="2F300FB0"/>
    <w:rsid w:val="2F307202"/>
    <w:rsid w:val="2F320885"/>
    <w:rsid w:val="2F4920C0"/>
    <w:rsid w:val="2F4B2025"/>
    <w:rsid w:val="2F5A1767"/>
    <w:rsid w:val="2F5F53F2"/>
    <w:rsid w:val="2F601896"/>
    <w:rsid w:val="2F6D7D7A"/>
    <w:rsid w:val="2F7013AD"/>
    <w:rsid w:val="2F77273B"/>
    <w:rsid w:val="2F7C41F6"/>
    <w:rsid w:val="2F8512FC"/>
    <w:rsid w:val="2F8A6913"/>
    <w:rsid w:val="2F8F0AA7"/>
    <w:rsid w:val="2F9E23BE"/>
    <w:rsid w:val="2FA379D4"/>
    <w:rsid w:val="2FAA2B11"/>
    <w:rsid w:val="2FB35E69"/>
    <w:rsid w:val="2FBC2844"/>
    <w:rsid w:val="2FBE036A"/>
    <w:rsid w:val="2FC647D1"/>
    <w:rsid w:val="2FCE2CA3"/>
    <w:rsid w:val="2FDD5A67"/>
    <w:rsid w:val="2FE204FD"/>
    <w:rsid w:val="2FE37DD1"/>
    <w:rsid w:val="2FE853E7"/>
    <w:rsid w:val="2FEE6EA1"/>
    <w:rsid w:val="30161F54"/>
    <w:rsid w:val="30275F10"/>
    <w:rsid w:val="302A7494"/>
    <w:rsid w:val="304417EB"/>
    <w:rsid w:val="30487F37"/>
    <w:rsid w:val="304B42F4"/>
    <w:rsid w:val="304F36B8"/>
    <w:rsid w:val="30590093"/>
    <w:rsid w:val="30717AD3"/>
    <w:rsid w:val="307B625B"/>
    <w:rsid w:val="30803872"/>
    <w:rsid w:val="30843362"/>
    <w:rsid w:val="3091782D"/>
    <w:rsid w:val="309E5B2C"/>
    <w:rsid w:val="30A807FD"/>
    <w:rsid w:val="30D77936"/>
    <w:rsid w:val="30DB6CFA"/>
    <w:rsid w:val="30E57BC8"/>
    <w:rsid w:val="30EB45DA"/>
    <w:rsid w:val="30F304E8"/>
    <w:rsid w:val="30F85AFE"/>
    <w:rsid w:val="30F878AC"/>
    <w:rsid w:val="31056DF8"/>
    <w:rsid w:val="312F7772"/>
    <w:rsid w:val="31321010"/>
    <w:rsid w:val="313C59EB"/>
    <w:rsid w:val="314174A5"/>
    <w:rsid w:val="314804F6"/>
    <w:rsid w:val="314A084F"/>
    <w:rsid w:val="314B3E80"/>
    <w:rsid w:val="314D19A6"/>
    <w:rsid w:val="315115A8"/>
    <w:rsid w:val="315F792B"/>
    <w:rsid w:val="31631AC9"/>
    <w:rsid w:val="31740B9D"/>
    <w:rsid w:val="3187717E"/>
    <w:rsid w:val="318F1FBE"/>
    <w:rsid w:val="319E43E2"/>
    <w:rsid w:val="319E66A5"/>
    <w:rsid w:val="31AA329C"/>
    <w:rsid w:val="31AA504A"/>
    <w:rsid w:val="31B00187"/>
    <w:rsid w:val="31BA1DDE"/>
    <w:rsid w:val="31C37EBA"/>
    <w:rsid w:val="31C418C9"/>
    <w:rsid w:val="31C51E84"/>
    <w:rsid w:val="31C84E47"/>
    <w:rsid w:val="320A3D3B"/>
    <w:rsid w:val="320A7897"/>
    <w:rsid w:val="320C360F"/>
    <w:rsid w:val="32116E77"/>
    <w:rsid w:val="321466FD"/>
    <w:rsid w:val="3215767E"/>
    <w:rsid w:val="32270449"/>
    <w:rsid w:val="32340DB8"/>
    <w:rsid w:val="324B2992"/>
    <w:rsid w:val="325B6344"/>
    <w:rsid w:val="32607DFF"/>
    <w:rsid w:val="326C0551"/>
    <w:rsid w:val="326E7E26"/>
    <w:rsid w:val="32805DAB"/>
    <w:rsid w:val="329C3668"/>
    <w:rsid w:val="32B819E9"/>
    <w:rsid w:val="32BA12BD"/>
    <w:rsid w:val="32C739DA"/>
    <w:rsid w:val="32D63C1D"/>
    <w:rsid w:val="32DA195F"/>
    <w:rsid w:val="32DF6F75"/>
    <w:rsid w:val="32E620B2"/>
    <w:rsid w:val="32EC50D1"/>
    <w:rsid w:val="32F11300"/>
    <w:rsid w:val="32F72511"/>
    <w:rsid w:val="32FE0237"/>
    <w:rsid w:val="3317670F"/>
    <w:rsid w:val="331C5AD4"/>
    <w:rsid w:val="331F7372"/>
    <w:rsid w:val="334B2535"/>
    <w:rsid w:val="335039CF"/>
    <w:rsid w:val="3355548A"/>
    <w:rsid w:val="33604E27"/>
    <w:rsid w:val="337551E4"/>
    <w:rsid w:val="338813BB"/>
    <w:rsid w:val="33900270"/>
    <w:rsid w:val="33955886"/>
    <w:rsid w:val="33AF4859"/>
    <w:rsid w:val="33CF6FEA"/>
    <w:rsid w:val="33DC1707"/>
    <w:rsid w:val="33E16D1D"/>
    <w:rsid w:val="33EC194A"/>
    <w:rsid w:val="33FB1B8D"/>
    <w:rsid w:val="34337579"/>
    <w:rsid w:val="34346692"/>
    <w:rsid w:val="34425A0E"/>
    <w:rsid w:val="344352E2"/>
    <w:rsid w:val="34670FD0"/>
    <w:rsid w:val="346911EC"/>
    <w:rsid w:val="346C2A8B"/>
    <w:rsid w:val="3489363D"/>
    <w:rsid w:val="34C72E2C"/>
    <w:rsid w:val="34D80120"/>
    <w:rsid w:val="34E6356F"/>
    <w:rsid w:val="34F767F8"/>
    <w:rsid w:val="35041EEB"/>
    <w:rsid w:val="35066A3B"/>
    <w:rsid w:val="35077B05"/>
    <w:rsid w:val="350E58DE"/>
    <w:rsid w:val="35123632"/>
    <w:rsid w:val="351333BE"/>
    <w:rsid w:val="351729F7"/>
    <w:rsid w:val="351762F0"/>
    <w:rsid w:val="351849C1"/>
    <w:rsid w:val="3522139B"/>
    <w:rsid w:val="35262C3A"/>
    <w:rsid w:val="352E5F92"/>
    <w:rsid w:val="35523A2F"/>
    <w:rsid w:val="356C3BFA"/>
    <w:rsid w:val="35711EBA"/>
    <w:rsid w:val="35747E49"/>
    <w:rsid w:val="35773495"/>
    <w:rsid w:val="3579545F"/>
    <w:rsid w:val="357C4F4F"/>
    <w:rsid w:val="35814314"/>
    <w:rsid w:val="3586192A"/>
    <w:rsid w:val="359027A9"/>
    <w:rsid w:val="359336F3"/>
    <w:rsid w:val="35A85D44"/>
    <w:rsid w:val="35D46B3A"/>
    <w:rsid w:val="35DF4197"/>
    <w:rsid w:val="35E34940"/>
    <w:rsid w:val="35E414CE"/>
    <w:rsid w:val="35E548A3"/>
    <w:rsid w:val="35EB5C31"/>
    <w:rsid w:val="35F75996"/>
    <w:rsid w:val="36034D29"/>
    <w:rsid w:val="360A255B"/>
    <w:rsid w:val="3627310D"/>
    <w:rsid w:val="36273F67"/>
    <w:rsid w:val="36286B4B"/>
    <w:rsid w:val="363A3E94"/>
    <w:rsid w:val="363E3B8C"/>
    <w:rsid w:val="36415851"/>
    <w:rsid w:val="364C4922"/>
    <w:rsid w:val="367125DA"/>
    <w:rsid w:val="36820344"/>
    <w:rsid w:val="36842103"/>
    <w:rsid w:val="368816D2"/>
    <w:rsid w:val="368D6CE8"/>
    <w:rsid w:val="36913CE5"/>
    <w:rsid w:val="36981915"/>
    <w:rsid w:val="36985DB9"/>
    <w:rsid w:val="36A9323B"/>
    <w:rsid w:val="36AE1B85"/>
    <w:rsid w:val="36AF6C5F"/>
    <w:rsid w:val="36BE6EA2"/>
    <w:rsid w:val="36C070BE"/>
    <w:rsid w:val="36C24BE4"/>
    <w:rsid w:val="36C941C4"/>
    <w:rsid w:val="36CE5569"/>
    <w:rsid w:val="36D63E3F"/>
    <w:rsid w:val="36E032BC"/>
    <w:rsid w:val="36EE3C2B"/>
    <w:rsid w:val="36F9612C"/>
    <w:rsid w:val="36FC6348"/>
    <w:rsid w:val="36FF3742"/>
    <w:rsid w:val="37180CA8"/>
    <w:rsid w:val="371E7EBA"/>
    <w:rsid w:val="372F02B2"/>
    <w:rsid w:val="37403D5B"/>
    <w:rsid w:val="3744384B"/>
    <w:rsid w:val="37533A8E"/>
    <w:rsid w:val="3768720D"/>
    <w:rsid w:val="378325C5"/>
    <w:rsid w:val="37896CF9"/>
    <w:rsid w:val="379C0094"/>
    <w:rsid w:val="37A56D79"/>
    <w:rsid w:val="37AE6F16"/>
    <w:rsid w:val="37B704C1"/>
    <w:rsid w:val="37C624B2"/>
    <w:rsid w:val="37CB1876"/>
    <w:rsid w:val="37D72911"/>
    <w:rsid w:val="37D7646D"/>
    <w:rsid w:val="37DA41AF"/>
    <w:rsid w:val="37DD091B"/>
    <w:rsid w:val="37F60FE9"/>
    <w:rsid w:val="382F0057"/>
    <w:rsid w:val="38327B47"/>
    <w:rsid w:val="3833057A"/>
    <w:rsid w:val="3834566E"/>
    <w:rsid w:val="38361BA7"/>
    <w:rsid w:val="38431D54"/>
    <w:rsid w:val="384B1B1D"/>
    <w:rsid w:val="3851621F"/>
    <w:rsid w:val="385201EA"/>
    <w:rsid w:val="385775AE"/>
    <w:rsid w:val="385B52F0"/>
    <w:rsid w:val="386C3059"/>
    <w:rsid w:val="386D6DD1"/>
    <w:rsid w:val="387463B2"/>
    <w:rsid w:val="38797524"/>
    <w:rsid w:val="3880197B"/>
    <w:rsid w:val="388D1222"/>
    <w:rsid w:val="388E7474"/>
    <w:rsid w:val="38922D5C"/>
    <w:rsid w:val="38930B66"/>
    <w:rsid w:val="3894435E"/>
    <w:rsid w:val="389912B5"/>
    <w:rsid w:val="389A2EE0"/>
    <w:rsid w:val="38A8032C"/>
    <w:rsid w:val="38AB3CAB"/>
    <w:rsid w:val="38B7004D"/>
    <w:rsid w:val="38DE382B"/>
    <w:rsid w:val="38E52E0C"/>
    <w:rsid w:val="38EC7CF6"/>
    <w:rsid w:val="38F4304F"/>
    <w:rsid w:val="38F512A1"/>
    <w:rsid w:val="38F76303"/>
    <w:rsid w:val="38F82B3F"/>
    <w:rsid w:val="390B21D1"/>
    <w:rsid w:val="39131727"/>
    <w:rsid w:val="39137979"/>
    <w:rsid w:val="393D2C48"/>
    <w:rsid w:val="39406294"/>
    <w:rsid w:val="394B7F8C"/>
    <w:rsid w:val="397523E2"/>
    <w:rsid w:val="39761CB6"/>
    <w:rsid w:val="397A79F8"/>
    <w:rsid w:val="39812B34"/>
    <w:rsid w:val="39A5191F"/>
    <w:rsid w:val="39AF35E5"/>
    <w:rsid w:val="39B0341A"/>
    <w:rsid w:val="39B32F0A"/>
    <w:rsid w:val="39B50A30"/>
    <w:rsid w:val="39C11183"/>
    <w:rsid w:val="39C46EC5"/>
    <w:rsid w:val="39CB4A19"/>
    <w:rsid w:val="39D326A9"/>
    <w:rsid w:val="39D4535A"/>
    <w:rsid w:val="39D508B4"/>
    <w:rsid w:val="39D92D61"/>
    <w:rsid w:val="39DC7D6B"/>
    <w:rsid w:val="39DF785B"/>
    <w:rsid w:val="39F01A68"/>
    <w:rsid w:val="39F06F70"/>
    <w:rsid w:val="39F74BA5"/>
    <w:rsid w:val="3A045513"/>
    <w:rsid w:val="3A0C5E47"/>
    <w:rsid w:val="3A373056"/>
    <w:rsid w:val="3A4A1178"/>
    <w:rsid w:val="3A4A561C"/>
    <w:rsid w:val="3A614714"/>
    <w:rsid w:val="3A7206CF"/>
    <w:rsid w:val="3A77023C"/>
    <w:rsid w:val="3A776ABF"/>
    <w:rsid w:val="3A9049B1"/>
    <w:rsid w:val="3A9B19D4"/>
    <w:rsid w:val="3A9E7716"/>
    <w:rsid w:val="3AA12D62"/>
    <w:rsid w:val="3AA7481D"/>
    <w:rsid w:val="3AAA7E69"/>
    <w:rsid w:val="3AB42A96"/>
    <w:rsid w:val="3ABC194A"/>
    <w:rsid w:val="3ACC330C"/>
    <w:rsid w:val="3AD9074E"/>
    <w:rsid w:val="3ADE1089"/>
    <w:rsid w:val="3AE55345"/>
    <w:rsid w:val="3AF86D4E"/>
    <w:rsid w:val="3AF9494C"/>
    <w:rsid w:val="3AFB3AFA"/>
    <w:rsid w:val="3B1479D8"/>
    <w:rsid w:val="3B220A43"/>
    <w:rsid w:val="3B3B2CBA"/>
    <w:rsid w:val="3B3B31B7"/>
    <w:rsid w:val="3B3F2CA7"/>
    <w:rsid w:val="3B4262F3"/>
    <w:rsid w:val="3B554279"/>
    <w:rsid w:val="3B5953EB"/>
    <w:rsid w:val="3B6F0FCC"/>
    <w:rsid w:val="3B7936BD"/>
    <w:rsid w:val="3B7D557D"/>
    <w:rsid w:val="3B81506E"/>
    <w:rsid w:val="3B8701AA"/>
    <w:rsid w:val="3B894744"/>
    <w:rsid w:val="3B8C3A12"/>
    <w:rsid w:val="3BC431AC"/>
    <w:rsid w:val="3BD01B51"/>
    <w:rsid w:val="3BD333EF"/>
    <w:rsid w:val="3BD57167"/>
    <w:rsid w:val="3BD80A06"/>
    <w:rsid w:val="3BE178BA"/>
    <w:rsid w:val="3BE60C08"/>
    <w:rsid w:val="3BF515B8"/>
    <w:rsid w:val="3BF55114"/>
    <w:rsid w:val="3C025A83"/>
    <w:rsid w:val="3C035D55"/>
    <w:rsid w:val="3C1852A6"/>
    <w:rsid w:val="3C1A101E"/>
    <w:rsid w:val="3C1C7DAA"/>
    <w:rsid w:val="3C357C06"/>
    <w:rsid w:val="3C4D4F50"/>
    <w:rsid w:val="3C526A0A"/>
    <w:rsid w:val="3C565540"/>
    <w:rsid w:val="3C60501F"/>
    <w:rsid w:val="3C636521"/>
    <w:rsid w:val="3C642299"/>
    <w:rsid w:val="3C6A6EEE"/>
    <w:rsid w:val="3C740F54"/>
    <w:rsid w:val="3C7626F9"/>
    <w:rsid w:val="3C771FCD"/>
    <w:rsid w:val="3C782F23"/>
    <w:rsid w:val="3C7A1ABD"/>
    <w:rsid w:val="3C8666B4"/>
    <w:rsid w:val="3C872058"/>
    <w:rsid w:val="3C8B1C83"/>
    <w:rsid w:val="3C9776F3"/>
    <w:rsid w:val="3C9B3F0D"/>
    <w:rsid w:val="3CAB1604"/>
    <w:rsid w:val="3CB11983"/>
    <w:rsid w:val="3CD25455"/>
    <w:rsid w:val="3CDE3DFA"/>
    <w:rsid w:val="3CEB3E3A"/>
    <w:rsid w:val="3D031AB2"/>
    <w:rsid w:val="3D033860"/>
    <w:rsid w:val="3D07115F"/>
    <w:rsid w:val="3D0C0B0A"/>
    <w:rsid w:val="3D2008B6"/>
    <w:rsid w:val="3D30173B"/>
    <w:rsid w:val="3D4634DB"/>
    <w:rsid w:val="3D475E43"/>
    <w:rsid w:val="3D540560"/>
    <w:rsid w:val="3D5A3DC8"/>
    <w:rsid w:val="3D695DB9"/>
    <w:rsid w:val="3D6A1B31"/>
    <w:rsid w:val="3D6C7658"/>
    <w:rsid w:val="3D7309E6"/>
    <w:rsid w:val="3D745844"/>
    <w:rsid w:val="3D7B1A05"/>
    <w:rsid w:val="3D7E738B"/>
    <w:rsid w:val="3D804EB1"/>
    <w:rsid w:val="3D8175A7"/>
    <w:rsid w:val="3D864BBD"/>
    <w:rsid w:val="3D891FB8"/>
    <w:rsid w:val="3D8C7CFA"/>
    <w:rsid w:val="3D9372DA"/>
    <w:rsid w:val="3D944E21"/>
    <w:rsid w:val="3DA037A5"/>
    <w:rsid w:val="3DA768E2"/>
    <w:rsid w:val="3DB01C3A"/>
    <w:rsid w:val="3DBE07DB"/>
    <w:rsid w:val="3DC12C0B"/>
    <w:rsid w:val="3DCC00F6"/>
    <w:rsid w:val="3DCC5572"/>
    <w:rsid w:val="3DCD521F"/>
    <w:rsid w:val="3DD32C78"/>
    <w:rsid w:val="3DD60F75"/>
    <w:rsid w:val="3DE713D4"/>
    <w:rsid w:val="3DEB4A20"/>
    <w:rsid w:val="3DEC564C"/>
    <w:rsid w:val="3DF00289"/>
    <w:rsid w:val="3DFB09DB"/>
    <w:rsid w:val="3E0B6E71"/>
    <w:rsid w:val="3E162E51"/>
    <w:rsid w:val="3E235CFC"/>
    <w:rsid w:val="3E266F05"/>
    <w:rsid w:val="3E330175"/>
    <w:rsid w:val="3E344619"/>
    <w:rsid w:val="3E42660A"/>
    <w:rsid w:val="3E5D51F2"/>
    <w:rsid w:val="3E5E3444"/>
    <w:rsid w:val="3E636CAD"/>
    <w:rsid w:val="3E66679D"/>
    <w:rsid w:val="3E6B790F"/>
    <w:rsid w:val="3E6F38A3"/>
    <w:rsid w:val="3E7A5DA4"/>
    <w:rsid w:val="3E907376"/>
    <w:rsid w:val="3E9B4698"/>
    <w:rsid w:val="3EA90437"/>
    <w:rsid w:val="3EBE0387"/>
    <w:rsid w:val="3EC03881"/>
    <w:rsid w:val="3ED41958"/>
    <w:rsid w:val="3ED74FA5"/>
    <w:rsid w:val="3ED92ACB"/>
    <w:rsid w:val="3EDC25BB"/>
    <w:rsid w:val="3EE85404"/>
    <w:rsid w:val="3EF62838"/>
    <w:rsid w:val="3F0607D0"/>
    <w:rsid w:val="3F122481"/>
    <w:rsid w:val="3F1C6E5B"/>
    <w:rsid w:val="3F1E7077"/>
    <w:rsid w:val="3F277CDA"/>
    <w:rsid w:val="3F2B709E"/>
    <w:rsid w:val="3F312907"/>
    <w:rsid w:val="3F3423F7"/>
    <w:rsid w:val="3F47212A"/>
    <w:rsid w:val="3F487C50"/>
    <w:rsid w:val="3F4B1266"/>
    <w:rsid w:val="3F5B3E28"/>
    <w:rsid w:val="3F5B7984"/>
    <w:rsid w:val="3F5D194E"/>
    <w:rsid w:val="3F7171A7"/>
    <w:rsid w:val="3F744EE9"/>
    <w:rsid w:val="3F79605C"/>
    <w:rsid w:val="3F8213B4"/>
    <w:rsid w:val="3F9115F7"/>
    <w:rsid w:val="3FA3073A"/>
    <w:rsid w:val="3FB3156E"/>
    <w:rsid w:val="3FB95856"/>
    <w:rsid w:val="3FBD23EC"/>
    <w:rsid w:val="3FBF6165"/>
    <w:rsid w:val="3FC7326B"/>
    <w:rsid w:val="3FDA11F0"/>
    <w:rsid w:val="3FDF2363"/>
    <w:rsid w:val="3FE77469"/>
    <w:rsid w:val="3FFD4EDF"/>
    <w:rsid w:val="3FFD6C8D"/>
    <w:rsid w:val="3FFF0C57"/>
    <w:rsid w:val="400C5122"/>
    <w:rsid w:val="402E5098"/>
    <w:rsid w:val="403D352D"/>
    <w:rsid w:val="403D52DB"/>
    <w:rsid w:val="406B3BF6"/>
    <w:rsid w:val="406D3BB3"/>
    <w:rsid w:val="406D3E12"/>
    <w:rsid w:val="40730CFD"/>
    <w:rsid w:val="4077104F"/>
    <w:rsid w:val="408D1DBF"/>
    <w:rsid w:val="408E54D0"/>
    <w:rsid w:val="4095597C"/>
    <w:rsid w:val="40A610D2"/>
    <w:rsid w:val="40AD420F"/>
    <w:rsid w:val="40B03CFF"/>
    <w:rsid w:val="40BE466E"/>
    <w:rsid w:val="40CD665F"/>
    <w:rsid w:val="40CE13E2"/>
    <w:rsid w:val="40CF687B"/>
    <w:rsid w:val="40D95004"/>
    <w:rsid w:val="40DE261A"/>
    <w:rsid w:val="40E35E83"/>
    <w:rsid w:val="40F63E08"/>
    <w:rsid w:val="40F869A3"/>
    <w:rsid w:val="40F956A6"/>
    <w:rsid w:val="41012771"/>
    <w:rsid w:val="41140732"/>
    <w:rsid w:val="41230975"/>
    <w:rsid w:val="41233179"/>
    <w:rsid w:val="412A41EC"/>
    <w:rsid w:val="41354204"/>
    <w:rsid w:val="41562AF9"/>
    <w:rsid w:val="416845DA"/>
    <w:rsid w:val="416A65A4"/>
    <w:rsid w:val="417E3DFD"/>
    <w:rsid w:val="41894C7C"/>
    <w:rsid w:val="419655A8"/>
    <w:rsid w:val="41992059"/>
    <w:rsid w:val="41A53138"/>
    <w:rsid w:val="41AD0785"/>
    <w:rsid w:val="41AE46E3"/>
    <w:rsid w:val="41B16663"/>
    <w:rsid w:val="41C07F72"/>
    <w:rsid w:val="41D349E5"/>
    <w:rsid w:val="41DE0CDB"/>
    <w:rsid w:val="41DE664A"/>
    <w:rsid w:val="41E9396D"/>
    <w:rsid w:val="41EA2E34"/>
    <w:rsid w:val="42293D69"/>
    <w:rsid w:val="422B5D33"/>
    <w:rsid w:val="42312C1E"/>
    <w:rsid w:val="42366486"/>
    <w:rsid w:val="424515D7"/>
    <w:rsid w:val="42554B5E"/>
    <w:rsid w:val="425A03C6"/>
    <w:rsid w:val="425D3850"/>
    <w:rsid w:val="426074A6"/>
    <w:rsid w:val="42641245"/>
    <w:rsid w:val="42675E8C"/>
    <w:rsid w:val="426E79CE"/>
    <w:rsid w:val="427113AE"/>
    <w:rsid w:val="42764AD5"/>
    <w:rsid w:val="42937B5E"/>
    <w:rsid w:val="429A07C3"/>
    <w:rsid w:val="42AB6E74"/>
    <w:rsid w:val="42BF1B92"/>
    <w:rsid w:val="42C817D4"/>
    <w:rsid w:val="42C972FA"/>
    <w:rsid w:val="42D40179"/>
    <w:rsid w:val="42DA32B5"/>
    <w:rsid w:val="42DE0FF8"/>
    <w:rsid w:val="42E934F8"/>
    <w:rsid w:val="42EB101F"/>
    <w:rsid w:val="42ED2FE9"/>
    <w:rsid w:val="42ED4D97"/>
    <w:rsid w:val="42F00D2B"/>
    <w:rsid w:val="42F86CEC"/>
    <w:rsid w:val="42FE57D8"/>
    <w:rsid w:val="430372E0"/>
    <w:rsid w:val="430A1DED"/>
    <w:rsid w:val="43317379"/>
    <w:rsid w:val="4335673E"/>
    <w:rsid w:val="43370D9F"/>
    <w:rsid w:val="43430E5B"/>
    <w:rsid w:val="4346094B"/>
    <w:rsid w:val="434D3A87"/>
    <w:rsid w:val="43544604"/>
    <w:rsid w:val="435E7A42"/>
    <w:rsid w:val="436112E1"/>
    <w:rsid w:val="437234EE"/>
    <w:rsid w:val="43810DB2"/>
    <w:rsid w:val="43911BC6"/>
    <w:rsid w:val="43B34232"/>
    <w:rsid w:val="43CB4F3C"/>
    <w:rsid w:val="43D56AEB"/>
    <w:rsid w:val="43DB5537"/>
    <w:rsid w:val="43E837B0"/>
    <w:rsid w:val="43F559D6"/>
    <w:rsid w:val="43F87E97"/>
    <w:rsid w:val="43FD54AD"/>
    <w:rsid w:val="44095C00"/>
    <w:rsid w:val="440B2A75"/>
    <w:rsid w:val="44293363"/>
    <w:rsid w:val="44315157"/>
    <w:rsid w:val="446A7659"/>
    <w:rsid w:val="446D6703"/>
    <w:rsid w:val="447F2366"/>
    <w:rsid w:val="448C05DF"/>
    <w:rsid w:val="448E25A9"/>
    <w:rsid w:val="448E4357"/>
    <w:rsid w:val="44906321"/>
    <w:rsid w:val="449A0F4E"/>
    <w:rsid w:val="44B21FC2"/>
    <w:rsid w:val="44B244EA"/>
    <w:rsid w:val="44BA15F0"/>
    <w:rsid w:val="44BA339E"/>
    <w:rsid w:val="44BD4C3D"/>
    <w:rsid w:val="44C10289"/>
    <w:rsid w:val="44CC5421"/>
    <w:rsid w:val="44CD30D2"/>
    <w:rsid w:val="44F52628"/>
    <w:rsid w:val="44F85C75"/>
    <w:rsid w:val="45225855"/>
    <w:rsid w:val="45232CF2"/>
    <w:rsid w:val="4528655A"/>
    <w:rsid w:val="45435142"/>
    <w:rsid w:val="454B049A"/>
    <w:rsid w:val="455A36D4"/>
    <w:rsid w:val="455B6133"/>
    <w:rsid w:val="45603F46"/>
    <w:rsid w:val="45611A6C"/>
    <w:rsid w:val="45633A36"/>
    <w:rsid w:val="45634690"/>
    <w:rsid w:val="45684BA8"/>
    <w:rsid w:val="45686297"/>
    <w:rsid w:val="45774DEB"/>
    <w:rsid w:val="457C0654"/>
    <w:rsid w:val="457E261E"/>
    <w:rsid w:val="45835E86"/>
    <w:rsid w:val="458A4B1F"/>
    <w:rsid w:val="458C1F00"/>
    <w:rsid w:val="458D52AA"/>
    <w:rsid w:val="45A73923"/>
    <w:rsid w:val="45AD4CB1"/>
    <w:rsid w:val="45B1654F"/>
    <w:rsid w:val="45C0642E"/>
    <w:rsid w:val="45CA13BF"/>
    <w:rsid w:val="45F44B10"/>
    <w:rsid w:val="45FE72BB"/>
    <w:rsid w:val="46113492"/>
    <w:rsid w:val="46195EA3"/>
    <w:rsid w:val="462211FB"/>
    <w:rsid w:val="46236D21"/>
    <w:rsid w:val="46284E65"/>
    <w:rsid w:val="46317690"/>
    <w:rsid w:val="46386C71"/>
    <w:rsid w:val="4642189D"/>
    <w:rsid w:val="46472A10"/>
    <w:rsid w:val="464B2C73"/>
    <w:rsid w:val="4654337F"/>
    <w:rsid w:val="4654512D"/>
    <w:rsid w:val="46552F9B"/>
    <w:rsid w:val="46601D24"/>
    <w:rsid w:val="466B2BA2"/>
    <w:rsid w:val="469320F9"/>
    <w:rsid w:val="469A5235"/>
    <w:rsid w:val="469B0FAE"/>
    <w:rsid w:val="46B04A59"/>
    <w:rsid w:val="46B22304"/>
    <w:rsid w:val="46B5206F"/>
    <w:rsid w:val="46BF11F9"/>
    <w:rsid w:val="46C67DD9"/>
    <w:rsid w:val="46CD560B"/>
    <w:rsid w:val="46D85CF7"/>
    <w:rsid w:val="46D86D35"/>
    <w:rsid w:val="46E12E64"/>
    <w:rsid w:val="46FA5CD4"/>
    <w:rsid w:val="46FD7572"/>
    <w:rsid w:val="471C3E9C"/>
    <w:rsid w:val="471F1BDF"/>
    <w:rsid w:val="472649FE"/>
    <w:rsid w:val="47392CA0"/>
    <w:rsid w:val="473C62ED"/>
    <w:rsid w:val="474653BD"/>
    <w:rsid w:val="4746716B"/>
    <w:rsid w:val="47484C91"/>
    <w:rsid w:val="475278BE"/>
    <w:rsid w:val="47531291"/>
    <w:rsid w:val="475A5D99"/>
    <w:rsid w:val="47634ABA"/>
    <w:rsid w:val="4770243A"/>
    <w:rsid w:val="4780267D"/>
    <w:rsid w:val="479E7E1F"/>
    <w:rsid w:val="47A619B8"/>
    <w:rsid w:val="47A63B8D"/>
    <w:rsid w:val="47C16FD6"/>
    <w:rsid w:val="47C307BC"/>
    <w:rsid w:val="47CB141F"/>
    <w:rsid w:val="47FA07C6"/>
    <w:rsid w:val="4803505C"/>
    <w:rsid w:val="481C4831"/>
    <w:rsid w:val="48270D4B"/>
    <w:rsid w:val="482F5E51"/>
    <w:rsid w:val="48362D3C"/>
    <w:rsid w:val="484A4A39"/>
    <w:rsid w:val="484D7839"/>
    <w:rsid w:val="485633DE"/>
    <w:rsid w:val="485D29BF"/>
    <w:rsid w:val="4867383D"/>
    <w:rsid w:val="48677399"/>
    <w:rsid w:val="4869465C"/>
    <w:rsid w:val="486A762F"/>
    <w:rsid w:val="487241CC"/>
    <w:rsid w:val="487B2E45"/>
    <w:rsid w:val="488B62F3"/>
    <w:rsid w:val="489A665E"/>
    <w:rsid w:val="489D725F"/>
    <w:rsid w:val="48A56114"/>
    <w:rsid w:val="48A90B9B"/>
    <w:rsid w:val="48B9571B"/>
    <w:rsid w:val="48C12F4D"/>
    <w:rsid w:val="48C52312"/>
    <w:rsid w:val="48C84C5C"/>
    <w:rsid w:val="48C93BB0"/>
    <w:rsid w:val="48CA7928"/>
    <w:rsid w:val="48DB1376"/>
    <w:rsid w:val="48DD3AFF"/>
    <w:rsid w:val="48E155A5"/>
    <w:rsid w:val="48E22EC4"/>
    <w:rsid w:val="48E43B6D"/>
    <w:rsid w:val="48F11A6E"/>
    <w:rsid w:val="48F32FE7"/>
    <w:rsid w:val="4913307D"/>
    <w:rsid w:val="491B0746"/>
    <w:rsid w:val="492360B3"/>
    <w:rsid w:val="49296D45"/>
    <w:rsid w:val="492B486B"/>
    <w:rsid w:val="49310F9E"/>
    <w:rsid w:val="49373210"/>
    <w:rsid w:val="493E459E"/>
    <w:rsid w:val="49470F79"/>
    <w:rsid w:val="495042D1"/>
    <w:rsid w:val="49585025"/>
    <w:rsid w:val="49647D7D"/>
    <w:rsid w:val="496A58DA"/>
    <w:rsid w:val="498126DD"/>
    <w:rsid w:val="4981448B"/>
    <w:rsid w:val="49830203"/>
    <w:rsid w:val="498E6BA8"/>
    <w:rsid w:val="49A168DB"/>
    <w:rsid w:val="49BE123B"/>
    <w:rsid w:val="49C600F0"/>
    <w:rsid w:val="49C91C9A"/>
    <w:rsid w:val="49D24CE6"/>
    <w:rsid w:val="49D7054F"/>
    <w:rsid w:val="49E33A07"/>
    <w:rsid w:val="49E8763C"/>
    <w:rsid w:val="49F266E1"/>
    <w:rsid w:val="49F64E79"/>
    <w:rsid w:val="4A02381D"/>
    <w:rsid w:val="4A137078"/>
    <w:rsid w:val="4A1A5A27"/>
    <w:rsid w:val="4A275032"/>
    <w:rsid w:val="4A36326D"/>
    <w:rsid w:val="4A4831FA"/>
    <w:rsid w:val="4A484FA8"/>
    <w:rsid w:val="4A4E23DD"/>
    <w:rsid w:val="4A6718D3"/>
    <w:rsid w:val="4A69564B"/>
    <w:rsid w:val="4A6C0C97"/>
    <w:rsid w:val="4A7B537E"/>
    <w:rsid w:val="4A7F4E6E"/>
    <w:rsid w:val="4A8658D0"/>
    <w:rsid w:val="4A897A9B"/>
    <w:rsid w:val="4A8F2BD7"/>
    <w:rsid w:val="4A9E2E1A"/>
    <w:rsid w:val="4AA93C99"/>
    <w:rsid w:val="4AB368C6"/>
    <w:rsid w:val="4AC46D25"/>
    <w:rsid w:val="4AC7350D"/>
    <w:rsid w:val="4AC960E9"/>
    <w:rsid w:val="4ACB4AB7"/>
    <w:rsid w:val="4AD60632"/>
    <w:rsid w:val="4ADB7BCB"/>
    <w:rsid w:val="4AE7656F"/>
    <w:rsid w:val="4AEE5B50"/>
    <w:rsid w:val="4AF15640"/>
    <w:rsid w:val="4AF55130"/>
    <w:rsid w:val="4B0709C0"/>
    <w:rsid w:val="4B0A392B"/>
    <w:rsid w:val="4B166E55"/>
    <w:rsid w:val="4B1F21AD"/>
    <w:rsid w:val="4B226DD3"/>
    <w:rsid w:val="4B2B4105"/>
    <w:rsid w:val="4B3519D1"/>
    <w:rsid w:val="4B3774F7"/>
    <w:rsid w:val="4B430F2D"/>
    <w:rsid w:val="4B490FD8"/>
    <w:rsid w:val="4B645E12"/>
    <w:rsid w:val="4B683B54"/>
    <w:rsid w:val="4B75001F"/>
    <w:rsid w:val="4B8464B4"/>
    <w:rsid w:val="4B871B00"/>
    <w:rsid w:val="4BA206E8"/>
    <w:rsid w:val="4BA803F5"/>
    <w:rsid w:val="4BA91A77"/>
    <w:rsid w:val="4BCB5E91"/>
    <w:rsid w:val="4BD17E71"/>
    <w:rsid w:val="4BF076A6"/>
    <w:rsid w:val="4BF21670"/>
    <w:rsid w:val="4C0A0767"/>
    <w:rsid w:val="4C143394"/>
    <w:rsid w:val="4C211F55"/>
    <w:rsid w:val="4C231829"/>
    <w:rsid w:val="4C2D26A8"/>
    <w:rsid w:val="4C432948"/>
    <w:rsid w:val="4C46376A"/>
    <w:rsid w:val="4C6267F5"/>
    <w:rsid w:val="4C6F0F12"/>
    <w:rsid w:val="4C79769B"/>
    <w:rsid w:val="4C8147A2"/>
    <w:rsid w:val="4C856040"/>
    <w:rsid w:val="4C871DB8"/>
    <w:rsid w:val="4C8A2770"/>
    <w:rsid w:val="4C8C5620"/>
    <w:rsid w:val="4C9646F1"/>
    <w:rsid w:val="4C991AEB"/>
    <w:rsid w:val="4C9E5354"/>
    <w:rsid w:val="4CB70DEF"/>
    <w:rsid w:val="4CC27294"/>
    <w:rsid w:val="4CC36B68"/>
    <w:rsid w:val="4CCA439B"/>
    <w:rsid w:val="4CD62D3F"/>
    <w:rsid w:val="4CE13531"/>
    <w:rsid w:val="4CF66F3E"/>
    <w:rsid w:val="4CFF2296"/>
    <w:rsid w:val="4D04165B"/>
    <w:rsid w:val="4D072EF9"/>
    <w:rsid w:val="4D096C71"/>
    <w:rsid w:val="4D0E0101"/>
    <w:rsid w:val="4D0E4287"/>
    <w:rsid w:val="4D162706"/>
    <w:rsid w:val="4D1D44CA"/>
    <w:rsid w:val="4D226519"/>
    <w:rsid w:val="4D387556"/>
    <w:rsid w:val="4D3D4B6D"/>
    <w:rsid w:val="4D44414D"/>
    <w:rsid w:val="4D447D52"/>
    <w:rsid w:val="4D587BF8"/>
    <w:rsid w:val="4D5D520F"/>
    <w:rsid w:val="4D714816"/>
    <w:rsid w:val="4DB31898"/>
    <w:rsid w:val="4DB34E2F"/>
    <w:rsid w:val="4DB52955"/>
    <w:rsid w:val="4DD23507"/>
    <w:rsid w:val="4DDA23BB"/>
    <w:rsid w:val="4DE65204"/>
    <w:rsid w:val="4DE6535D"/>
    <w:rsid w:val="4DE66FB2"/>
    <w:rsid w:val="4DE67291"/>
    <w:rsid w:val="4DFA480C"/>
    <w:rsid w:val="4E0062C6"/>
    <w:rsid w:val="4E0D2791"/>
    <w:rsid w:val="4E0E6F78"/>
    <w:rsid w:val="4E12786B"/>
    <w:rsid w:val="4E1458CD"/>
    <w:rsid w:val="4E1835AE"/>
    <w:rsid w:val="4E2B2C17"/>
    <w:rsid w:val="4E393586"/>
    <w:rsid w:val="4E451F2B"/>
    <w:rsid w:val="4E606D65"/>
    <w:rsid w:val="4E676345"/>
    <w:rsid w:val="4E6A1991"/>
    <w:rsid w:val="4E6A7ED2"/>
    <w:rsid w:val="4E6C5709"/>
    <w:rsid w:val="4E6C73FF"/>
    <w:rsid w:val="4E8862BB"/>
    <w:rsid w:val="4E8C7B5A"/>
    <w:rsid w:val="4EB32D66"/>
    <w:rsid w:val="4EB8094F"/>
    <w:rsid w:val="4EBE1CDD"/>
    <w:rsid w:val="4EE334F2"/>
    <w:rsid w:val="4EF0595D"/>
    <w:rsid w:val="4EFC2E22"/>
    <w:rsid w:val="4EFC670B"/>
    <w:rsid w:val="4EFD45B3"/>
    <w:rsid w:val="4F053468"/>
    <w:rsid w:val="4F42290E"/>
    <w:rsid w:val="4F4E4E0F"/>
    <w:rsid w:val="4F50502B"/>
    <w:rsid w:val="4F5D32A4"/>
    <w:rsid w:val="4F7F35E3"/>
    <w:rsid w:val="4F870321"/>
    <w:rsid w:val="4F8922EB"/>
    <w:rsid w:val="4F8B1BBF"/>
    <w:rsid w:val="4F9273F2"/>
    <w:rsid w:val="4F936CC6"/>
    <w:rsid w:val="4FA57CEC"/>
    <w:rsid w:val="4FAD5FDA"/>
    <w:rsid w:val="4FC60DA1"/>
    <w:rsid w:val="4FD55530"/>
    <w:rsid w:val="4FF4200C"/>
    <w:rsid w:val="4FFD05E3"/>
    <w:rsid w:val="5000221B"/>
    <w:rsid w:val="50011E81"/>
    <w:rsid w:val="500E459E"/>
    <w:rsid w:val="502E071A"/>
    <w:rsid w:val="502F2E92"/>
    <w:rsid w:val="50395ABF"/>
    <w:rsid w:val="504B57F2"/>
    <w:rsid w:val="5052092F"/>
    <w:rsid w:val="505301A3"/>
    <w:rsid w:val="50597F0F"/>
    <w:rsid w:val="505B2197"/>
    <w:rsid w:val="505C355C"/>
    <w:rsid w:val="50617C70"/>
    <w:rsid w:val="506C277D"/>
    <w:rsid w:val="506C27EE"/>
    <w:rsid w:val="506E3F2C"/>
    <w:rsid w:val="5073598C"/>
    <w:rsid w:val="507902E3"/>
    <w:rsid w:val="507A2D98"/>
    <w:rsid w:val="50834F8C"/>
    <w:rsid w:val="508D7BB9"/>
    <w:rsid w:val="509176A9"/>
    <w:rsid w:val="50962F12"/>
    <w:rsid w:val="50A866F2"/>
    <w:rsid w:val="50AB2FBE"/>
    <w:rsid w:val="50B2258E"/>
    <w:rsid w:val="50B74C36"/>
    <w:rsid w:val="50C50B26"/>
    <w:rsid w:val="50C80BF1"/>
    <w:rsid w:val="50DD75B9"/>
    <w:rsid w:val="50E579F5"/>
    <w:rsid w:val="50EA0B4F"/>
    <w:rsid w:val="50EC48E0"/>
    <w:rsid w:val="5100482F"/>
    <w:rsid w:val="51025EB1"/>
    <w:rsid w:val="51131A4D"/>
    <w:rsid w:val="51145BE4"/>
    <w:rsid w:val="51204589"/>
    <w:rsid w:val="512E4EF8"/>
    <w:rsid w:val="514E7348"/>
    <w:rsid w:val="516624D4"/>
    <w:rsid w:val="51714DE5"/>
    <w:rsid w:val="517B21F2"/>
    <w:rsid w:val="518014CC"/>
    <w:rsid w:val="51826FF2"/>
    <w:rsid w:val="51945803"/>
    <w:rsid w:val="51974469"/>
    <w:rsid w:val="51990B70"/>
    <w:rsid w:val="51A60F32"/>
    <w:rsid w:val="51AB479B"/>
    <w:rsid w:val="51BB2A6F"/>
    <w:rsid w:val="51C25640"/>
    <w:rsid w:val="51CB6BEB"/>
    <w:rsid w:val="51D04201"/>
    <w:rsid w:val="51D11D27"/>
    <w:rsid w:val="51D51818"/>
    <w:rsid w:val="51DA0BDC"/>
    <w:rsid w:val="520420FD"/>
    <w:rsid w:val="520E0886"/>
    <w:rsid w:val="522105B9"/>
    <w:rsid w:val="5221680B"/>
    <w:rsid w:val="52304CA0"/>
    <w:rsid w:val="523302EC"/>
    <w:rsid w:val="52383B54"/>
    <w:rsid w:val="52397FF8"/>
    <w:rsid w:val="523A78CD"/>
    <w:rsid w:val="523C489A"/>
    <w:rsid w:val="524D7600"/>
    <w:rsid w:val="525E09AF"/>
    <w:rsid w:val="52630BD1"/>
    <w:rsid w:val="52662470"/>
    <w:rsid w:val="52720E14"/>
    <w:rsid w:val="52734B8D"/>
    <w:rsid w:val="527C31C3"/>
    <w:rsid w:val="528172AA"/>
    <w:rsid w:val="529009CE"/>
    <w:rsid w:val="52923265"/>
    <w:rsid w:val="529671F9"/>
    <w:rsid w:val="529F5982"/>
    <w:rsid w:val="52BE04FE"/>
    <w:rsid w:val="52C11D9C"/>
    <w:rsid w:val="52C864AF"/>
    <w:rsid w:val="52CA50F4"/>
    <w:rsid w:val="52CB49C9"/>
    <w:rsid w:val="52D153BA"/>
    <w:rsid w:val="52D94373"/>
    <w:rsid w:val="52DD4E28"/>
    <w:rsid w:val="52E14910"/>
    <w:rsid w:val="52E837CD"/>
    <w:rsid w:val="52F061DD"/>
    <w:rsid w:val="52FC2DD4"/>
    <w:rsid w:val="52FC4B82"/>
    <w:rsid w:val="530968C9"/>
    <w:rsid w:val="5311062D"/>
    <w:rsid w:val="53220A8C"/>
    <w:rsid w:val="53234805"/>
    <w:rsid w:val="53243805"/>
    <w:rsid w:val="534053B7"/>
    <w:rsid w:val="534122A6"/>
    <w:rsid w:val="53566988"/>
    <w:rsid w:val="53582700"/>
    <w:rsid w:val="536B2C7B"/>
    <w:rsid w:val="53755060"/>
    <w:rsid w:val="539146B2"/>
    <w:rsid w:val="53A44F5A"/>
    <w:rsid w:val="53A72D40"/>
    <w:rsid w:val="53AE2073"/>
    <w:rsid w:val="53B10062"/>
    <w:rsid w:val="53B51901"/>
    <w:rsid w:val="53B86CFB"/>
    <w:rsid w:val="53C733E2"/>
    <w:rsid w:val="53D8739D"/>
    <w:rsid w:val="53DB1569"/>
    <w:rsid w:val="53E21FCA"/>
    <w:rsid w:val="53F97408"/>
    <w:rsid w:val="53FD6E04"/>
    <w:rsid w:val="54036CC8"/>
    <w:rsid w:val="54041F40"/>
    <w:rsid w:val="541F6411"/>
    <w:rsid w:val="542603BD"/>
    <w:rsid w:val="54273E81"/>
    <w:rsid w:val="542B3971"/>
    <w:rsid w:val="5434276E"/>
    <w:rsid w:val="544A72F2"/>
    <w:rsid w:val="545C1D7C"/>
    <w:rsid w:val="54613836"/>
    <w:rsid w:val="547F2161"/>
    <w:rsid w:val="54817A35"/>
    <w:rsid w:val="54977258"/>
    <w:rsid w:val="549C661D"/>
    <w:rsid w:val="54DE6C35"/>
    <w:rsid w:val="54E55B5A"/>
    <w:rsid w:val="54F90031"/>
    <w:rsid w:val="550F3292"/>
    <w:rsid w:val="55175CA3"/>
    <w:rsid w:val="551E5CEB"/>
    <w:rsid w:val="552D3719"/>
    <w:rsid w:val="552D54C7"/>
    <w:rsid w:val="55313209"/>
    <w:rsid w:val="55366A71"/>
    <w:rsid w:val="553B2061"/>
    <w:rsid w:val="554503F2"/>
    <w:rsid w:val="55466588"/>
    <w:rsid w:val="55521CC9"/>
    <w:rsid w:val="55713605"/>
    <w:rsid w:val="55833339"/>
    <w:rsid w:val="558F36ED"/>
    <w:rsid w:val="559030DD"/>
    <w:rsid w:val="55B654BC"/>
    <w:rsid w:val="55B80731"/>
    <w:rsid w:val="55C951EF"/>
    <w:rsid w:val="55E262B1"/>
    <w:rsid w:val="55E464CD"/>
    <w:rsid w:val="55EC1D20"/>
    <w:rsid w:val="55F85AD5"/>
    <w:rsid w:val="55FF3307"/>
    <w:rsid w:val="56002BDB"/>
    <w:rsid w:val="56082D21"/>
    <w:rsid w:val="560B1CAC"/>
    <w:rsid w:val="561A5A4B"/>
    <w:rsid w:val="56260894"/>
    <w:rsid w:val="563C2F09"/>
    <w:rsid w:val="566156C7"/>
    <w:rsid w:val="56680EAC"/>
    <w:rsid w:val="566E3FE9"/>
    <w:rsid w:val="568B24D8"/>
    <w:rsid w:val="569F2107"/>
    <w:rsid w:val="56A60C81"/>
    <w:rsid w:val="56AF6ADB"/>
    <w:rsid w:val="56B7773E"/>
    <w:rsid w:val="56B85264"/>
    <w:rsid w:val="56B91708"/>
    <w:rsid w:val="56BE0ACC"/>
    <w:rsid w:val="56BF4844"/>
    <w:rsid w:val="56C53F2C"/>
    <w:rsid w:val="56CD0D0F"/>
    <w:rsid w:val="56CF0F2B"/>
    <w:rsid w:val="56E878F7"/>
    <w:rsid w:val="56EF07AE"/>
    <w:rsid w:val="56F52014"/>
    <w:rsid w:val="56F76347"/>
    <w:rsid w:val="56FB2E36"/>
    <w:rsid w:val="56FC15F5"/>
    <w:rsid w:val="57034731"/>
    <w:rsid w:val="570F757A"/>
    <w:rsid w:val="5714693E"/>
    <w:rsid w:val="5726041F"/>
    <w:rsid w:val="57346FE0"/>
    <w:rsid w:val="573945F7"/>
    <w:rsid w:val="573B036F"/>
    <w:rsid w:val="573C5E95"/>
    <w:rsid w:val="573E1C0D"/>
    <w:rsid w:val="574B7E86"/>
    <w:rsid w:val="575D5EE9"/>
    <w:rsid w:val="576F7D6A"/>
    <w:rsid w:val="57720D87"/>
    <w:rsid w:val="57957137"/>
    <w:rsid w:val="579B0E0D"/>
    <w:rsid w:val="579E445A"/>
    <w:rsid w:val="57A23F4A"/>
    <w:rsid w:val="57A316AD"/>
    <w:rsid w:val="57A63600"/>
    <w:rsid w:val="57A9177C"/>
    <w:rsid w:val="57C93BCD"/>
    <w:rsid w:val="57D35153"/>
    <w:rsid w:val="57DD4F82"/>
    <w:rsid w:val="57E26A3C"/>
    <w:rsid w:val="57E75E01"/>
    <w:rsid w:val="57F30C49"/>
    <w:rsid w:val="57F80C60"/>
    <w:rsid w:val="57FD3876"/>
    <w:rsid w:val="580C3AB9"/>
    <w:rsid w:val="580D791A"/>
    <w:rsid w:val="58175C92"/>
    <w:rsid w:val="58361311"/>
    <w:rsid w:val="583D1EC5"/>
    <w:rsid w:val="58417C07"/>
    <w:rsid w:val="58507E4A"/>
    <w:rsid w:val="585651F5"/>
    <w:rsid w:val="586631C9"/>
    <w:rsid w:val="58705DF6"/>
    <w:rsid w:val="58975289"/>
    <w:rsid w:val="589A10C5"/>
    <w:rsid w:val="589D5A46"/>
    <w:rsid w:val="58AB1524"/>
    <w:rsid w:val="58C12AF6"/>
    <w:rsid w:val="58C85C32"/>
    <w:rsid w:val="58CD149A"/>
    <w:rsid w:val="58DC348C"/>
    <w:rsid w:val="58E42340"/>
    <w:rsid w:val="58F93C0A"/>
    <w:rsid w:val="59103545"/>
    <w:rsid w:val="59285014"/>
    <w:rsid w:val="593432C8"/>
    <w:rsid w:val="593F3A1A"/>
    <w:rsid w:val="59413C36"/>
    <w:rsid w:val="5947124D"/>
    <w:rsid w:val="59481887"/>
    <w:rsid w:val="594A2AEB"/>
    <w:rsid w:val="594D4389"/>
    <w:rsid w:val="595079D6"/>
    <w:rsid w:val="59611BE3"/>
    <w:rsid w:val="59684D1F"/>
    <w:rsid w:val="5970084D"/>
    <w:rsid w:val="597E09E7"/>
    <w:rsid w:val="59995821"/>
    <w:rsid w:val="599E0F7F"/>
    <w:rsid w:val="59A3044D"/>
    <w:rsid w:val="59AD6BD6"/>
    <w:rsid w:val="59AF294E"/>
    <w:rsid w:val="59B937CD"/>
    <w:rsid w:val="59DB1995"/>
    <w:rsid w:val="59DB3743"/>
    <w:rsid w:val="59E120BA"/>
    <w:rsid w:val="59E545C2"/>
    <w:rsid w:val="59EF71EF"/>
    <w:rsid w:val="59F36CDF"/>
    <w:rsid w:val="59F9006D"/>
    <w:rsid w:val="5A0013FC"/>
    <w:rsid w:val="5A056A12"/>
    <w:rsid w:val="5A0709DC"/>
    <w:rsid w:val="5A0C1B4F"/>
    <w:rsid w:val="5A107ABE"/>
    <w:rsid w:val="5A186745"/>
    <w:rsid w:val="5A1B7FE4"/>
    <w:rsid w:val="5A2277D3"/>
    <w:rsid w:val="5A2570B4"/>
    <w:rsid w:val="5A3115B5"/>
    <w:rsid w:val="5A33532D"/>
    <w:rsid w:val="5A3957E9"/>
    <w:rsid w:val="5A3D276D"/>
    <w:rsid w:val="5A4E03B9"/>
    <w:rsid w:val="5A7A5D25"/>
    <w:rsid w:val="5AAB580B"/>
    <w:rsid w:val="5ABA77FD"/>
    <w:rsid w:val="5AD308BE"/>
    <w:rsid w:val="5ADC7773"/>
    <w:rsid w:val="5ADD34EB"/>
    <w:rsid w:val="5ADE798F"/>
    <w:rsid w:val="5AE96334"/>
    <w:rsid w:val="5AF2343A"/>
    <w:rsid w:val="5B0D2022"/>
    <w:rsid w:val="5B0E7B48"/>
    <w:rsid w:val="5B2B24A8"/>
    <w:rsid w:val="5B417F1E"/>
    <w:rsid w:val="5B4D241F"/>
    <w:rsid w:val="5B687259"/>
    <w:rsid w:val="5B7976B8"/>
    <w:rsid w:val="5B85605C"/>
    <w:rsid w:val="5B8878FB"/>
    <w:rsid w:val="5B8F6EDB"/>
    <w:rsid w:val="5B904A5E"/>
    <w:rsid w:val="5B9462A0"/>
    <w:rsid w:val="5BA67D81"/>
    <w:rsid w:val="5BAC6AF2"/>
    <w:rsid w:val="5BBE156E"/>
    <w:rsid w:val="5BCA7F13"/>
    <w:rsid w:val="5BE11054"/>
    <w:rsid w:val="5BE15F8D"/>
    <w:rsid w:val="5BE508A9"/>
    <w:rsid w:val="5BE54D4D"/>
    <w:rsid w:val="5BF166F0"/>
    <w:rsid w:val="5BF1724E"/>
    <w:rsid w:val="5BF60D08"/>
    <w:rsid w:val="5BFD2097"/>
    <w:rsid w:val="5C0827EA"/>
    <w:rsid w:val="5C0C4088"/>
    <w:rsid w:val="5C1A7126"/>
    <w:rsid w:val="5C1B2D56"/>
    <w:rsid w:val="5C2238AB"/>
    <w:rsid w:val="5C2A09B2"/>
    <w:rsid w:val="5C370523"/>
    <w:rsid w:val="5C846C36"/>
    <w:rsid w:val="5C86208C"/>
    <w:rsid w:val="5C8E0F41"/>
    <w:rsid w:val="5C910A31"/>
    <w:rsid w:val="5C930305"/>
    <w:rsid w:val="5C9522F3"/>
    <w:rsid w:val="5C987A6F"/>
    <w:rsid w:val="5C9E6FFE"/>
    <w:rsid w:val="5CAC7619"/>
    <w:rsid w:val="5CB82B9E"/>
    <w:rsid w:val="5CCB7A9F"/>
    <w:rsid w:val="5CD050B5"/>
    <w:rsid w:val="5CD54DC2"/>
    <w:rsid w:val="5CEE378D"/>
    <w:rsid w:val="5CF3349A"/>
    <w:rsid w:val="5CFF31EA"/>
    <w:rsid w:val="5D027239"/>
    <w:rsid w:val="5D170F36"/>
    <w:rsid w:val="5D1E0063"/>
    <w:rsid w:val="5D245401"/>
    <w:rsid w:val="5D384FD7"/>
    <w:rsid w:val="5D395350"/>
    <w:rsid w:val="5D414205"/>
    <w:rsid w:val="5D415FB3"/>
    <w:rsid w:val="5D46181B"/>
    <w:rsid w:val="5D525F29"/>
    <w:rsid w:val="5D526412"/>
    <w:rsid w:val="5D535CE6"/>
    <w:rsid w:val="5D55249C"/>
    <w:rsid w:val="5D7C523D"/>
    <w:rsid w:val="5D81328C"/>
    <w:rsid w:val="5D911291"/>
    <w:rsid w:val="5DAA1DAA"/>
    <w:rsid w:val="5DAA7FFC"/>
    <w:rsid w:val="5DAF116F"/>
    <w:rsid w:val="5DAF73C1"/>
    <w:rsid w:val="5DBF0709"/>
    <w:rsid w:val="5DC7295C"/>
    <w:rsid w:val="5DD15589"/>
    <w:rsid w:val="5DD56503"/>
    <w:rsid w:val="5DF057EA"/>
    <w:rsid w:val="5DF11787"/>
    <w:rsid w:val="5DFC012C"/>
    <w:rsid w:val="5E021BE6"/>
    <w:rsid w:val="5E053485"/>
    <w:rsid w:val="5E0A0A9B"/>
    <w:rsid w:val="5E0C4813"/>
    <w:rsid w:val="5E111E29"/>
    <w:rsid w:val="5E224037"/>
    <w:rsid w:val="5E287173"/>
    <w:rsid w:val="5E316028"/>
    <w:rsid w:val="5E4F2952"/>
    <w:rsid w:val="5E581806"/>
    <w:rsid w:val="5E5B30A5"/>
    <w:rsid w:val="5E6160E7"/>
    <w:rsid w:val="5E6230CD"/>
    <w:rsid w:val="5E6737F7"/>
    <w:rsid w:val="5E914D18"/>
    <w:rsid w:val="5E930A90"/>
    <w:rsid w:val="5E9842F9"/>
    <w:rsid w:val="5E987E55"/>
    <w:rsid w:val="5EA507C4"/>
    <w:rsid w:val="5EA52305"/>
    <w:rsid w:val="5EAC56AE"/>
    <w:rsid w:val="5EB84469"/>
    <w:rsid w:val="5ED4433C"/>
    <w:rsid w:val="5EE00BB3"/>
    <w:rsid w:val="5EE4067B"/>
    <w:rsid w:val="5EE4753E"/>
    <w:rsid w:val="5EFC6636"/>
    <w:rsid w:val="5F0157EA"/>
    <w:rsid w:val="5F021772"/>
    <w:rsid w:val="5F100333"/>
    <w:rsid w:val="5F1A4D0E"/>
    <w:rsid w:val="5F2E2567"/>
    <w:rsid w:val="5F2E6ABA"/>
    <w:rsid w:val="5F4D50E3"/>
    <w:rsid w:val="5F5A2DA2"/>
    <w:rsid w:val="5F63348B"/>
    <w:rsid w:val="5F65716A"/>
    <w:rsid w:val="5F731427"/>
    <w:rsid w:val="5F7F2DC3"/>
    <w:rsid w:val="5F813C55"/>
    <w:rsid w:val="5F8351CE"/>
    <w:rsid w:val="5FA07B9D"/>
    <w:rsid w:val="5FA6729F"/>
    <w:rsid w:val="5FAC3308"/>
    <w:rsid w:val="5FB62BC7"/>
    <w:rsid w:val="5FB962D5"/>
    <w:rsid w:val="5FD2383A"/>
    <w:rsid w:val="5FD27396"/>
    <w:rsid w:val="5FD749AD"/>
    <w:rsid w:val="5FDB26EF"/>
    <w:rsid w:val="5FF11F12"/>
    <w:rsid w:val="5FF27777"/>
    <w:rsid w:val="600532C8"/>
    <w:rsid w:val="600A2FD4"/>
    <w:rsid w:val="60206354"/>
    <w:rsid w:val="603575FB"/>
    <w:rsid w:val="60397415"/>
    <w:rsid w:val="60455DBA"/>
    <w:rsid w:val="6051650D"/>
    <w:rsid w:val="605B435E"/>
    <w:rsid w:val="605D58D7"/>
    <w:rsid w:val="606D5311"/>
    <w:rsid w:val="60716BAF"/>
    <w:rsid w:val="607B7A2E"/>
    <w:rsid w:val="60844AE7"/>
    <w:rsid w:val="60A3539C"/>
    <w:rsid w:val="60A725D1"/>
    <w:rsid w:val="60AC5E39"/>
    <w:rsid w:val="60B349C5"/>
    <w:rsid w:val="60C018E5"/>
    <w:rsid w:val="60C10D92"/>
    <w:rsid w:val="60CD22A0"/>
    <w:rsid w:val="60D64C64"/>
    <w:rsid w:val="60DB671F"/>
    <w:rsid w:val="60DD4245"/>
    <w:rsid w:val="60E27AAD"/>
    <w:rsid w:val="60E9469A"/>
    <w:rsid w:val="60F92651"/>
    <w:rsid w:val="61181721"/>
    <w:rsid w:val="611F03B9"/>
    <w:rsid w:val="612754C0"/>
    <w:rsid w:val="612B3202"/>
    <w:rsid w:val="613100ED"/>
    <w:rsid w:val="61354081"/>
    <w:rsid w:val="613A51F3"/>
    <w:rsid w:val="614822A7"/>
    <w:rsid w:val="614D13CA"/>
    <w:rsid w:val="614E5143"/>
    <w:rsid w:val="61565DA5"/>
    <w:rsid w:val="615A7643"/>
    <w:rsid w:val="615E224C"/>
    <w:rsid w:val="61691F7C"/>
    <w:rsid w:val="61700C15"/>
    <w:rsid w:val="61842912"/>
    <w:rsid w:val="618A55E0"/>
    <w:rsid w:val="61923281"/>
    <w:rsid w:val="61A82AA5"/>
    <w:rsid w:val="61B34FA6"/>
    <w:rsid w:val="61BA4586"/>
    <w:rsid w:val="61C42E67"/>
    <w:rsid w:val="61CB6793"/>
    <w:rsid w:val="61E138C1"/>
    <w:rsid w:val="61E821B0"/>
    <w:rsid w:val="620A1069"/>
    <w:rsid w:val="62126170"/>
    <w:rsid w:val="621A5025"/>
    <w:rsid w:val="621C6FEF"/>
    <w:rsid w:val="622240E6"/>
    <w:rsid w:val="6223212B"/>
    <w:rsid w:val="622639C9"/>
    <w:rsid w:val="62375BD7"/>
    <w:rsid w:val="624759E4"/>
    <w:rsid w:val="624F4CCE"/>
    <w:rsid w:val="62593D9F"/>
    <w:rsid w:val="625D7BF0"/>
    <w:rsid w:val="62612C54"/>
    <w:rsid w:val="62620EA5"/>
    <w:rsid w:val="627110E9"/>
    <w:rsid w:val="628903DB"/>
    <w:rsid w:val="62A274F4"/>
    <w:rsid w:val="62A80882"/>
    <w:rsid w:val="62AA45FB"/>
    <w:rsid w:val="62B9215C"/>
    <w:rsid w:val="62BD568B"/>
    <w:rsid w:val="62BE3C02"/>
    <w:rsid w:val="62CD2097"/>
    <w:rsid w:val="62D058DC"/>
    <w:rsid w:val="62D6745D"/>
    <w:rsid w:val="62D81AB9"/>
    <w:rsid w:val="62DD052C"/>
    <w:rsid w:val="62E018F9"/>
    <w:rsid w:val="62EE2739"/>
    <w:rsid w:val="62F675F7"/>
    <w:rsid w:val="62F81F17"/>
    <w:rsid w:val="62FD0BCE"/>
    <w:rsid w:val="6311467A"/>
    <w:rsid w:val="63141845"/>
    <w:rsid w:val="631754A0"/>
    <w:rsid w:val="631F0B45"/>
    <w:rsid w:val="632223E3"/>
    <w:rsid w:val="63293771"/>
    <w:rsid w:val="632E0D88"/>
    <w:rsid w:val="632F68AE"/>
    <w:rsid w:val="63415BD9"/>
    <w:rsid w:val="63556314"/>
    <w:rsid w:val="636062D7"/>
    <w:rsid w:val="6361115D"/>
    <w:rsid w:val="63750765"/>
    <w:rsid w:val="637644DD"/>
    <w:rsid w:val="63827325"/>
    <w:rsid w:val="639826A5"/>
    <w:rsid w:val="63A159FD"/>
    <w:rsid w:val="63A16F83"/>
    <w:rsid w:val="63B374DF"/>
    <w:rsid w:val="63E61662"/>
    <w:rsid w:val="63EC3C2E"/>
    <w:rsid w:val="63EE0517"/>
    <w:rsid w:val="63EF49BB"/>
    <w:rsid w:val="63F024E1"/>
    <w:rsid w:val="63FF0976"/>
    <w:rsid w:val="6401024A"/>
    <w:rsid w:val="64041226"/>
    <w:rsid w:val="641E6A9F"/>
    <w:rsid w:val="64373C6C"/>
    <w:rsid w:val="64496AFC"/>
    <w:rsid w:val="644D16E1"/>
    <w:rsid w:val="64542A70"/>
    <w:rsid w:val="646A4041"/>
    <w:rsid w:val="647635E8"/>
    <w:rsid w:val="647775C0"/>
    <w:rsid w:val="648275DD"/>
    <w:rsid w:val="64837248"/>
    <w:rsid w:val="64966BE4"/>
    <w:rsid w:val="64994053"/>
    <w:rsid w:val="649E018F"/>
    <w:rsid w:val="64A21A2D"/>
    <w:rsid w:val="64C5571C"/>
    <w:rsid w:val="64CB27C0"/>
    <w:rsid w:val="64CC53EB"/>
    <w:rsid w:val="64CD2E6D"/>
    <w:rsid w:val="64CF20F6"/>
    <w:rsid w:val="64E744B3"/>
    <w:rsid w:val="65053D6A"/>
    <w:rsid w:val="65077AE2"/>
    <w:rsid w:val="65085608"/>
    <w:rsid w:val="651915C4"/>
    <w:rsid w:val="65420B1A"/>
    <w:rsid w:val="654A27C5"/>
    <w:rsid w:val="654C7BEB"/>
    <w:rsid w:val="654E74BF"/>
    <w:rsid w:val="6583773F"/>
    <w:rsid w:val="658B24C1"/>
    <w:rsid w:val="659B647C"/>
    <w:rsid w:val="65A13A93"/>
    <w:rsid w:val="65A63868"/>
    <w:rsid w:val="65B71508"/>
    <w:rsid w:val="65D33E68"/>
    <w:rsid w:val="65DF280D"/>
    <w:rsid w:val="65E61A42"/>
    <w:rsid w:val="65EE2A50"/>
    <w:rsid w:val="65F55B8D"/>
    <w:rsid w:val="65FC1361"/>
    <w:rsid w:val="66081D64"/>
    <w:rsid w:val="66110D10"/>
    <w:rsid w:val="661E3335"/>
    <w:rsid w:val="66293A88"/>
    <w:rsid w:val="66377F53"/>
    <w:rsid w:val="663F505A"/>
    <w:rsid w:val="665F56FC"/>
    <w:rsid w:val="66630D48"/>
    <w:rsid w:val="667747F4"/>
    <w:rsid w:val="66996E60"/>
    <w:rsid w:val="669B4986"/>
    <w:rsid w:val="669E4476"/>
    <w:rsid w:val="66AF3F8D"/>
    <w:rsid w:val="66B21CD0"/>
    <w:rsid w:val="66B43C9A"/>
    <w:rsid w:val="66BB428A"/>
    <w:rsid w:val="66C67529"/>
    <w:rsid w:val="66D6776C"/>
    <w:rsid w:val="66E07BC1"/>
    <w:rsid w:val="66E42BA0"/>
    <w:rsid w:val="66EA1469"/>
    <w:rsid w:val="66F10A4A"/>
    <w:rsid w:val="66F2031E"/>
    <w:rsid w:val="66F44096"/>
    <w:rsid w:val="66F81D1F"/>
    <w:rsid w:val="66F978FF"/>
    <w:rsid w:val="66FA39C2"/>
    <w:rsid w:val="67006EDF"/>
    <w:rsid w:val="670267B3"/>
    <w:rsid w:val="670C7E41"/>
    <w:rsid w:val="670F2C7E"/>
    <w:rsid w:val="671604B0"/>
    <w:rsid w:val="673B1CC5"/>
    <w:rsid w:val="675D1C3B"/>
    <w:rsid w:val="675E59B4"/>
    <w:rsid w:val="675F3C06"/>
    <w:rsid w:val="67620151"/>
    <w:rsid w:val="676B07FC"/>
    <w:rsid w:val="677156E7"/>
    <w:rsid w:val="6784366C"/>
    <w:rsid w:val="67966EFB"/>
    <w:rsid w:val="67980D82"/>
    <w:rsid w:val="67B47573"/>
    <w:rsid w:val="67C25F42"/>
    <w:rsid w:val="67C51FCF"/>
    <w:rsid w:val="67C87352"/>
    <w:rsid w:val="67F85E08"/>
    <w:rsid w:val="67FA1B80"/>
    <w:rsid w:val="68095BBE"/>
    <w:rsid w:val="680D0401"/>
    <w:rsid w:val="680F30E4"/>
    <w:rsid w:val="68111A8C"/>
    <w:rsid w:val="68145659"/>
    <w:rsid w:val="68224AD1"/>
    <w:rsid w:val="68501A07"/>
    <w:rsid w:val="68525518"/>
    <w:rsid w:val="685F1F4E"/>
    <w:rsid w:val="68602EF6"/>
    <w:rsid w:val="68617509"/>
    <w:rsid w:val="687E00BB"/>
    <w:rsid w:val="68823E8D"/>
    <w:rsid w:val="68831B76"/>
    <w:rsid w:val="68917132"/>
    <w:rsid w:val="68AA7102"/>
    <w:rsid w:val="68AF64C7"/>
    <w:rsid w:val="68BB30BE"/>
    <w:rsid w:val="68D128E1"/>
    <w:rsid w:val="68E02B24"/>
    <w:rsid w:val="68F44821"/>
    <w:rsid w:val="68FD5F3D"/>
    <w:rsid w:val="69015C29"/>
    <w:rsid w:val="6901614A"/>
    <w:rsid w:val="69076303"/>
    <w:rsid w:val="69092D7D"/>
    <w:rsid w:val="691465E0"/>
    <w:rsid w:val="691722BE"/>
    <w:rsid w:val="691E364C"/>
    <w:rsid w:val="69202CA9"/>
    <w:rsid w:val="6922313D"/>
    <w:rsid w:val="69470DF5"/>
    <w:rsid w:val="694766FF"/>
    <w:rsid w:val="695452C0"/>
    <w:rsid w:val="69584DB0"/>
    <w:rsid w:val="695B21AB"/>
    <w:rsid w:val="69601EB7"/>
    <w:rsid w:val="69635503"/>
    <w:rsid w:val="698335C6"/>
    <w:rsid w:val="6994390F"/>
    <w:rsid w:val="69A47FF6"/>
    <w:rsid w:val="69B0699A"/>
    <w:rsid w:val="69C441F4"/>
    <w:rsid w:val="69C53AC8"/>
    <w:rsid w:val="69DA57C5"/>
    <w:rsid w:val="69F36887"/>
    <w:rsid w:val="69F83E9D"/>
    <w:rsid w:val="69FA4299"/>
    <w:rsid w:val="69FC398E"/>
    <w:rsid w:val="69FC5FED"/>
    <w:rsid w:val="69FF347E"/>
    <w:rsid w:val="6A086555"/>
    <w:rsid w:val="6A0D5B9B"/>
    <w:rsid w:val="6A12254A"/>
    <w:rsid w:val="6A1862EE"/>
    <w:rsid w:val="6A1A7CF2"/>
    <w:rsid w:val="6A2151A2"/>
    <w:rsid w:val="6A2E3D63"/>
    <w:rsid w:val="6A4B221F"/>
    <w:rsid w:val="6A4C4D11"/>
    <w:rsid w:val="6A524667"/>
    <w:rsid w:val="6A5A6906"/>
    <w:rsid w:val="6A5C61DA"/>
    <w:rsid w:val="6A692012"/>
    <w:rsid w:val="6A753740"/>
    <w:rsid w:val="6A7F636D"/>
    <w:rsid w:val="6A7F678D"/>
    <w:rsid w:val="6A8676FB"/>
    <w:rsid w:val="6A8E65B0"/>
    <w:rsid w:val="6A9242F2"/>
    <w:rsid w:val="6AA55DB5"/>
    <w:rsid w:val="6AB06526"/>
    <w:rsid w:val="6AB525A4"/>
    <w:rsid w:val="6AB9187F"/>
    <w:rsid w:val="6ABA5127"/>
    <w:rsid w:val="6AC454F4"/>
    <w:rsid w:val="6AD46C1B"/>
    <w:rsid w:val="6AD761A9"/>
    <w:rsid w:val="6ADC556D"/>
    <w:rsid w:val="6ADE12E5"/>
    <w:rsid w:val="6AE54422"/>
    <w:rsid w:val="6AEA1A38"/>
    <w:rsid w:val="6AFC7F69"/>
    <w:rsid w:val="6B016D82"/>
    <w:rsid w:val="6B0625EA"/>
    <w:rsid w:val="6B080110"/>
    <w:rsid w:val="6B1C0AB8"/>
    <w:rsid w:val="6B1D005F"/>
    <w:rsid w:val="6B3453A9"/>
    <w:rsid w:val="6B3B04E6"/>
    <w:rsid w:val="6B413622"/>
    <w:rsid w:val="6B513865"/>
    <w:rsid w:val="6B555497"/>
    <w:rsid w:val="6B5C220A"/>
    <w:rsid w:val="6B62463B"/>
    <w:rsid w:val="6B6C069F"/>
    <w:rsid w:val="6B6E08BB"/>
    <w:rsid w:val="6B712159"/>
    <w:rsid w:val="6B737C7F"/>
    <w:rsid w:val="6B8754D9"/>
    <w:rsid w:val="6B8F438D"/>
    <w:rsid w:val="6B9B71D6"/>
    <w:rsid w:val="6B9E0A74"/>
    <w:rsid w:val="6B9F718E"/>
    <w:rsid w:val="6BA20565"/>
    <w:rsid w:val="6BB34520"/>
    <w:rsid w:val="6BB40298"/>
    <w:rsid w:val="6BC04E8F"/>
    <w:rsid w:val="6BC524A5"/>
    <w:rsid w:val="6BDF3567"/>
    <w:rsid w:val="6BE96194"/>
    <w:rsid w:val="6BE97F42"/>
    <w:rsid w:val="6BEB2BC4"/>
    <w:rsid w:val="6C042FCD"/>
    <w:rsid w:val="6C0F7FD7"/>
    <w:rsid w:val="6C152AE5"/>
    <w:rsid w:val="6C1D408F"/>
    <w:rsid w:val="6C1F3963"/>
    <w:rsid w:val="6C3B62C3"/>
    <w:rsid w:val="6C423AF6"/>
    <w:rsid w:val="6C44161C"/>
    <w:rsid w:val="6C53185F"/>
    <w:rsid w:val="6C585E4D"/>
    <w:rsid w:val="6C6973EC"/>
    <w:rsid w:val="6C705F6D"/>
    <w:rsid w:val="6C757A27"/>
    <w:rsid w:val="6C7C0DB6"/>
    <w:rsid w:val="6C871509"/>
    <w:rsid w:val="6C874CC2"/>
    <w:rsid w:val="6C951E77"/>
    <w:rsid w:val="6CC45EBD"/>
    <w:rsid w:val="6CCE28A2"/>
    <w:rsid w:val="6CCE7137"/>
    <w:rsid w:val="6D06067F"/>
    <w:rsid w:val="6D0E20F8"/>
    <w:rsid w:val="6D1159A2"/>
    <w:rsid w:val="6D1E57CB"/>
    <w:rsid w:val="6D21161F"/>
    <w:rsid w:val="6D2356D5"/>
    <w:rsid w:val="6D270AA3"/>
    <w:rsid w:val="6D2D20B0"/>
    <w:rsid w:val="6D413DAD"/>
    <w:rsid w:val="6D4F63E5"/>
    <w:rsid w:val="6D52044D"/>
    <w:rsid w:val="6D6105B3"/>
    <w:rsid w:val="6D683DB4"/>
    <w:rsid w:val="6D7221B9"/>
    <w:rsid w:val="6D730EC7"/>
    <w:rsid w:val="6D7B052E"/>
    <w:rsid w:val="6D8E68C7"/>
    <w:rsid w:val="6D93632C"/>
    <w:rsid w:val="6DB225B5"/>
    <w:rsid w:val="6DC24EEE"/>
    <w:rsid w:val="6DC9002B"/>
    <w:rsid w:val="6DD30EA9"/>
    <w:rsid w:val="6DEA1D4F"/>
    <w:rsid w:val="6DF54B8F"/>
    <w:rsid w:val="6DFD1A82"/>
    <w:rsid w:val="6E0252EB"/>
    <w:rsid w:val="6E185E2D"/>
    <w:rsid w:val="6E1B06BC"/>
    <w:rsid w:val="6E3B07FD"/>
    <w:rsid w:val="6E407BC1"/>
    <w:rsid w:val="6E4678CD"/>
    <w:rsid w:val="6E4771A1"/>
    <w:rsid w:val="6E58025B"/>
    <w:rsid w:val="6E584699"/>
    <w:rsid w:val="6E641B01"/>
    <w:rsid w:val="6E681C8B"/>
    <w:rsid w:val="6E7116EB"/>
    <w:rsid w:val="6E7A7577"/>
    <w:rsid w:val="6E7C1B49"/>
    <w:rsid w:val="6E9F0D8B"/>
    <w:rsid w:val="6EA96271"/>
    <w:rsid w:val="6EC10845"/>
    <w:rsid w:val="6EC15BA9"/>
    <w:rsid w:val="6ED30A35"/>
    <w:rsid w:val="6EDC4294"/>
    <w:rsid w:val="6EDD3662"/>
    <w:rsid w:val="6EDF260E"/>
    <w:rsid w:val="6EE60768"/>
    <w:rsid w:val="6EEB5D7F"/>
    <w:rsid w:val="6EEB623D"/>
    <w:rsid w:val="6EF03395"/>
    <w:rsid w:val="6EF07839"/>
    <w:rsid w:val="6F0D2199"/>
    <w:rsid w:val="6F100C23"/>
    <w:rsid w:val="6F2C357A"/>
    <w:rsid w:val="6F424458"/>
    <w:rsid w:val="6F4E5EAA"/>
    <w:rsid w:val="6F4F4560"/>
    <w:rsid w:val="6F5002D8"/>
    <w:rsid w:val="6F5D32D7"/>
    <w:rsid w:val="6F6049BF"/>
    <w:rsid w:val="6F667AFB"/>
    <w:rsid w:val="6F6A3147"/>
    <w:rsid w:val="6F6B325C"/>
    <w:rsid w:val="6F776B77"/>
    <w:rsid w:val="6F784AF0"/>
    <w:rsid w:val="6F885CC3"/>
    <w:rsid w:val="6F8C3549"/>
    <w:rsid w:val="6F8F7052"/>
    <w:rsid w:val="6F9F3523"/>
    <w:rsid w:val="6FA7614A"/>
    <w:rsid w:val="6FA80114"/>
    <w:rsid w:val="6FA81EC2"/>
    <w:rsid w:val="6FAE2A7D"/>
    <w:rsid w:val="6FC52A74"/>
    <w:rsid w:val="6FE729EA"/>
    <w:rsid w:val="6FE74798"/>
    <w:rsid w:val="6FFD3FBC"/>
    <w:rsid w:val="6FFF244B"/>
    <w:rsid w:val="700417EE"/>
    <w:rsid w:val="702F34F1"/>
    <w:rsid w:val="704240C4"/>
    <w:rsid w:val="7047716A"/>
    <w:rsid w:val="70483B44"/>
    <w:rsid w:val="704E4817"/>
    <w:rsid w:val="705362D1"/>
    <w:rsid w:val="705F6A24"/>
    <w:rsid w:val="7060454A"/>
    <w:rsid w:val="70672630"/>
    <w:rsid w:val="70673B2B"/>
    <w:rsid w:val="70700C31"/>
    <w:rsid w:val="70745727"/>
    <w:rsid w:val="70857DED"/>
    <w:rsid w:val="70926DFA"/>
    <w:rsid w:val="709561C1"/>
    <w:rsid w:val="70A66401"/>
    <w:rsid w:val="70AB1C6A"/>
    <w:rsid w:val="70B12FF8"/>
    <w:rsid w:val="70D2369A"/>
    <w:rsid w:val="70DB14C5"/>
    <w:rsid w:val="70DD5B9B"/>
    <w:rsid w:val="70E47042"/>
    <w:rsid w:val="70E64A50"/>
    <w:rsid w:val="70FF1FB5"/>
    <w:rsid w:val="710B095A"/>
    <w:rsid w:val="71121CE9"/>
    <w:rsid w:val="71155335"/>
    <w:rsid w:val="71235CA4"/>
    <w:rsid w:val="71303DA9"/>
    <w:rsid w:val="713C0B14"/>
    <w:rsid w:val="714874B8"/>
    <w:rsid w:val="71526589"/>
    <w:rsid w:val="715F4802"/>
    <w:rsid w:val="71672247"/>
    <w:rsid w:val="716B13F9"/>
    <w:rsid w:val="71775FF0"/>
    <w:rsid w:val="717E737E"/>
    <w:rsid w:val="718A7AD1"/>
    <w:rsid w:val="719B1CDE"/>
    <w:rsid w:val="719C15B2"/>
    <w:rsid w:val="71B91357"/>
    <w:rsid w:val="71C07997"/>
    <w:rsid w:val="71E82A49"/>
    <w:rsid w:val="71E865E8"/>
    <w:rsid w:val="71EC42E8"/>
    <w:rsid w:val="71F238C8"/>
    <w:rsid w:val="71F31C8D"/>
    <w:rsid w:val="722246CE"/>
    <w:rsid w:val="72253C9E"/>
    <w:rsid w:val="7229553C"/>
    <w:rsid w:val="722C2936"/>
    <w:rsid w:val="723F5DC9"/>
    <w:rsid w:val="724539F8"/>
    <w:rsid w:val="724A7260"/>
    <w:rsid w:val="724F4877"/>
    <w:rsid w:val="725105EF"/>
    <w:rsid w:val="725379DE"/>
    <w:rsid w:val="725A3947"/>
    <w:rsid w:val="72693B8A"/>
    <w:rsid w:val="72935C87"/>
    <w:rsid w:val="7298446F"/>
    <w:rsid w:val="729C5033"/>
    <w:rsid w:val="72B1108D"/>
    <w:rsid w:val="72B666A4"/>
    <w:rsid w:val="72C22F53"/>
    <w:rsid w:val="72CB03A1"/>
    <w:rsid w:val="72D07765"/>
    <w:rsid w:val="72D444F2"/>
    <w:rsid w:val="72D62859"/>
    <w:rsid w:val="72E60F84"/>
    <w:rsid w:val="72EE408F"/>
    <w:rsid w:val="72F62F44"/>
    <w:rsid w:val="72FA3784"/>
    <w:rsid w:val="72FC67AC"/>
    <w:rsid w:val="730438B3"/>
    <w:rsid w:val="73085C46"/>
    <w:rsid w:val="73124222"/>
    <w:rsid w:val="73237318"/>
    <w:rsid w:val="732C5B6B"/>
    <w:rsid w:val="73397A01"/>
    <w:rsid w:val="733C4DFB"/>
    <w:rsid w:val="733F0D8F"/>
    <w:rsid w:val="735A1725"/>
    <w:rsid w:val="735F6D3B"/>
    <w:rsid w:val="73691968"/>
    <w:rsid w:val="73813156"/>
    <w:rsid w:val="73903399"/>
    <w:rsid w:val="73A56DC9"/>
    <w:rsid w:val="73B02001"/>
    <w:rsid w:val="73B057E9"/>
    <w:rsid w:val="73B76B77"/>
    <w:rsid w:val="73C43DFB"/>
    <w:rsid w:val="73D37457"/>
    <w:rsid w:val="73DB3FB6"/>
    <w:rsid w:val="73DC038C"/>
    <w:rsid w:val="73E84F83"/>
    <w:rsid w:val="73EA0CFB"/>
    <w:rsid w:val="73F86908"/>
    <w:rsid w:val="741A4809"/>
    <w:rsid w:val="741E6C86"/>
    <w:rsid w:val="74212243"/>
    <w:rsid w:val="74281823"/>
    <w:rsid w:val="744A6ED7"/>
    <w:rsid w:val="744F0B5E"/>
    <w:rsid w:val="74534AF2"/>
    <w:rsid w:val="745756B7"/>
    <w:rsid w:val="746565D3"/>
    <w:rsid w:val="74674561"/>
    <w:rsid w:val="74784559"/>
    <w:rsid w:val="74792624"/>
    <w:rsid w:val="74862FA0"/>
    <w:rsid w:val="74890514"/>
    <w:rsid w:val="74961BD4"/>
    <w:rsid w:val="749B0247"/>
    <w:rsid w:val="74A964C0"/>
    <w:rsid w:val="74C0380A"/>
    <w:rsid w:val="74D55507"/>
    <w:rsid w:val="74EB4D2A"/>
    <w:rsid w:val="74FB2A94"/>
    <w:rsid w:val="75023E22"/>
    <w:rsid w:val="750B717B"/>
    <w:rsid w:val="7518696C"/>
    <w:rsid w:val="751F49D4"/>
    <w:rsid w:val="752D5343"/>
    <w:rsid w:val="75422471"/>
    <w:rsid w:val="754B57C9"/>
    <w:rsid w:val="754B7577"/>
    <w:rsid w:val="75530B22"/>
    <w:rsid w:val="75581C94"/>
    <w:rsid w:val="755F3023"/>
    <w:rsid w:val="756B19C7"/>
    <w:rsid w:val="756D1BE3"/>
    <w:rsid w:val="75711A3B"/>
    <w:rsid w:val="75734D20"/>
    <w:rsid w:val="7574509B"/>
    <w:rsid w:val="757547D6"/>
    <w:rsid w:val="757F1917"/>
    <w:rsid w:val="757F5473"/>
    <w:rsid w:val="758807CB"/>
    <w:rsid w:val="758D5DE2"/>
    <w:rsid w:val="758F1B5A"/>
    <w:rsid w:val="759B6A0E"/>
    <w:rsid w:val="75A20E0D"/>
    <w:rsid w:val="75AB270C"/>
    <w:rsid w:val="75B710B1"/>
    <w:rsid w:val="75BC2223"/>
    <w:rsid w:val="75CF63FA"/>
    <w:rsid w:val="75E023B5"/>
    <w:rsid w:val="75E874BC"/>
    <w:rsid w:val="75F23E97"/>
    <w:rsid w:val="760F67F7"/>
    <w:rsid w:val="76236746"/>
    <w:rsid w:val="764A5A81"/>
    <w:rsid w:val="764D37C3"/>
    <w:rsid w:val="7662726E"/>
    <w:rsid w:val="766E08D4"/>
    <w:rsid w:val="766E5C13"/>
    <w:rsid w:val="767174B1"/>
    <w:rsid w:val="76796366"/>
    <w:rsid w:val="7684397E"/>
    <w:rsid w:val="76910A96"/>
    <w:rsid w:val="769431A0"/>
    <w:rsid w:val="769B452E"/>
    <w:rsid w:val="76A72ED3"/>
    <w:rsid w:val="76AA4771"/>
    <w:rsid w:val="76B37ACA"/>
    <w:rsid w:val="76B4739E"/>
    <w:rsid w:val="76C05D43"/>
    <w:rsid w:val="76C778EB"/>
    <w:rsid w:val="76DE3E86"/>
    <w:rsid w:val="77161E07"/>
    <w:rsid w:val="77185B7F"/>
    <w:rsid w:val="771D1B65"/>
    <w:rsid w:val="772207AC"/>
    <w:rsid w:val="77274014"/>
    <w:rsid w:val="773E6630"/>
    <w:rsid w:val="775F730A"/>
    <w:rsid w:val="778E37D8"/>
    <w:rsid w:val="77972F48"/>
    <w:rsid w:val="779B2B1C"/>
    <w:rsid w:val="779B69C9"/>
    <w:rsid w:val="779C230C"/>
    <w:rsid w:val="77B21B30"/>
    <w:rsid w:val="77B27D81"/>
    <w:rsid w:val="77B962E8"/>
    <w:rsid w:val="77BC475C"/>
    <w:rsid w:val="77BF424C"/>
    <w:rsid w:val="77CE623E"/>
    <w:rsid w:val="77D53A70"/>
    <w:rsid w:val="77E12415"/>
    <w:rsid w:val="77E837A3"/>
    <w:rsid w:val="77F04406"/>
    <w:rsid w:val="77F4039A"/>
    <w:rsid w:val="77F43EF6"/>
    <w:rsid w:val="780103C1"/>
    <w:rsid w:val="780305DD"/>
    <w:rsid w:val="78055644"/>
    <w:rsid w:val="78061E7B"/>
    <w:rsid w:val="78104F57"/>
    <w:rsid w:val="78141133"/>
    <w:rsid w:val="78177BE5"/>
    <w:rsid w:val="782B0837"/>
    <w:rsid w:val="782D565A"/>
    <w:rsid w:val="784529A4"/>
    <w:rsid w:val="784B3FF3"/>
    <w:rsid w:val="784F737E"/>
    <w:rsid w:val="7859644F"/>
    <w:rsid w:val="78713799"/>
    <w:rsid w:val="787B0173"/>
    <w:rsid w:val="789B25C4"/>
    <w:rsid w:val="789E0306"/>
    <w:rsid w:val="78AA2807"/>
    <w:rsid w:val="78B10039"/>
    <w:rsid w:val="78B638A1"/>
    <w:rsid w:val="78B76110"/>
    <w:rsid w:val="78CA2EA9"/>
    <w:rsid w:val="78CC6C21"/>
    <w:rsid w:val="78D16A46"/>
    <w:rsid w:val="78DA407B"/>
    <w:rsid w:val="78DF4BA6"/>
    <w:rsid w:val="78E0447A"/>
    <w:rsid w:val="78EA354B"/>
    <w:rsid w:val="79144F31"/>
    <w:rsid w:val="791F31F5"/>
    <w:rsid w:val="795B3127"/>
    <w:rsid w:val="795D1F6F"/>
    <w:rsid w:val="79627585"/>
    <w:rsid w:val="79A33E26"/>
    <w:rsid w:val="79AC25AE"/>
    <w:rsid w:val="79B25E17"/>
    <w:rsid w:val="79BA116F"/>
    <w:rsid w:val="79CB17D1"/>
    <w:rsid w:val="79CE4C1B"/>
    <w:rsid w:val="79E869D1"/>
    <w:rsid w:val="79F77CCE"/>
    <w:rsid w:val="79F93A46"/>
    <w:rsid w:val="7A1563A6"/>
    <w:rsid w:val="7A344A7E"/>
    <w:rsid w:val="7A37456E"/>
    <w:rsid w:val="7A4B2370"/>
    <w:rsid w:val="7A533D19"/>
    <w:rsid w:val="7A7430CC"/>
    <w:rsid w:val="7A78007C"/>
    <w:rsid w:val="7A792DD8"/>
    <w:rsid w:val="7A7C6425"/>
    <w:rsid w:val="7A884DCA"/>
    <w:rsid w:val="7A9D6AC7"/>
    <w:rsid w:val="7AA5772A"/>
    <w:rsid w:val="7AAC17CF"/>
    <w:rsid w:val="7AAC5052"/>
    <w:rsid w:val="7AB160CE"/>
    <w:rsid w:val="7AB55439"/>
    <w:rsid w:val="7AB855E2"/>
    <w:rsid w:val="7ABB2C05"/>
    <w:rsid w:val="7ACB4CB6"/>
    <w:rsid w:val="7AD7365B"/>
    <w:rsid w:val="7ADA3941"/>
    <w:rsid w:val="7AE00762"/>
    <w:rsid w:val="7AE75F94"/>
    <w:rsid w:val="7AE77D42"/>
    <w:rsid w:val="7AE90865"/>
    <w:rsid w:val="7AEA5A84"/>
    <w:rsid w:val="7AEF309B"/>
    <w:rsid w:val="7AFD1314"/>
    <w:rsid w:val="7B0556E1"/>
    <w:rsid w:val="7B0E7C5F"/>
    <w:rsid w:val="7B2E3BC3"/>
    <w:rsid w:val="7B432224"/>
    <w:rsid w:val="7B445194"/>
    <w:rsid w:val="7B454A69"/>
    <w:rsid w:val="7B4927AB"/>
    <w:rsid w:val="7B4E7DC1"/>
    <w:rsid w:val="7B6A2E87"/>
    <w:rsid w:val="7B811F45"/>
    <w:rsid w:val="7B857D92"/>
    <w:rsid w:val="7B95779E"/>
    <w:rsid w:val="7BA75723"/>
    <w:rsid w:val="7BAE6AB2"/>
    <w:rsid w:val="7BB42002"/>
    <w:rsid w:val="7BB57D4C"/>
    <w:rsid w:val="7BBE1973"/>
    <w:rsid w:val="7BCB31C0"/>
    <w:rsid w:val="7BDF2246"/>
    <w:rsid w:val="7BEB3862"/>
    <w:rsid w:val="7BFA5853"/>
    <w:rsid w:val="7C120F4C"/>
    <w:rsid w:val="7C2D3E7B"/>
    <w:rsid w:val="7C312C50"/>
    <w:rsid w:val="7C330D65"/>
    <w:rsid w:val="7C374CF9"/>
    <w:rsid w:val="7C3D3992"/>
    <w:rsid w:val="7C466CEA"/>
    <w:rsid w:val="7C480A5D"/>
    <w:rsid w:val="7C4E5B9F"/>
    <w:rsid w:val="7C5238E1"/>
    <w:rsid w:val="7C5C70CC"/>
    <w:rsid w:val="7C701FB9"/>
    <w:rsid w:val="7C705B15"/>
    <w:rsid w:val="7C7B2E38"/>
    <w:rsid w:val="7C8141C6"/>
    <w:rsid w:val="7C815F74"/>
    <w:rsid w:val="7C897791"/>
    <w:rsid w:val="7C8F0691"/>
    <w:rsid w:val="7C943EFA"/>
    <w:rsid w:val="7C9442CF"/>
    <w:rsid w:val="7C961A20"/>
    <w:rsid w:val="7CAD0B17"/>
    <w:rsid w:val="7CB00608"/>
    <w:rsid w:val="7CB0319E"/>
    <w:rsid w:val="7CBC51FE"/>
    <w:rsid w:val="7CD04D2E"/>
    <w:rsid w:val="7CDF06F2"/>
    <w:rsid w:val="7D0746CC"/>
    <w:rsid w:val="7D07647A"/>
    <w:rsid w:val="7D0F0FB9"/>
    <w:rsid w:val="7D170ECC"/>
    <w:rsid w:val="7D1868D9"/>
    <w:rsid w:val="7D20578D"/>
    <w:rsid w:val="7D3354C1"/>
    <w:rsid w:val="7D3905FD"/>
    <w:rsid w:val="7D3E5C13"/>
    <w:rsid w:val="7D403DCC"/>
    <w:rsid w:val="7D4278A5"/>
    <w:rsid w:val="7D5316BF"/>
    <w:rsid w:val="7D55172E"/>
    <w:rsid w:val="7D564C6E"/>
    <w:rsid w:val="7D575E17"/>
    <w:rsid w:val="7D594473"/>
    <w:rsid w:val="7D5E2D6C"/>
    <w:rsid w:val="7D605B8A"/>
    <w:rsid w:val="7D630702"/>
    <w:rsid w:val="7D67516A"/>
    <w:rsid w:val="7D752734"/>
    <w:rsid w:val="7D7635FF"/>
    <w:rsid w:val="7D782ED3"/>
    <w:rsid w:val="7D7C7A36"/>
    <w:rsid w:val="7D80447E"/>
    <w:rsid w:val="7D8201F6"/>
    <w:rsid w:val="7D847ACA"/>
    <w:rsid w:val="7D9360DB"/>
    <w:rsid w:val="7D99109C"/>
    <w:rsid w:val="7D9A72EE"/>
    <w:rsid w:val="7DA92C82"/>
    <w:rsid w:val="7DB46174"/>
    <w:rsid w:val="7DDA1DE0"/>
    <w:rsid w:val="7DDA593C"/>
    <w:rsid w:val="7E0E1A8A"/>
    <w:rsid w:val="7E15681B"/>
    <w:rsid w:val="7E185DAA"/>
    <w:rsid w:val="7E1C5F55"/>
    <w:rsid w:val="7E311026"/>
    <w:rsid w:val="7E32369A"/>
    <w:rsid w:val="7E327E17"/>
    <w:rsid w:val="7E411CAA"/>
    <w:rsid w:val="7E584D50"/>
    <w:rsid w:val="7E5D031B"/>
    <w:rsid w:val="7E5F22E5"/>
    <w:rsid w:val="7E6B6EDC"/>
    <w:rsid w:val="7E6D055E"/>
    <w:rsid w:val="7E7069A7"/>
    <w:rsid w:val="7E7A0ECD"/>
    <w:rsid w:val="7E857F9E"/>
    <w:rsid w:val="7EB006E5"/>
    <w:rsid w:val="7EB663A9"/>
    <w:rsid w:val="7EBB39C0"/>
    <w:rsid w:val="7EBB576E"/>
    <w:rsid w:val="7EBF2EFE"/>
    <w:rsid w:val="7EC375C3"/>
    <w:rsid w:val="7EC9775F"/>
    <w:rsid w:val="7EDA196C"/>
    <w:rsid w:val="7EDA5E70"/>
    <w:rsid w:val="7EE22084"/>
    <w:rsid w:val="7EEF18BB"/>
    <w:rsid w:val="7EFB200E"/>
    <w:rsid w:val="7F074977"/>
    <w:rsid w:val="7F0945F7"/>
    <w:rsid w:val="7F1B1E4A"/>
    <w:rsid w:val="7F25708B"/>
    <w:rsid w:val="7F2A7E75"/>
    <w:rsid w:val="7F2B605D"/>
    <w:rsid w:val="7F3B68AE"/>
    <w:rsid w:val="7F482E61"/>
    <w:rsid w:val="7F4E65E2"/>
    <w:rsid w:val="7F522E96"/>
    <w:rsid w:val="7F54171E"/>
    <w:rsid w:val="7F606315"/>
    <w:rsid w:val="7F6B740A"/>
    <w:rsid w:val="7F9D28EC"/>
    <w:rsid w:val="7F9E0BEB"/>
    <w:rsid w:val="7FA6276F"/>
    <w:rsid w:val="7FAC50B6"/>
    <w:rsid w:val="7FAF4BA7"/>
    <w:rsid w:val="7FB33C48"/>
    <w:rsid w:val="7FB9221D"/>
    <w:rsid w:val="7FBD72C3"/>
    <w:rsid w:val="7FBF5499"/>
    <w:rsid w:val="7FC05006"/>
    <w:rsid w:val="7FCE327F"/>
    <w:rsid w:val="7FD0349B"/>
    <w:rsid w:val="7FE37A28"/>
    <w:rsid w:val="7FF151BF"/>
    <w:rsid w:val="7F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iPriority="99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36"/>
    <w:qFormat/>
    <w:uiPriority w:val="0"/>
    <w:pPr>
      <w:widowControl w:val="0"/>
      <w:jc w:val="both"/>
    </w:pPr>
    <w:rPr>
      <w:rFonts w:cs="仿宋_GB2312" w:asciiTheme="minorHAnsi" w:hAnsiTheme="minorHAnsi" w:eastAsiaTheme="minorEastAsia"/>
      <w:bCs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楷体_GB2312" w:hAnsi="楷体_GB2312" w:eastAsia="楷体_GB2312"/>
      <w:sz w:val="32"/>
    </w:rPr>
  </w:style>
  <w:style w:type="paragraph" w:styleId="5">
    <w:name w:val="heading 3"/>
    <w:basedOn w:val="1"/>
    <w:next w:val="1"/>
    <w:qFormat/>
    <w:uiPriority w:val="9"/>
    <w:pPr>
      <w:keepNext/>
      <w:keepLines/>
      <w:widowControl w:val="0"/>
      <w:spacing w:before="260" w:after="260" w:line="416" w:lineRule="auto"/>
      <w:jc w:val="both"/>
      <w:outlineLvl w:val="2"/>
    </w:pPr>
    <w:rPr>
      <w:rFonts w:ascii="等线" w:hAnsi="等线" w:eastAsia="等线" w:cs="Times New Roman"/>
      <w:b/>
      <w:kern w:val="2"/>
      <w:sz w:val="32"/>
      <w:szCs w:val="32"/>
      <w:lang w:val="en-US" w:eastAsia="zh-CN" w:bidi="ar-SA"/>
    </w:rPr>
  </w:style>
  <w:style w:type="character" w:default="1" w:styleId="25">
    <w:name w:val="Default Paragraph Font"/>
    <w:semiHidden/>
    <w:qFormat/>
    <w:uiPriority w:val="0"/>
  </w:style>
  <w:style w:type="table" w:default="1" w:styleId="2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pPr>
      <w:widowControl w:val="0"/>
      <w:jc w:val="both"/>
    </w:pPr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6">
    <w:name w:val="Normal Indent"/>
    <w:basedOn w:val="1"/>
    <w:next w:val="1"/>
    <w:qFormat/>
    <w:uiPriority w:val="0"/>
    <w:pPr>
      <w:spacing w:line="560" w:lineRule="exact"/>
      <w:ind w:firstLine="420" w:firstLineChars="200"/>
    </w:pPr>
    <w:rPr>
      <w:rFonts w:ascii="Calibri" w:hAnsi="Calibri" w:eastAsia="仿宋_GB2312" w:cs="宋体"/>
      <w:sz w:val="32"/>
      <w:szCs w:val="32"/>
    </w:rPr>
  </w:style>
  <w:style w:type="paragraph" w:styleId="7">
    <w:name w:val="annotation text"/>
    <w:basedOn w:val="1"/>
    <w:unhideWhenUsed/>
    <w:qFormat/>
    <w:uiPriority w:val="99"/>
    <w:pPr>
      <w:jc w:val="left"/>
    </w:pPr>
  </w:style>
  <w:style w:type="paragraph" w:styleId="8">
    <w:name w:val="Body Text"/>
    <w:basedOn w:val="1"/>
    <w:qFormat/>
    <w:uiPriority w:val="0"/>
    <w:pPr>
      <w:spacing w:after="120" w:afterLines="0" w:afterAutospacing="0"/>
    </w:pPr>
  </w:style>
  <w:style w:type="paragraph" w:styleId="9">
    <w:name w:val="Body Text Indent"/>
    <w:basedOn w:val="1"/>
    <w:next w:val="10"/>
    <w:unhideWhenUsed/>
    <w:qFormat/>
    <w:uiPriority w:val="99"/>
    <w:pPr>
      <w:spacing w:after="120"/>
      <w:ind w:left="420" w:leftChars="200"/>
    </w:pPr>
  </w:style>
  <w:style w:type="paragraph" w:styleId="10">
    <w:name w:val="Body Text First Indent 2"/>
    <w:basedOn w:val="9"/>
    <w:next w:val="1"/>
    <w:unhideWhenUsed/>
    <w:qFormat/>
    <w:uiPriority w:val="99"/>
    <w:pPr>
      <w:ind w:firstLine="420"/>
    </w:pPr>
  </w:style>
  <w:style w:type="paragraph" w:styleId="11">
    <w:name w:val="Block Text"/>
    <w:basedOn w:val="1"/>
    <w:unhideWhenUsed/>
    <w:qFormat/>
    <w:uiPriority w:val="99"/>
    <w:pPr>
      <w:spacing w:after="120"/>
    </w:pPr>
    <w:rPr>
      <w:rFonts w:ascii="Calibri" w:hAnsi="Calibri" w:cs="Times New Roman"/>
    </w:rPr>
  </w:style>
  <w:style w:type="paragraph" w:styleId="12">
    <w:name w:val="toc 3"/>
    <w:basedOn w:val="1"/>
    <w:next w:val="1"/>
    <w:qFormat/>
    <w:uiPriority w:val="0"/>
    <w:pPr>
      <w:ind w:left="840" w:leftChars="400"/>
    </w:pPr>
  </w:style>
  <w:style w:type="paragraph" w:styleId="13">
    <w:name w:val="Body Text Indent 2"/>
    <w:basedOn w:val="1"/>
    <w:qFormat/>
    <w:uiPriority w:val="0"/>
    <w:pPr>
      <w:spacing w:before="100" w:beforeAutospacing="1" w:line="400" w:lineRule="atLeast"/>
      <w:ind w:firstLine="629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toc 1"/>
    <w:basedOn w:val="1"/>
    <w:next w:val="1"/>
    <w:qFormat/>
    <w:uiPriority w:val="0"/>
  </w:style>
  <w:style w:type="paragraph" w:styleId="17">
    <w:name w:val="index heading"/>
    <w:basedOn w:val="1"/>
    <w:next w:val="18"/>
    <w:unhideWhenUsed/>
    <w:qFormat/>
    <w:uiPriority w:val="99"/>
    <w:rPr>
      <w:rFonts w:ascii="Arial" w:hAnsi="Arial"/>
      <w:b/>
    </w:rPr>
  </w:style>
  <w:style w:type="paragraph" w:styleId="18">
    <w:name w:val="index 1"/>
    <w:basedOn w:val="1"/>
    <w:next w:val="1"/>
    <w:unhideWhenUsed/>
    <w:qFormat/>
    <w:uiPriority w:val="99"/>
  </w:style>
  <w:style w:type="paragraph" w:styleId="1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20">
    <w:name w:val="toc 2"/>
    <w:basedOn w:val="1"/>
    <w:next w:val="1"/>
    <w:qFormat/>
    <w:uiPriority w:val="0"/>
    <w:pPr>
      <w:ind w:left="420" w:leftChars="200"/>
    </w:pPr>
  </w:style>
  <w:style w:type="paragraph" w:styleId="2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2">
    <w:name w:val="Body Text First Indent"/>
    <w:basedOn w:val="1"/>
    <w:qFormat/>
    <w:uiPriority w:val="0"/>
    <w:pPr>
      <w:autoSpaceDE w:val="0"/>
      <w:autoSpaceDN w:val="0"/>
      <w:adjustRightInd w:val="0"/>
      <w:ind w:firstLine="420" w:firstLineChars="100"/>
      <w:jc w:val="left"/>
    </w:pPr>
    <w:rPr>
      <w:rFonts w:ascii="仿宋_GB2312"/>
      <w:b/>
      <w:kern w:val="0"/>
      <w:szCs w:val="32"/>
    </w:rPr>
  </w:style>
  <w:style w:type="table" w:styleId="24">
    <w:name w:val="Table Grid"/>
    <w:basedOn w:val="2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26">
    <w:name w:val="Strong"/>
    <w:basedOn w:val="25"/>
    <w:qFormat/>
    <w:uiPriority w:val="0"/>
    <w:rPr>
      <w:b/>
    </w:rPr>
  </w:style>
  <w:style w:type="character" w:styleId="27">
    <w:name w:val="FollowedHyperlink"/>
    <w:basedOn w:val="25"/>
    <w:qFormat/>
    <w:uiPriority w:val="0"/>
    <w:rPr>
      <w:color w:val="800080"/>
      <w:u w:val="single"/>
    </w:rPr>
  </w:style>
  <w:style w:type="character" w:styleId="28">
    <w:name w:val="Emphasis"/>
    <w:basedOn w:val="25"/>
    <w:qFormat/>
    <w:uiPriority w:val="0"/>
    <w:rPr>
      <w:i/>
    </w:rPr>
  </w:style>
  <w:style w:type="character" w:styleId="29">
    <w:name w:val="Hyperlink"/>
    <w:basedOn w:val="25"/>
    <w:qFormat/>
    <w:uiPriority w:val="0"/>
    <w:rPr>
      <w:color w:val="0000FF"/>
      <w:u w:val="single"/>
    </w:rPr>
  </w:style>
  <w:style w:type="character" w:styleId="30">
    <w:name w:val="footnote reference"/>
    <w:basedOn w:val="25"/>
    <w:qFormat/>
    <w:uiPriority w:val="0"/>
    <w:rPr>
      <w:vertAlign w:val="superscript"/>
    </w:rPr>
  </w:style>
  <w:style w:type="paragraph" w:customStyle="1" w:styleId="31">
    <w:name w:val="目录 1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  <w:style w:type="paragraph" w:customStyle="1" w:styleId="33">
    <w:name w:val="报告正文"/>
    <w:basedOn w:val="1"/>
    <w:qFormat/>
    <w:uiPriority w:val="0"/>
    <w:pPr>
      <w:spacing w:line="560" w:lineRule="exact"/>
      <w:ind w:firstLine="880" w:firstLineChars="200"/>
    </w:pPr>
    <w:rPr>
      <w:rFonts w:ascii="仿宋_GB2312" w:hAnsi="仿宋_GB2312" w:eastAsia="仿宋_GB2312"/>
      <w:sz w:val="32"/>
    </w:rPr>
  </w:style>
  <w:style w:type="paragraph" w:customStyle="1" w:styleId="34">
    <w:name w:val="图表标题"/>
    <w:basedOn w:val="1"/>
    <w:qFormat/>
    <w:uiPriority w:val="0"/>
    <w:pPr>
      <w:spacing w:line="560" w:lineRule="exact"/>
      <w:ind w:firstLine="0" w:firstLineChars="0"/>
      <w:jc w:val="center"/>
    </w:pPr>
    <w:rPr>
      <w:rFonts w:ascii="黑体" w:hAnsi="黑体" w:eastAsia="黑体"/>
      <w:sz w:val="28"/>
    </w:rPr>
  </w:style>
  <w:style w:type="paragraph" w:customStyle="1" w:styleId="35">
    <w:name w:val="上会-标题"/>
    <w:basedOn w:val="1"/>
    <w:qFormat/>
    <w:uiPriority w:val="0"/>
    <w:pPr>
      <w:spacing w:line="550" w:lineRule="exact"/>
      <w:jc w:val="center"/>
    </w:pPr>
    <w:rPr>
      <w:rFonts w:ascii="黑体" w:hAnsi="黑体" w:eastAsia="黑体"/>
      <w:b/>
      <w:sz w:val="36"/>
      <w:szCs w:val="36"/>
    </w:rPr>
  </w:style>
  <w:style w:type="character" w:customStyle="1" w:styleId="36">
    <w:name w:val="NormalCharacter"/>
    <w:link w:val="1"/>
    <w:semiHidden/>
    <w:qFormat/>
    <w:uiPriority w:val="0"/>
    <w:rPr>
      <w:rFonts w:cs="仿宋_GB2312" w:asciiTheme="minorHAnsi" w:hAnsiTheme="minorHAnsi" w:eastAsiaTheme="minorEastAsia"/>
      <w:bCs/>
      <w:kern w:val="2"/>
      <w:sz w:val="32"/>
      <w:szCs w:val="32"/>
      <w:lang w:val="en-US" w:eastAsia="zh-CN" w:bidi="ar-SA"/>
    </w:rPr>
  </w:style>
  <w:style w:type="paragraph" w:customStyle="1" w:styleId="37">
    <w:name w:val="BodyText1I2"/>
    <w:basedOn w:val="38"/>
    <w:qFormat/>
    <w:uiPriority w:val="0"/>
    <w:pPr>
      <w:spacing w:line="560" w:lineRule="exact"/>
      <w:ind w:firstLine="420" w:firstLineChars="200"/>
    </w:pPr>
    <w:rPr>
      <w:rFonts w:ascii="Calibri" w:hAnsi="Calibri"/>
    </w:rPr>
  </w:style>
  <w:style w:type="paragraph" w:customStyle="1" w:styleId="38">
    <w:name w:val="BodyTextIndent"/>
    <w:basedOn w:val="1"/>
    <w:qFormat/>
    <w:uiPriority w:val="0"/>
    <w:pPr>
      <w:spacing w:after="120"/>
      <w:ind w:left="420" w:left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d494230e-ab63-4b91-9932-d29fa52a8e62</errorID>
      <errorWord>数据产业集群</errorWord>
      <group>L1_Political</group>
      <groupName>政治性问题</groupName>
      <ability>L2_Keyword</ability>
      <abilityName>固定表述</abilityName>
      <candidateList>
        <item>数字产业集群</item>
      </candidateList>
      <explain>词汇“数字产业集群”在特定场景下为固定表述形式，请确认此处的“数据产业集群”是否存在不当。</explain>
      <paraID>1F8E38BD</paraID>
      <start>55</start>
      <end>61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b3ccfc-00f5-4112-ae32-dae7a00c86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3960</Words>
  <Characters>4031</Characters>
  <Lines>0</Lines>
  <Paragraphs>0</Paragraphs>
  <TotalTime>62</TotalTime>
  <ScaleCrop>false</ScaleCrop>
  <LinksUpToDate>false</LinksUpToDate>
  <CharactersWithSpaces>4058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2025-05-13T14:25:00Z</dcterms:created>
  <dc:creator>abab</dc:creator>
  <cp:lastModifiedBy>子惠</cp:lastModifiedBy>
  <cp:lastPrinted>2026-07-10T06:53:00Z</cp:lastPrinted>
  <dcterms:modified xsi:type="dcterms:W3CDTF">2026-08-03T06:39:54Z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843C69ECFDB0457BBF95963F96C01C6B_13</vt:lpwstr>
  </property>
  <property fmtid="{D5CDD505-2E9C-101B-9397-08002B2CF9AE}" pid="4" name="KSOTemplateDocerSaveRecord">
    <vt:lpwstr>eyJoZGlkIjoiYjk3MjgxMDk3NmRlMGI2OTY1YzZiY2I4NWY5ZDg2MTkiLCJ1c2VySWQiOiI0NjM0NzAwNjgifQ==</vt:lpwstr>
  </property>
</Properties>
</file>