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Times New Roman" w:hAnsi="Times New Roman" w:eastAsia="方正小标宋简体"/>
          <w:b w:val="0"/>
          <w:bCs w:val="0"/>
          <w:sz w:val="44"/>
          <w:szCs w:val="44"/>
        </w:rPr>
      </w:pPr>
      <w:r>
        <w:rPr>
          <w:rFonts w:hint="eastAsia" w:ascii="Times New Roman" w:hAnsi="Times New Roman" w:eastAsia="方正小标宋简体"/>
          <w:b w:val="0"/>
          <w:bCs w:val="0"/>
          <w:sz w:val="44"/>
          <w:szCs w:val="44"/>
          <w:lang w:eastAsia="zh-CN"/>
        </w:rPr>
        <w:t>关于</w:t>
      </w:r>
      <w:r>
        <w:rPr>
          <w:rFonts w:hint="eastAsia" w:ascii="Times New Roman" w:hAnsi="Times New Roman" w:eastAsia="方正小标宋简体"/>
          <w:b w:val="0"/>
          <w:bCs w:val="0"/>
          <w:sz w:val="44"/>
          <w:szCs w:val="44"/>
        </w:rPr>
        <w:t>《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val="en-US" w:eastAsia="zh-CN" w:bidi="ar"/>
        </w:rPr>
        <w:t>西城区“十五五”时期产业发展规划</w:t>
      </w:r>
      <w:r>
        <w:rPr>
          <w:rFonts w:hint="eastAsia" w:ascii="Times New Roman" w:hAnsi="Times New Roman" w:eastAsia="方正小标宋简体"/>
          <w:b w:val="0"/>
          <w:bCs w:val="0"/>
          <w:sz w:val="44"/>
          <w:szCs w:val="44"/>
        </w:rPr>
        <w:t>》的起草说明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一、制定背景和过程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（一）制定背景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坚持以习近平新时代中国特色社会主义思想为指导，深入贯彻党的二十大和二十届历次全会精神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，</w:t>
      </w:r>
      <w:r>
        <w:rPr>
          <w:rFonts w:hint="eastAsia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立足首都功能核心区定位，坚持以新时代首都发展为统领，</w:t>
      </w:r>
      <w:r>
        <w:rPr>
          <w:rFonts w:hint="eastAsia" w:cs="仿宋_GB2312"/>
          <w:color w:val="auto"/>
          <w:sz w:val="32"/>
          <w:szCs w:val="32"/>
          <w:shd w:val="clear" w:color="auto" w:fill="auto"/>
          <w:lang w:val="en-US" w:eastAsia="zh-CN"/>
        </w:rPr>
        <w:t>以经济建设为中心，</w:t>
      </w:r>
      <w:r>
        <w:rPr>
          <w:rFonts w:hint="eastAsia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以推动高质量发展为主题，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坚持智能化、绿色化、融合化方向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抢抓数字技术</w:t>
      </w:r>
      <w:r>
        <w:rPr>
          <w:rFonts w:hint="eastAsia" w:cs="仿宋_GB2312"/>
          <w:b w:val="0"/>
          <w:bCs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赋能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、科研范式变革、新兴产业崛起机遇，</w:t>
      </w:r>
      <w:r>
        <w:rPr>
          <w:rFonts w:hint="eastAsia" w:cs="仿宋_GB2312"/>
          <w:b w:val="0"/>
          <w:bCs/>
          <w:color w:val="auto"/>
          <w:sz w:val="32"/>
          <w:szCs w:val="32"/>
          <w:u w:val="none"/>
          <w:shd w:val="clear" w:color="auto" w:fill="auto"/>
          <w:lang w:val="en-US" w:eastAsia="zh-CN"/>
        </w:rPr>
        <w:t>以科技创新与产业创新融合为抓手，引领发展新质生产力，</w:t>
      </w:r>
      <w:r>
        <w:rPr>
          <w:rFonts w:hint="eastAsia"/>
          <w:color w:val="auto"/>
          <w:sz w:val="32"/>
          <w:szCs w:val="32"/>
          <w:u w:val="none"/>
          <w:shd w:val="clear" w:color="auto" w:fill="auto"/>
          <w:lang w:val="en-US" w:eastAsia="zh-CN"/>
        </w:rPr>
        <w:t>服务保障</w:t>
      </w:r>
      <w:r>
        <w:rPr>
          <w:rFonts w:hint="eastAsia"/>
          <w:color w:val="auto"/>
          <w:sz w:val="32"/>
          <w:szCs w:val="32"/>
          <w:u w:val="none"/>
          <w:shd w:val="clear" w:color="auto" w:fill="auto"/>
        </w:rPr>
        <w:t>国家金融管理中心建设</w:t>
      </w:r>
      <w:r>
        <w:rPr>
          <w:rFonts w:hint="eastAsia"/>
          <w:color w:val="auto"/>
          <w:sz w:val="32"/>
          <w:szCs w:val="32"/>
          <w:u w:val="none"/>
          <w:shd w:val="clear" w:color="auto" w:fill="auto"/>
          <w:lang w:eastAsia="zh-CN"/>
        </w:rPr>
        <w:t>，</w:t>
      </w:r>
      <w:r>
        <w:rPr>
          <w:rFonts w:hint="eastAsia"/>
          <w:color w:val="auto"/>
          <w:sz w:val="32"/>
          <w:szCs w:val="32"/>
          <w:u w:val="none"/>
          <w:shd w:val="clear" w:color="auto" w:fill="auto"/>
          <w:lang w:val="en-US" w:eastAsia="zh-CN"/>
        </w:rPr>
        <w:t>发挥国家</w:t>
      </w:r>
      <w:r>
        <w:rPr>
          <w:rFonts w:hint="eastAsia"/>
          <w:color w:val="auto"/>
          <w:sz w:val="32"/>
          <w:szCs w:val="32"/>
          <w:u w:val="none"/>
          <w:shd w:val="clear" w:color="auto" w:fill="auto"/>
        </w:rPr>
        <w:t>级金融科技示范区</w:t>
      </w:r>
      <w:r>
        <w:rPr>
          <w:rFonts w:hint="eastAsia"/>
          <w:color w:val="auto"/>
          <w:sz w:val="32"/>
          <w:szCs w:val="32"/>
          <w:u w:val="none"/>
          <w:shd w:val="clear" w:color="auto" w:fill="auto"/>
          <w:lang w:eastAsia="zh-CN"/>
        </w:rPr>
        <w:t>、</w:t>
      </w:r>
      <w:r>
        <w:rPr>
          <w:rFonts w:hint="eastAsia"/>
          <w:color w:val="auto"/>
          <w:sz w:val="32"/>
          <w:szCs w:val="32"/>
          <w:u w:val="none"/>
          <w:shd w:val="clear" w:color="auto" w:fill="auto"/>
        </w:rPr>
        <w:t>全球数字经济标杆城市示范区</w:t>
      </w:r>
      <w:r>
        <w:rPr>
          <w:rFonts w:hint="eastAsia"/>
          <w:color w:val="auto"/>
          <w:sz w:val="32"/>
          <w:szCs w:val="32"/>
          <w:u w:val="none"/>
          <w:shd w:val="clear" w:color="auto" w:fill="auto"/>
          <w:lang w:eastAsia="zh-CN"/>
        </w:rPr>
        <w:t>、</w:t>
      </w:r>
      <w:r>
        <w:rPr>
          <w:rFonts w:hint="eastAsia"/>
          <w:color w:val="auto"/>
          <w:sz w:val="32"/>
          <w:szCs w:val="32"/>
          <w:u w:val="none"/>
          <w:shd w:val="clear" w:color="auto" w:fill="auto"/>
          <w:lang w:val="en-US" w:eastAsia="zh-CN"/>
        </w:rPr>
        <w:t>国际消费中心城市示范区的引领驱动作用，推动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u w:val="none"/>
          <w:shd w:val="clear" w:color="auto" w:fill="auto"/>
          <w:lang w:val="en-US" w:eastAsia="zh-CN"/>
        </w:rPr>
        <w:t>产业上新、空间更新、机制创新、生态焕新</w:t>
      </w:r>
      <w:r>
        <w:rPr>
          <w:rFonts w:hint="eastAsia"/>
          <w:color w:val="auto"/>
          <w:sz w:val="32"/>
          <w:szCs w:val="32"/>
          <w:u w:val="none"/>
          <w:shd w:val="clear" w:color="auto" w:fill="auto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打造梯队结构合理、质量效益高、创新驱动强的</w:t>
      </w:r>
      <w:r>
        <w:rPr>
          <w:rFonts w:hint="eastAsia" w:cs="仿宋_GB2312"/>
          <w:b w:val="0"/>
          <w:bCs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现代化产业体系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，</w:t>
      </w:r>
      <w:r>
        <w:rPr>
          <w:rFonts w:hint="eastAsia"/>
          <w:color w:val="auto"/>
          <w:sz w:val="32"/>
          <w:szCs w:val="32"/>
          <w:highlight w:val="none"/>
          <w:u w:val="none"/>
          <w:shd w:val="clear" w:color="auto" w:fill="auto"/>
        </w:rPr>
        <w:t>推动经济实现质的有效提升和量的合理增长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shd w:val="clear" w:color="auto" w:fill="auto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auto"/>
        </w:rPr>
        <w:t>结合西城区实际</w:t>
      </w:r>
      <w:r>
        <w:rPr>
          <w:rFonts w:hint="eastAsia" w:ascii="仿宋_GB2312" w:hAnsi="仿宋_GB2312" w:cs="仿宋_GB2312"/>
          <w:sz w:val="32"/>
          <w:szCs w:val="32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发展改革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委启动了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  <w:t>《西城区“十五五”时期产业发展规划》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（以下简称《规划》）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起草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ambria" w:hAnsi="Cambria" w:eastAsia="楷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Cambria" w:hAnsi="Cambria" w:eastAsia="楷体" w:cs="Times New Roman"/>
          <w:b w:val="0"/>
          <w:bCs w:val="0"/>
          <w:kern w:val="2"/>
          <w:sz w:val="32"/>
          <w:szCs w:val="32"/>
          <w:lang w:val="en-US" w:eastAsia="zh-CN" w:bidi="ar-SA"/>
        </w:rPr>
        <w:t>（二）制定过程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初稿研究：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  <w:t>基于《西城区“十五五”时期产业发展规划前期研究报告》，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结合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西城区实际情况和产业发展目标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形成《规划（征求意见稿）》。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2.征求意见：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为落实“开门编规划”工作要求，通过人大代表下基层、政协参政议政、专家学者座谈、专项调研活动、公开接收公众意见建议、部门意见征集等多种渠道和方式，听取了社会各界对规划编制的意见建议。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3.修改完善：对收集到的意见和建议进行梳理分析，结合意见针对征求意见稿进行多次修改完善，着重对目标任务的科学性、表述的专业性等内容进行优化，形成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《规划（征求意见稿）》。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主要内容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《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规划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》全文共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五章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，包括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总体要求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加快构建现代化产业体系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优化产业总体空间布局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提升产业发展生态环境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规划实施保障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（一）总体要求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明确“十五五”时期西城区产业发展的总体思路。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shd w:val="clear" w:color="auto" w:fill="auto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shd w:val="clear" w:color="auto" w:fill="auto"/>
        </w:rPr>
        <w:t>加快构建现代化产业体系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shd w:val="clear" w:color="auto" w:fill="auto"/>
          <w:lang w:val="en-US" w:eastAsia="zh-CN"/>
        </w:rPr>
        <w:t>以高质量、内涵式发展为主线，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发挥“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金融强基+科技引领+数字赋能+融合增效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”的协同驱动作用，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加快构建更具竞争力的“1+3+2”现代化产业体系，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全面激活新质生产力。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优化产业总体空间布局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严格落实首都功能核心区控规要求，按照核带引领、协同联动、功能融合理念，强化金融街的产业极核地位，推动数智产业创新发展带的集聚引领发展，打造德胜信息科技、展览路金融科技、大吉巷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数字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科技、广安门创新服务、马连道创新示范等五个重点产业片区，培育一批文化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绿色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商业等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融合发展节点，构建“一核一带五区”产业空间布局。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提升产业发展生态环境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b w:val="0"/>
          <w:bCs w:val="0"/>
          <w:sz w:val="32"/>
          <w:szCs w:val="32"/>
          <w:highlight w:val="none"/>
          <w:lang w:val="en-US" w:eastAsia="zh-CN"/>
        </w:rPr>
        <w:t>聚焦提升产业发展生态环境，从企业主体、产业空间、人才、资本、数据、场景等核心要素入手，提出六大举措，着力打造一流产业发展生态，让西城区成为企业集聚、人才汇聚、资本云集的产业高地。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规划实施保障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明确</w:t>
      </w:r>
      <w:r>
        <w:rPr>
          <w:rStyle w:val="13"/>
          <w:rFonts w:hint="eastAsia" w:ascii="仿宋_GB2312" w:hAnsi="仿宋_GB2312" w:eastAsia="仿宋_GB2312" w:cs="仿宋_GB2312"/>
          <w:b w:val="0"/>
          <w:bCs w:val="0"/>
          <w:color w:val="1F2329"/>
          <w:kern w:val="0"/>
          <w:sz w:val="32"/>
          <w:szCs w:val="32"/>
          <w:lang w:val="en-US" w:eastAsia="zh-CN" w:bidi="ar"/>
        </w:rPr>
        <w:t>规划实施保障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lang w:val="en-US" w:eastAsia="zh-CN" w:bidi="ar"/>
        </w:rPr>
        <w:t>的四大举措，从组织、政策、平台、营商环境四个方面，为规划实施保驾护航，确保各项目标任务如期实现。</w:t>
      </w:r>
    </w:p>
    <w:sectPr>
      <w:footerReference r:id="rId3" w:type="default"/>
      <w:pgSz w:w="11906" w:h="16838"/>
      <w:pgMar w:top="2098" w:right="1474" w:bottom="1984" w:left="1587" w:header="1417" w:footer="141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BFFC4F"/>
    <w:multiLevelType w:val="singleLevel"/>
    <w:tmpl w:val="A3BFFC4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E86BB855"/>
    <w:multiLevelType w:val="singleLevel"/>
    <w:tmpl w:val="E86BB85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7A3059"/>
    <w:rsid w:val="06A37095"/>
    <w:rsid w:val="094E6CEC"/>
    <w:rsid w:val="15CB3804"/>
    <w:rsid w:val="19445A7B"/>
    <w:rsid w:val="24827BF5"/>
    <w:rsid w:val="262074E3"/>
    <w:rsid w:val="264B3961"/>
    <w:rsid w:val="26753910"/>
    <w:rsid w:val="27BB073E"/>
    <w:rsid w:val="2B7A3059"/>
    <w:rsid w:val="2D007CFC"/>
    <w:rsid w:val="2EEE21F2"/>
    <w:rsid w:val="350671FC"/>
    <w:rsid w:val="3931129A"/>
    <w:rsid w:val="41613C96"/>
    <w:rsid w:val="4D1E367A"/>
    <w:rsid w:val="4D5E068F"/>
    <w:rsid w:val="5D4633EE"/>
    <w:rsid w:val="76B0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  <w:rPr>
      <w:szCs w:val="22"/>
    </w:r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paragraph" w:styleId="4">
    <w:name w:val="Normal Indent"/>
    <w:unhideWhenUsed/>
    <w:qFormat/>
    <w:uiPriority w:val="99"/>
    <w:pPr>
      <w:widowControl w:val="0"/>
      <w:spacing w:line="560" w:lineRule="exact"/>
      <w:ind w:firstLine="560"/>
      <w:jc w:val="both"/>
    </w:pPr>
    <w:rPr>
      <w:rFonts w:ascii="Calibri" w:hAnsi="Calibri" w:eastAsia="仿宋_GB2312" w:cs="Times New Roman"/>
      <w:kern w:val="2"/>
      <w:sz w:val="36"/>
      <w:szCs w:val="36"/>
      <w:lang w:val="en-US" w:eastAsia="zh-CN" w:bidi="ar-SA"/>
    </w:rPr>
  </w:style>
  <w:style w:type="paragraph" w:styleId="5">
    <w:name w:val="Body Text"/>
    <w:next w:val="6"/>
    <w:qFormat/>
    <w:uiPriority w:val="99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">
    <w:name w:val="Body Text First Indent"/>
    <w:qFormat/>
    <w:uiPriority w:val="0"/>
    <w:pPr>
      <w:widowControl w:val="0"/>
      <w:autoSpaceDE w:val="0"/>
      <w:autoSpaceDN w:val="0"/>
      <w:adjustRightInd w:val="0"/>
      <w:ind w:firstLine="420" w:firstLineChars="100"/>
      <w:jc w:val="left"/>
    </w:pPr>
    <w:rPr>
      <w:rFonts w:ascii="仿宋_GB2312" w:hAnsi="Calibri" w:eastAsia="宋体" w:cs="Times New Roman"/>
      <w:b/>
      <w:kern w:val="0"/>
      <w:sz w:val="21"/>
      <w:szCs w:val="32"/>
      <w:lang w:val="en-US" w:eastAsia="zh-CN" w:bidi="ar-SA"/>
    </w:rPr>
  </w:style>
  <w:style w:type="paragraph" w:styleId="7">
    <w:name w:val="Body Text Indent 2"/>
    <w:basedOn w:val="1"/>
    <w:qFormat/>
    <w:uiPriority w:val="0"/>
    <w:pPr>
      <w:tabs>
        <w:tab w:val="left" w:pos="2250"/>
      </w:tabs>
      <w:spacing w:before="100" w:beforeAutospacing="1" w:line="400" w:lineRule="atLeast"/>
      <w:ind w:firstLine="629"/>
    </w:pPr>
    <w:rPr>
      <w:rFonts w:eastAsia="宋体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FollowedHyperlink"/>
    <w:basedOn w:val="12"/>
    <w:qFormat/>
    <w:uiPriority w:val="0"/>
    <w:rPr>
      <w:color w:val="333333"/>
      <w:u w:val="none"/>
    </w:rPr>
  </w:style>
  <w:style w:type="character" w:styleId="15">
    <w:name w:val="Emphasis"/>
    <w:basedOn w:val="12"/>
    <w:qFormat/>
    <w:uiPriority w:val="0"/>
  </w:style>
  <w:style w:type="character" w:styleId="16">
    <w:name w:val="HTML Definition"/>
    <w:basedOn w:val="12"/>
    <w:qFormat/>
    <w:uiPriority w:val="0"/>
  </w:style>
  <w:style w:type="character" w:styleId="17">
    <w:name w:val="HTML Variable"/>
    <w:basedOn w:val="12"/>
    <w:qFormat/>
    <w:uiPriority w:val="0"/>
  </w:style>
  <w:style w:type="character" w:styleId="18">
    <w:name w:val="Hyperlink"/>
    <w:basedOn w:val="12"/>
    <w:qFormat/>
    <w:uiPriority w:val="0"/>
    <w:rPr>
      <w:color w:val="333333"/>
      <w:u w:val="none"/>
    </w:rPr>
  </w:style>
  <w:style w:type="character" w:styleId="19">
    <w:name w:val="HTML Code"/>
    <w:basedOn w:val="12"/>
    <w:qFormat/>
    <w:uiPriority w:val="0"/>
    <w:rPr>
      <w:rFonts w:ascii="Courier New" w:hAnsi="Courier New"/>
      <w:sz w:val="20"/>
    </w:rPr>
  </w:style>
  <w:style w:type="character" w:styleId="20">
    <w:name w:val="HTML Cite"/>
    <w:basedOn w:val="12"/>
    <w:qFormat/>
    <w:uiPriority w:val="0"/>
  </w:style>
  <w:style w:type="character" w:customStyle="1" w:styleId="21">
    <w:name w:val="txt8"/>
    <w:basedOn w:val="12"/>
    <w:qFormat/>
    <w:uiPriority w:val="0"/>
  </w:style>
  <w:style w:type="character" w:customStyle="1" w:styleId="22">
    <w:name w:val="b"/>
    <w:basedOn w:val="12"/>
    <w:qFormat/>
    <w:uiPriority w:val="0"/>
    <w:rPr>
      <w:color w:val="000000"/>
    </w:rPr>
  </w:style>
  <w:style w:type="character" w:customStyle="1" w:styleId="23">
    <w:name w:val="hover7"/>
    <w:basedOn w:val="12"/>
    <w:qFormat/>
    <w:uiPriority w:val="0"/>
    <w:rPr>
      <w:color w:val="5FB878"/>
    </w:rPr>
  </w:style>
  <w:style w:type="character" w:customStyle="1" w:styleId="24">
    <w:name w:val="hover8"/>
    <w:basedOn w:val="12"/>
    <w:qFormat/>
    <w:uiPriority w:val="0"/>
    <w:rPr>
      <w:color w:val="5FB878"/>
    </w:rPr>
  </w:style>
  <w:style w:type="character" w:customStyle="1" w:styleId="25">
    <w:name w:val="hover9"/>
    <w:basedOn w:val="12"/>
    <w:qFormat/>
    <w:uiPriority w:val="0"/>
    <w:rPr>
      <w:color w:val="FFFFFF"/>
    </w:rPr>
  </w:style>
  <w:style w:type="character" w:customStyle="1" w:styleId="26">
    <w:name w:val="ui-icon18"/>
    <w:basedOn w:val="12"/>
    <w:qFormat/>
    <w:uiPriority w:val="0"/>
  </w:style>
  <w:style w:type="character" w:customStyle="1" w:styleId="27">
    <w:name w:val="ui-selectmenu-text"/>
    <w:basedOn w:val="12"/>
    <w:qFormat/>
    <w:uiPriority w:val="0"/>
  </w:style>
  <w:style w:type="paragraph" w:customStyle="1" w:styleId="28">
    <w:name w:val="w50"/>
    <w:basedOn w:val="1"/>
    <w:qFormat/>
    <w:uiPriority w:val="0"/>
    <w:pPr>
      <w:jc w:val="left"/>
    </w:pPr>
    <w:rPr>
      <w:kern w:val="0"/>
      <w:u w:val="none"/>
      <w:lang w:val="en-US" w:eastAsia="zh-CN" w:bidi="ar"/>
    </w:rPr>
  </w:style>
  <w:style w:type="character" w:customStyle="1" w:styleId="29">
    <w:name w:val="play"/>
    <w:basedOn w:val="12"/>
    <w:qFormat/>
    <w:uiPriority w:val="0"/>
    <w:rPr>
      <w:vanish/>
    </w:rPr>
  </w:style>
  <w:style w:type="character" w:customStyle="1" w:styleId="30">
    <w:name w:val="play1"/>
    <w:basedOn w:val="12"/>
    <w:qFormat/>
    <w:uiPriority w:val="0"/>
  </w:style>
  <w:style w:type="character" w:customStyle="1" w:styleId="31">
    <w:name w:val="play2"/>
    <w:basedOn w:val="12"/>
    <w:qFormat/>
    <w:uiPriority w:val="0"/>
    <w:rPr>
      <w:vanish/>
    </w:rPr>
  </w:style>
  <w:style w:type="character" w:customStyle="1" w:styleId="32">
    <w:name w:val="play3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2023-07-03T06:23:00Z</dcterms:created>
  <dc:creator>NTKO</dc:creator>
  <cp:lastModifiedBy>子惠</cp:lastModifiedBy>
  <cp:lastPrinted>2025-04-11T07:57:00Z</cp:lastPrinted>
  <dcterms:modified xsi:type="dcterms:W3CDTF">2026-08-03T06:43:16Z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