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6B23B9">
      <w:pPr>
        <w:adjustRightInd w:val="0"/>
        <w:snapToGrid w:val="0"/>
        <w:spacing w:line="560" w:lineRule="exact"/>
        <w:rPr>
          <w:rFonts w:hint="eastAsia" w:ascii="黑体" w:hAnsi="黑体" w:eastAsia="黑体" w:cs="黑体"/>
          <w:sz w:val="32"/>
          <w:szCs w:val="32"/>
        </w:rPr>
      </w:pPr>
      <w:r>
        <w:rPr>
          <w:rFonts w:hint="eastAsia" w:ascii="黑体" w:hAnsi="黑体" w:eastAsia="黑体" w:cs="黑体"/>
          <w:sz w:val="32"/>
          <w:szCs w:val="32"/>
        </w:rPr>
        <w:t>附件2-1</w:t>
      </w:r>
    </w:p>
    <w:p w14:paraId="1446677F">
      <w:pPr>
        <w:adjustRightInd w:val="0"/>
        <w:snapToGrid w:val="0"/>
        <w:spacing w:line="560" w:lineRule="exact"/>
        <w:rPr>
          <w:rFonts w:hint="eastAsia" w:ascii="黑体" w:hAnsi="黑体" w:eastAsia="黑体" w:cs="黑体"/>
          <w:sz w:val="32"/>
          <w:szCs w:val="32"/>
        </w:rPr>
      </w:pPr>
    </w:p>
    <w:p w14:paraId="6BFD2D34">
      <w:pPr>
        <w:spacing w:line="56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北京市专精特新中小企业申报资料清单</w:t>
      </w:r>
    </w:p>
    <w:p w14:paraId="6ABC1B53">
      <w:pPr>
        <w:adjustRightInd w:val="0"/>
        <w:snapToGrid w:val="0"/>
        <w:spacing w:line="560" w:lineRule="exact"/>
        <w:rPr>
          <w:rFonts w:hint="eastAsia" w:ascii="仿宋_GB2312" w:hAnsi="仿宋_GB2312" w:eastAsia="仿宋_GB2312" w:cs="仿宋_GB2312"/>
          <w:sz w:val="32"/>
          <w:szCs w:val="32"/>
        </w:rPr>
      </w:pPr>
    </w:p>
    <w:p w14:paraId="4D712DAC">
      <w:pPr>
        <w:spacing w:line="560" w:lineRule="exact"/>
        <w:ind w:firstLine="65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1.企业营业执照副本。</w:t>
      </w:r>
    </w:p>
    <w:p w14:paraId="09F1F641">
      <w:pPr>
        <w:spacing w:line="560" w:lineRule="exact"/>
        <w:ind w:firstLine="65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规模以上企业上报统计局的法人单位基本情况表101-1表（查阅企业四位行业代码），规模以下企业上报的“四下”企业基本情况表111表（查阅企业四位行业代码）。如果上述材料未明确行业代码及行业分类，企业需提交情况说明，明确行业代码及行业分类。</w:t>
      </w:r>
    </w:p>
    <w:p w14:paraId="2280DC21">
      <w:pPr>
        <w:spacing w:line="560" w:lineRule="exact"/>
        <w:ind w:firstLine="65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3.企业</w:t>
      </w:r>
      <w:r>
        <w:rPr>
          <w:rFonts w:hint="eastAsia" w:ascii="仿宋_GB2312" w:hAnsi="仿宋_GB2312" w:eastAsia="仿宋_GB2312" w:cs="仿宋_GB2312"/>
          <w:color w:val="000000"/>
          <w:sz w:val="32"/>
          <w:szCs w:val="32"/>
        </w:rPr>
        <w:t>2023年、2024年、2025年12月底社保缴纳证明，及</w:t>
      </w:r>
      <w:r>
        <w:rPr>
          <w:rFonts w:hint="eastAsia" w:ascii="仿宋_GB2312" w:hAnsi="仿宋_GB2312" w:eastAsia="仿宋_GB2312" w:cs="仿宋_GB2312"/>
          <w:sz w:val="32"/>
          <w:szCs w:val="32"/>
        </w:rPr>
        <w:t>最新一期社保缴纳证明。请注意在2025年12月的社保缴费记录中标注出在职的研发人员（如划√），并提供相应研发人员名单（附件2-2）。</w:t>
      </w:r>
    </w:p>
    <w:p w14:paraId="4489A086">
      <w:pPr>
        <w:spacing w:line="560" w:lineRule="exact"/>
        <w:ind w:firstLine="65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注意：如企业使用合并报表财务数据，需将合并范围内的相关企业人数一并纳入从业人数进行统计，并提供所有相关企业的社保缴纳证明。</w:t>
      </w:r>
    </w:p>
    <w:p w14:paraId="6EE019E8">
      <w:pPr>
        <w:widowControl/>
        <w:autoSpaceDE w:val="0"/>
        <w:autoSpaceDN w:val="0"/>
        <w:spacing w:line="560" w:lineRule="exact"/>
        <w:ind w:firstLine="652"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经会计师事务所审计的2023年、2024年、2025年度财务审计报告（如企业使用合并报表口径财务数据,需同时提交合并报表和单独报表)。财务审计报告未列明该年度研发费用支出金额的，提交经会计师事务所审计的研发费用专项审计报告。</w:t>
      </w:r>
    </w:p>
    <w:p w14:paraId="264EC255">
      <w:pPr>
        <w:pStyle w:val="6"/>
        <w:widowControl/>
        <w:spacing w:beforeAutospacing="0" w:afterAutospacing="0" w:line="560" w:lineRule="exact"/>
        <w:ind w:firstLine="652" w:firstLineChars="200"/>
        <w:jc w:val="both"/>
        <w:textAlignment w:val="baseline"/>
        <w:rPr>
          <w:rStyle w:val="9"/>
          <w:rFonts w:hint="eastAsia" w:ascii="仿宋_GB2312" w:hAnsi="仿宋_GB2312" w:eastAsia="仿宋_GB2312" w:cs="仿宋_GB2312"/>
          <w:b w:val="0"/>
          <w:bCs w:val="0"/>
          <w:sz w:val="32"/>
          <w:szCs w:val="32"/>
          <w:shd w:val="clear" w:color="auto" w:fill="FFFFFF"/>
        </w:rPr>
      </w:pPr>
      <w:r>
        <w:rPr>
          <w:rStyle w:val="9"/>
          <w:rFonts w:hint="eastAsia" w:ascii="仿宋_GB2312" w:hAnsi="仿宋_GB2312" w:eastAsia="仿宋_GB2312" w:cs="仿宋_GB2312"/>
          <w:b w:val="0"/>
          <w:bCs w:val="0"/>
          <w:color w:val="000000" w:themeColor="text1"/>
          <w:sz w:val="32"/>
          <w:szCs w:val="32"/>
          <w:shd w:val="clear" w:color="auto" w:fill="FFFFFF"/>
          <w14:textFill>
            <w14:solidFill>
              <w14:schemeClr w14:val="tx1"/>
            </w14:solidFill>
          </w14:textFill>
        </w:rPr>
        <w:t>企业有关财务数据依据会计师事务所出具的审计报告，务请将会计师事务所在财政部注册会计师行业统一监管平台（https://acc.mof.gov.cn）完成报备后已赋码的电子原件，上传至优质中小企业梯度培育平台，如不一致将影响申请结果。</w:t>
      </w:r>
    </w:p>
    <w:p w14:paraId="368203D5">
      <w:pPr>
        <w:pStyle w:val="6"/>
        <w:widowControl/>
        <w:wordWrap w:val="0"/>
        <w:spacing w:beforeAutospacing="0" w:afterAutospacing="0" w:line="560" w:lineRule="exact"/>
        <w:ind w:firstLine="652" w:firstLineChars="200"/>
        <w:jc w:val="both"/>
        <w:textAlignment w:val="baseline"/>
        <w:rPr>
          <w:rFonts w:hint="eastAsia" w:ascii="仿宋_GB2312" w:hAnsi="仿宋_GB2312" w:eastAsia="仿宋_GB2312" w:cs="仿宋_GB2312"/>
          <w:sz w:val="32"/>
          <w:szCs w:val="32"/>
        </w:rPr>
      </w:pPr>
      <w:r>
        <w:rPr>
          <w:rStyle w:val="9"/>
          <w:rFonts w:hint="eastAsia" w:ascii="仿宋_GB2312" w:hAnsi="仿宋_GB2312" w:eastAsia="仿宋_GB2312" w:cs="仿宋_GB2312"/>
          <w:b w:val="0"/>
          <w:bCs w:val="0"/>
          <w:sz w:val="32"/>
          <w:szCs w:val="32"/>
          <w:shd w:val="clear" w:color="auto" w:fill="FFFFFF"/>
        </w:rPr>
        <w:t>主营业务收入、主营业务成本两项指标须纳入审计报告，未纳入将影响申报结果。</w:t>
      </w:r>
    </w:p>
    <w:p w14:paraId="34D9CAC3">
      <w:pPr>
        <w:spacing w:line="560" w:lineRule="exact"/>
        <w:ind w:firstLine="65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5.近2年内新增股权融资额证明材料，包括但不限于验资报告，增资协议、投资协议及相应的股东支付凭证等。</w:t>
      </w:r>
    </w:p>
    <w:p w14:paraId="22446027">
      <w:pPr>
        <w:spacing w:line="560" w:lineRule="exact"/>
        <w:ind w:firstLine="432" w:firstLineChars="200"/>
        <w:rPr>
          <w:rFonts w:hint="eastAsia" w:ascii="仿宋_GB2312" w:hAnsi="仿宋_GB2312" w:eastAsia="仿宋_GB2312" w:cs="仿宋_GB2312"/>
          <w:sz w:val="32"/>
          <w:szCs w:val="32"/>
        </w:rPr>
      </w:pPr>
      <w:r>
        <w:rPr>
          <w:rFonts w:hint="eastAsia"/>
        </w:rPr>
        <w:t xml:space="preserve"> </w:t>
      </w:r>
      <w:r>
        <w:rPr>
          <w:rFonts w:hint="eastAsia" w:ascii="仿宋_GB2312" w:hAnsi="仿宋_GB2312" w:eastAsia="仿宋_GB2312" w:cs="仿宋_GB2312"/>
          <w:sz w:val="32"/>
          <w:szCs w:val="32"/>
        </w:rPr>
        <w:t>6.与主导产品相关的Ⅰ类知识产权一览表（详见附表2-3），相关证书等佐证资料（扫描电子版，表格提供可编辑电子版。纸质材料可提供主要知识产权证书10项</w:t>
      </w:r>
      <w:r>
        <w:rPr>
          <w:rFonts w:hint="eastAsia" w:ascii="仿宋_GB2312" w:hAnsi="仿宋_GB2312" w:eastAsia="仿宋_GB2312" w:cs="仿宋_GB2312"/>
          <w:sz w:val="32"/>
          <w:szCs w:val="32"/>
          <w:lang w:val="en-US" w:eastAsia="zh-CN"/>
        </w:rPr>
        <w:t>以内</w:t>
      </w:r>
      <w:r>
        <w:rPr>
          <w:rFonts w:hint="eastAsia" w:ascii="仿宋_GB2312" w:hAnsi="仿宋_GB2312" w:eastAsia="仿宋_GB2312" w:cs="仿宋_GB2312"/>
          <w:sz w:val="32"/>
          <w:szCs w:val="32"/>
        </w:rPr>
        <w:t>）。</w:t>
      </w:r>
    </w:p>
    <w:p w14:paraId="34296C52">
      <w:pPr>
        <w:spacing w:line="560" w:lineRule="exact"/>
        <w:ind w:firstLine="65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7.近3年获得的省部级以上科学技术奖励证书或公告。</w:t>
      </w:r>
    </w:p>
    <w:p w14:paraId="342D4973">
      <w:pPr>
        <w:pStyle w:val="2"/>
        <w:spacing w:line="560" w:lineRule="exact"/>
        <w:ind w:firstLine="652" w:firstLineChars="200"/>
        <w:rPr>
          <w:rFonts w:eastAsia="仿宋_GB2312"/>
        </w:rPr>
      </w:pPr>
      <w:r>
        <w:rPr>
          <w:rFonts w:hint="eastAsia" w:ascii="仿宋_GB2312" w:hAnsi="仿宋_GB2312" w:eastAsia="仿宋_GB2312" w:cs="仿宋_GB2312"/>
          <w:sz w:val="32"/>
          <w:szCs w:val="32"/>
        </w:rPr>
        <w:t>8.有效期内经认定的省部级以上研发机构证书或公告。</w:t>
      </w:r>
    </w:p>
    <w:p w14:paraId="48679B71">
      <w:pPr>
        <w:pStyle w:val="10"/>
        <w:widowControl/>
        <w:wordWrap w:val="0"/>
        <w:autoSpaceDE w:val="0"/>
        <w:autoSpaceDN w:val="0"/>
        <w:spacing w:line="560" w:lineRule="exact"/>
        <w:ind w:firstLine="65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9.企业通过优质中小企业</w:t>
      </w:r>
      <w:bookmarkStart w:id="0" w:name="_GoBack"/>
      <w:bookmarkEnd w:id="0"/>
      <w:r>
        <w:rPr>
          <w:rFonts w:hint="eastAsia" w:ascii="仿宋_GB2312" w:hAnsi="仿宋_GB2312" w:eastAsia="仿宋_GB2312" w:cs="仿宋_GB2312"/>
          <w:sz w:val="32"/>
          <w:szCs w:val="32"/>
        </w:rPr>
        <w:t>梯度培育平台（http://zjtx.miit.gov.cn）填报2025年主导产品在国内或国际细分市场占有率的情况说明，要求情况说明客观、真实、准确，引用数据需注明出处，在1000字以内。</w:t>
      </w:r>
    </w:p>
    <w:p w14:paraId="49C30FA6">
      <w:pPr>
        <w:spacing w:line="560" w:lineRule="exact"/>
        <w:ind w:firstLine="65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市场占有率情况说明至少包括以下内容：</w:t>
      </w:r>
    </w:p>
    <w:p w14:paraId="5B3C25B9">
      <w:pPr>
        <w:spacing w:line="560" w:lineRule="exact"/>
        <w:ind w:firstLine="652" w:firstLineChars="200"/>
        <w:rPr>
          <w:rFonts w:hint="eastAsia" w:ascii="仿宋_GB2312" w:hAnsi="仿宋_GB2312" w:eastAsia="仿宋_GB2312" w:cs="仿宋_GB2312"/>
          <w:sz w:val="32"/>
          <w:szCs w:val="32"/>
        </w:rPr>
      </w:pPr>
      <w:r>
        <w:rPr>
          <w:rFonts w:hint="eastAsia" w:ascii="微软雅黑" w:hAnsi="微软雅黑" w:eastAsia="微软雅黑" w:cs="微软雅黑"/>
          <w:sz w:val="32"/>
          <w:szCs w:val="32"/>
        </w:rPr>
        <w:t>①</w:t>
      </w:r>
      <w:r>
        <w:rPr>
          <w:rFonts w:hint="eastAsia" w:ascii="仿宋_GB2312" w:hAnsi="仿宋_GB2312" w:eastAsia="仿宋_GB2312" w:cs="仿宋_GB2312"/>
          <w:sz w:val="32"/>
          <w:szCs w:val="32"/>
        </w:rPr>
        <w:t>企业主导产品名称，根据主导产品界定细分市场。</w:t>
      </w:r>
    </w:p>
    <w:p w14:paraId="2D8022EB">
      <w:pPr>
        <w:spacing w:line="560" w:lineRule="exact"/>
        <w:ind w:firstLine="652" w:firstLineChars="200"/>
        <w:rPr>
          <w:rFonts w:hint="eastAsia" w:ascii="仿宋_GB2312" w:hAnsi="仿宋_GB2312" w:eastAsia="仿宋_GB2312" w:cs="仿宋_GB2312"/>
          <w:sz w:val="32"/>
          <w:szCs w:val="32"/>
        </w:rPr>
      </w:pPr>
      <w:r>
        <w:rPr>
          <w:rFonts w:hint="eastAsia" w:ascii="微软雅黑" w:hAnsi="微软雅黑" w:eastAsia="微软雅黑" w:cs="微软雅黑"/>
          <w:sz w:val="32"/>
          <w:szCs w:val="32"/>
        </w:rPr>
        <w:t>②</w:t>
      </w:r>
      <w:r>
        <w:rPr>
          <w:rFonts w:hint="eastAsia" w:ascii="仿宋_GB2312" w:hAnsi="仿宋_GB2312" w:eastAsia="仿宋_GB2312" w:cs="仿宋_GB2312"/>
          <w:sz w:val="32"/>
          <w:szCs w:val="32"/>
        </w:rPr>
        <w:t xml:space="preserve">介绍细分市场规模，相关数据引用公开或可验证的市场总量数据，公开数据需注明来源出处，市场规模推导符合逻辑。  </w:t>
      </w:r>
    </w:p>
    <w:p w14:paraId="27C85CC0">
      <w:pPr>
        <w:spacing w:line="560" w:lineRule="exact"/>
        <w:ind w:firstLine="652" w:firstLineChars="200"/>
        <w:rPr>
          <w:rFonts w:hint="eastAsia" w:ascii="仿宋_GB2312" w:hAnsi="仿宋_GB2312" w:eastAsia="仿宋_GB2312" w:cs="仿宋_GB2312"/>
          <w:sz w:val="32"/>
          <w:szCs w:val="32"/>
        </w:rPr>
      </w:pPr>
      <w:r>
        <w:rPr>
          <w:rFonts w:hint="eastAsia" w:ascii="微软雅黑" w:hAnsi="微软雅黑" w:eastAsia="微软雅黑" w:cs="微软雅黑"/>
          <w:sz w:val="32"/>
          <w:szCs w:val="32"/>
        </w:rPr>
        <w:t>③</w:t>
      </w:r>
      <w:r>
        <w:rPr>
          <w:rFonts w:hint="eastAsia" w:ascii="仿宋_GB2312" w:hAnsi="仿宋_GB2312" w:eastAsia="仿宋_GB2312" w:cs="仿宋_GB2312"/>
          <w:sz w:val="32"/>
          <w:szCs w:val="32"/>
        </w:rPr>
        <w:t>本企业产品销售规模或产值等，需明确2025年企业主导产品在国内或国际细分市场的占有率数据情况，请说明市场占有率是按产品销售收入额计算、按产品销售数量计算或按某一量值推算，逻辑推导过程清晰，能表明市场占有率或市场排名较为靠前。</w:t>
      </w:r>
    </w:p>
    <w:p w14:paraId="4C9B0140">
      <w:pPr>
        <w:spacing w:line="560" w:lineRule="exact"/>
        <w:ind w:firstLine="652" w:firstLineChars="200"/>
        <w:rPr>
          <w:rFonts w:hint="eastAsia" w:ascii="仿宋_GB2312" w:hAnsi="仿宋_GB2312" w:eastAsia="仿宋_GB2312" w:cs="仿宋_GB2312"/>
          <w:sz w:val="32"/>
          <w:szCs w:val="32"/>
        </w:rPr>
      </w:pPr>
      <w:r>
        <w:rPr>
          <w:rFonts w:hint="eastAsia" w:ascii="微软雅黑" w:hAnsi="微软雅黑" w:eastAsia="微软雅黑" w:cs="微软雅黑"/>
          <w:sz w:val="32"/>
          <w:szCs w:val="32"/>
        </w:rPr>
        <w:t>④</w:t>
      </w:r>
      <w:r>
        <w:rPr>
          <w:rFonts w:hint="eastAsia" w:ascii="仿宋_GB2312" w:hAnsi="仿宋_GB2312" w:eastAsia="仿宋_GB2312" w:cs="仿宋_GB2312"/>
          <w:sz w:val="32"/>
          <w:szCs w:val="32"/>
        </w:rPr>
        <w:t>此外，可简要说明企业技术和产品独特竞争优势，及在细分行业中享有较高知名度和影响力情况。</w:t>
      </w:r>
    </w:p>
    <w:p w14:paraId="718BC35F">
      <w:pPr>
        <w:spacing w:line="560" w:lineRule="exact"/>
        <w:ind w:firstLine="65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企业获得省级以上质量奖、质量管理能力等级或质量管理体系情况认定一览表（详见附表2-4），及对应的佐证材料（如质量奖证书、质量管理能力等级报告、ISO9000质量管理体系、ISO14000环境管理体系等证书）（扫描电子版，表格提供可编辑电子版）。</w:t>
      </w:r>
    </w:p>
    <w:p w14:paraId="19D30C86">
      <w:pPr>
        <w:spacing w:line="560" w:lineRule="exact"/>
        <w:ind w:firstLine="65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11.截至2025年，企业</w:t>
      </w:r>
      <w:r>
        <w:rPr>
          <w:rFonts w:hint="eastAsia" w:ascii="仿宋_GB2312" w:hAnsi="仿宋_GB2312" w:eastAsia="仿宋_GB2312" w:cs="仿宋_GB2312"/>
          <w:color w:val="000000"/>
          <w:sz w:val="32"/>
          <w:szCs w:val="32"/>
        </w:rPr>
        <w:t>主持或参与</w:t>
      </w:r>
      <w:r>
        <w:rPr>
          <w:rFonts w:hint="eastAsia" w:ascii="仿宋_GB2312" w:hAnsi="仿宋_GB2312" w:eastAsia="仿宋_GB2312" w:cs="仿宋_GB2312"/>
          <w:sz w:val="32"/>
          <w:szCs w:val="32"/>
        </w:rPr>
        <w:t>制修订国际、国家、行业标准</w:t>
      </w:r>
      <w:r>
        <w:rPr>
          <w:rFonts w:hint="eastAsia" w:ascii="仿宋_GB2312" w:hAnsi="仿宋_GB2312" w:eastAsia="仿宋_GB2312" w:cs="仿宋_GB2312"/>
          <w:color w:val="000000"/>
          <w:sz w:val="32"/>
          <w:szCs w:val="32"/>
        </w:rPr>
        <w:t>的清单及佐证材料（</w:t>
      </w:r>
      <w:r>
        <w:rPr>
          <w:rFonts w:hint="eastAsia" w:ascii="仿宋_GB2312" w:hAnsi="仿宋_GB2312" w:eastAsia="仿宋_GB2312" w:cs="仿宋_GB2312"/>
          <w:sz w:val="32"/>
          <w:szCs w:val="32"/>
        </w:rPr>
        <w:t>详见附表2-5，表格提供可编辑电子版，</w:t>
      </w:r>
      <w:r>
        <w:rPr>
          <w:rFonts w:hint="eastAsia" w:ascii="仿宋_GB2312" w:hAnsi="仿宋_GB2312" w:eastAsia="仿宋_GB2312" w:cs="仿宋_GB2312"/>
          <w:color w:val="000000"/>
          <w:sz w:val="32"/>
          <w:szCs w:val="32"/>
        </w:rPr>
        <w:t>标准关键页面提供</w:t>
      </w:r>
      <w:r>
        <w:rPr>
          <w:rFonts w:hint="eastAsia" w:ascii="仿宋_GB2312" w:hAnsi="仿宋_GB2312" w:eastAsia="仿宋_GB2312" w:cs="仿宋_GB2312"/>
          <w:sz w:val="32"/>
          <w:szCs w:val="32"/>
        </w:rPr>
        <w:t>扫描电子版</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sz w:val="32"/>
          <w:szCs w:val="32"/>
        </w:rPr>
        <w:t>以个人名义参与的，需提供有效期内的劳动合同及个人情况简介。</w:t>
      </w:r>
    </w:p>
    <w:p w14:paraId="509431A4">
      <w:pPr>
        <w:spacing w:line="560" w:lineRule="exact"/>
        <w:ind w:firstLine="65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12.主导产品获得的发达国家或地区认证一览表（详见附表2-6，及相关佐证材料（认证证书、检测报告或其他相关材料）（扫描电子版，表格提供可编辑电子版）。</w:t>
      </w:r>
    </w:p>
    <w:p w14:paraId="60414CEC">
      <w:pPr>
        <w:spacing w:line="560" w:lineRule="exact"/>
        <w:ind w:firstLine="652" w:firstLineChars="200"/>
      </w:pPr>
      <w:r>
        <w:rPr>
          <w:rFonts w:hint="eastAsia" w:ascii="仿宋_GB2312" w:hAnsi="仿宋_GB2312" w:eastAsia="仿宋_GB2312" w:cs="仿宋_GB2312"/>
          <w:sz w:val="32"/>
          <w:szCs w:val="32"/>
        </w:rPr>
        <w:t>13.企业主导产品所处产业链关键环节，以及“补短板”“锻长板”“填补国内（外）空白”等相关情况，佐证材料可提供：企业主导产品为国内外知名企业提供的销售合同或相关技术开发协议，企业与主要客户签订的主导产品销售合同（前三名）；以及企业在细分领域实现关键技术首创、产品核心技术实力的其他证明材料等（扫描电子版）。</w:t>
      </w:r>
    </w:p>
    <w:p w14:paraId="4430EC99">
      <w:pPr>
        <w:spacing w:line="560" w:lineRule="exact"/>
        <w:ind w:firstLine="65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14.企业自建或与高校、科研机构联合建立研发机构的佐证资料。例如，技术研究院、企业技术中心证书、企业工程中心证书、院士专家工作站证书、博士后工作站证书等（扫描电子版）。</w:t>
      </w:r>
    </w:p>
    <w:p w14:paraId="23F194E2">
      <w:pPr>
        <w:spacing w:line="560" w:lineRule="exact"/>
        <w:ind w:firstLine="652" w:firstLineChars="200"/>
      </w:pPr>
      <w:r>
        <w:rPr>
          <w:rFonts w:hint="eastAsia" w:ascii="仿宋_GB2312" w:hAnsi="仿宋_GB2312" w:eastAsia="仿宋_GB2312" w:cs="仿宋_GB2312"/>
          <w:sz w:val="32"/>
          <w:szCs w:val="32"/>
        </w:rPr>
        <w:t>15.获得绿色工厂、绿色供应链管理企业、绿色产品、能效/水效“领跑者”企业等称号，符合环保装备制造业规范条件的证书或公告名单等证明材料（扫描电子版，情况说明须加盖公章）。</w:t>
      </w:r>
    </w:p>
    <w:p w14:paraId="05E959C7">
      <w:pPr>
        <w:spacing w:line="560" w:lineRule="exact"/>
        <w:ind w:firstLine="65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16.专精特新申报承诺书（附件2-7）。</w:t>
      </w:r>
    </w:p>
    <w:p w14:paraId="6425D931">
      <w:pPr>
        <w:pStyle w:val="2"/>
      </w:pPr>
    </w:p>
    <w:p w14:paraId="1B0A2BF5">
      <w:pPr>
        <w:widowControl/>
        <w:autoSpaceDE w:val="0"/>
        <w:autoSpaceDN w:val="0"/>
        <w:spacing w:line="560" w:lineRule="exact"/>
        <w:ind w:firstLine="652" w:firstLineChars="200"/>
        <w:outlineLvl w:val="0"/>
        <w:rPr>
          <w:rFonts w:hint="eastAsia" w:ascii="仿宋_GB2312" w:hAnsi="仿宋_GB2312" w:eastAsia="仿宋_GB2312" w:cs="仿宋_GB2312"/>
          <w:b/>
          <w:bCs/>
          <w:sz w:val="32"/>
          <w:szCs w:val="32"/>
        </w:rPr>
      </w:pPr>
    </w:p>
    <w:p w14:paraId="704512D8">
      <w:pPr>
        <w:widowControl/>
        <w:autoSpaceDE w:val="0"/>
        <w:autoSpaceDN w:val="0"/>
        <w:spacing w:line="560" w:lineRule="exact"/>
        <w:ind w:firstLine="652" w:firstLineChars="200"/>
        <w:outlineLvl w:val="0"/>
      </w:pPr>
      <w:r>
        <w:rPr>
          <w:rFonts w:hint="eastAsia" w:ascii="仿宋_GB2312" w:hAnsi="仿宋_GB2312" w:eastAsia="仿宋_GB2312" w:cs="仿宋_GB2312"/>
          <w:b/>
          <w:bCs/>
          <w:sz w:val="32"/>
          <w:szCs w:val="32"/>
        </w:rPr>
        <w:t>注</w:t>
      </w:r>
      <w:r>
        <w:rPr>
          <w:rFonts w:hint="eastAsia" w:ascii="仿宋_GB2312" w:hAnsi="仿宋_GB2312" w:eastAsia="仿宋_GB2312" w:cs="仿宋_GB2312"/>
          <w:bCs/>
          <w:sz w:val="32"/>
          <w:szCs w:val="32"/>
        </w:rPr>
        <w:t>：</w:t>
      </w:r>
      <w:r>
        <w:rPr>
          <w:rFonts w:hint="eastAsia" w:ascii="仿宋_GB2312" w:hAnsi="仿宋_GB2312" w:eastAsia="仿宋_GB2312" w:cs="仿宋_GB2312"/>
          <w:sz w:val="32"/>
          <w:szCs w:val="32"/>
        </w:rPr>
        <w:t>上述材料请按清单所列顺序依次分类提供，涉及的各类情况说明须加盖企业公章。</w:t>
      </w:r>
    </w:p>
    <w:sectPr>
      <w:footerReference r:id="rId4" w:type="first"/>
      <w:footerReference r:id="rId3" w:type="default"/>
      <w:pgSz w:w="11906" w:h="16838"/>
      <w:pgMar w:top="1962" w:right="1474" w:bottom="1848" w:left="1588" w:header="851" w:footer="578" w:gutter="0"/>
      <w:cols w:space="0" w:num="1"/>
      <w:titlePg/>
      <w:docGrid w:type="linesAndChars" w:linePitch="590" w:charSpace="122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华文新魏">
    <w:panose1 w:val="02010800040101010101"/>
    <w:charset w:val="86"/>
    <w:family w:val="auto"/>
    <w:pitch w:val="default"/>
    <w:sig w:usb0="00000001" w:usb1="080F0000" w:usb2="00000000" w:usb3="00000000" w:csb0="00040000" w:csb1="00000000"/>
  </w:font>
  <w:font w:name="Calibri Light">
    <w:altName w:val="Times New Roman"/>
    <w:panose1 w:val="020F0302020204030204"/>
    <w:charset w:val="00"/>
    <w:family w:val="swiss"/>
    <w:pitch w:val="default"/>
    <w:sig w:usb0="00000000" w:usb1="00000000"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36444">
    <w:pPr>
      <w:pStyle w:val="4"/>
    </w:pPr>
    <w:r>
      <mc:AlternateContent>
        <mc:Choice Requires="wps">
          <w:drawing>
            <wp:anchor distT="0" distB="0" distL="114300" distR="114300" simplePos="0" relativeHeight="251659264" behindDoc="0" locked="0" layoutInCell="1" allowOverlap="1">
              <wp:simplePos x="0" y="0"/>
              <wp:positionH relativeFrom="margin">
                <wp:posOffset>2493645</wp:posOffset>
              </wp:positionH>
              <wp:positionV relativeFrom="paragraph">
                <wp:posOffset>-91440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335260">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96.35pt;margin-top:-7.2pt;height:144pt;width:144pt;mso-position-horizontal-relative:margin;mso-wrap-style:none;z-index:251659264;mso-width-relative:page;mso-height-relative:page;" filled="f" stroked="f" coordsize="21600,21600" o:gfxdata="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hFoA3tkAAAALAQAADwAAAAAAAAABACAAAAAiAAAAZHJzL2Rvd25yZXYueG1sUEsBAhQA&#10;FAAAAAgAh07iQIzXDnwqAgAAVQQAAA4AAAAAAAAAAQAgAAAAKAEAAGRycy9lMm9Eb2MueG1sUEsF&#10;BgAAAAAGAAYAWQEAAMQFAAAAAA==&#10;">
              <v:fill on="f" focussize="0,0"/>
              <v:stroke on="f" weight="0.5pt"/>
              <v:imagedata o:title=""/>
              <o:lock v:ext="edit" aspectratio="f"/>
              <v:textbox inset="0mm,0mm,0mm,0mm" style="mso-fit-shape-to-text:t;">
                <w:txbxContent>
                  <w:p w14:paraId="09335260">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BC9FC">
    <w:pPr>
      <w:pStyle w:val="4"/>
    </w:pPr>
    <w:r>
      <mc:AlternateContent>
        <mc:Choice Requires="wps">
          <w:drawing>
            <wp:anchor distT="0" distB="0" distL="114300" distR="114300" simplePos="0" relativeHeight="251660288" behindDoc="0" locked="0" layoutInCell="1" allowOverlap="1">
              <wp:simplePos x="0" y="0"/>
              <wp:positionH relativeFrom="margin">
                <wp:posOffset>2493645</wp:posOffset>
              </wp:positionH>
              <wp:positionV relativeFrom="paragraph">
                <wp:posOffset>-99060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351D37">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96.35pt;margin-top:-7.8pt;height:144pt;width:144pt;mso-position-horizontal-relative:margin;mso-wrap-style:none;z-index:251660288;mso-width-relative:page;mso-height-relative:page;" filled="f" stroked="f" coordsize="21600,21600" o:gfxdata="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K6yypjZAAAACwEAAA8AAAAAAAAAAQAgAAAAIgAAAGRycy9kb3ducmV2LnhtbFBLAQIU&#10;ABQAAAAIAIdO4kAFYYw/KwIAAFUEAAAOAAAAAAAAAAEAIAAAACgBAABkcnMvZTJvRG9jLnhtbFBL&#10;BQYAAAAABgAGAFkBAADFBQAAAAA=&#10;">
              <v:fill on="f" focussize="0,0"/>
              <v:stroke on="f" weight="0.5pt"/>
              <v:imagedata o:title=""/>
              <o:lock v:ext="edit" aspectratio="f"/>
              <v:textbox inset="0mm,0mm,0mm,0mm" style="mso-fit-shape-to-text:t;">
                <w:txbxContent>
                  <w:p w14:paraId="7E351D37">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225"/>
    <w:rsid w:val="003D2C72"/>
    <w:rsid w:val="00883225"/>
    <w:rsid w:val="00F73F87"/>
    <w:rsid w:val="00FA6CC1"/>
    <w:rsid w:val="095F763D"/>
    <w:rsid w:val="0A5A6328"/>
    <w:rsid w:val="0EC0292C"/>
    <w:rsid w:val="112E14D4"/>
    <w:rsid w:val="144933C4"/>
    <w:rsid w:val="1D540E0F"/>
    <w:rsid w:val="1E257757"/>
    <w:rsid w:val="24FE5B05"/>
    <w:rsid w:val="2948705F"/>
    <w:rsid w:val="2B752365"/>
    <w:rsid w:val="2BC43604"/>
    <w:rsid w:val="2EB53854"/>
    <w:rsid w:val="343E5F1E"/>
    <w:rsid w:val="35EF56A7"/>
    <w:rsid w:val="3BAA3EF7"/>
    <w:rsid w:val="3CCD42E3"/>
    <w:rsid w:val="3EDE2EA1"/>
    <w:rsid w:val="448636F5"/>
    <w:rsid w:val="44D74953"/>
    <w:rsid w:val="45F823D0"/>
    <w:rsid w:val="4A9A462D"/>
    <w:rsid w:val="4ECE65FB"/>
    <w:rsid w:val="4EFA2345"/>
    <w:rsid w:val="544E58B1"/>
    <w:rsid w:val="5B652974"/>
    <w:rsid w:val="5E9D446D"/>
    <w:rsid w:val="6C793C1C"/>
    <w:rsid w:val="6DA0789F"/>
    <w:rsid w:val="6DF6378A"/>
    <w:rsid w:val="706D7810"/>
    <w:rsid w:val="74163B8D"/>
    <w:rsid w:val="7B6F3B7C"/>
    <w:rsid w:val="7FAA7590"/>
    <w:rsid w:val="DFFF78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rFonts w:ascii="华文新魏" w:eastAsia="华文新魏"/>
      <w:sz w:val="36"/>
    </w:rPr>
  </w:style>
  <w:style w:type="paragraph" w:styleId="3">
    <w:name w:val="Title"/>
    <w:basedOn w:val="1"/>
    <w:next w:val="1"/>
    <w:qFormat/>
    <w:uiPriority w:val="10"/>
    <w:pPr>
      <w:spacing w:before="240" w:after="60"/>
      <w:jc w:val="center"/>
      <w:outlineLvl w:val="0"/>
    </w:pPr>
    <w:rPr>
      <w:rFonts w:ascii="Calibri Light" w:hAnsi="Calibri Light"/>
      <w:b/>
      <w:bCs/>
      <w:szCs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kern w:val="0"/>
      <w:sz w:val="24"/>
    </w:rPr>
  </w:style>
  <w:style w:type="character" w:styleId="9">
    <w:name w:val="Strong"/>
    <w:qFormat/>
    <w:uiPriority w:val="22"/>
    <w:rPr>
      <w:b/>
      <w:bCs/>
    </w:rPr>
  </w:style>
  <w:style w:type="paragraph" w:styleId="10">
    <w:name w:val="List Paragraph"/>
    <w:basedOn w:val="1"/>
    <w:autoRedefine/>
    <w:qFormat/>
    <w:uiPriority w:val="34"/>
    <w:pPr>
      <w:ind w:firstLine="420" w:firstLineChars="200"/>
    </w:pPr>
    <w:rPr>
      <w:rFonts w:ascii="Calibri" w:hAnsi="Calibri" w:cs="Calibri"/>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1676</Words>
  <Characters>1825</Characters>
  <Lines>46</Lines>
  <Paragraphs>27</Paragraphs>
  <TotalTime>36</TotalTime>
  <ScaleCrop>false</ScaleCrop>
  <LinksUpToDate>false</LinksUpToDate>
  <CharactersWithSpaces>1828</CharactersWithSpaces>
  <Application>WPS Office_12.1.2.22227_F1E327BC-269C-435d-A152-05C5408002CA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2024-05-06T17:39:00Z</dcterms:created>
  <dc:creator>zhang</dc:creator>
  <cp:lastModifiedBy>admin</cp:lastModifiedBy>
  <dcterms:modified xsi:type="dcterms:W3CDTF">2026-07-21T18:40:37Z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2052-12.1.2.22227</vt:lpwstr>
  </property>
  <property fmtid="{D5CDD505-2E9C-101B-9397-08002B2CF9AE}" pid="3" name="ICV">
    <vt:lpwstr>5EED946EF76F49879C79EEF19E705848_12</vt:lpwstr>
  </property>
  <property fmtid="{D5CDD505-2E9C-101B-9397-08002B2CF9AE}" pid="4" name="KSOTemplateDocerSaveRecord">
    <vt:lpwstr>eyJoZGlkIjoiOTY0ZDc1ZmRjMDg5ZDk2N2M1NWQzMjgwYzg1MmRjNzIiLCJ1c2VySWQiOiI2MDg0MTg2NjIifQ==</vt:lpwstr>
  </property>
</Properties>
</file>