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171" w:firstLineChars="39"/>
        <w:jc w:val="center"/>
        <w:textAlignment w:val="auto"/>
        <w:rPr>
          <w:rFonts w:hint="eastAsia" w:ascii="方正小标宋简体" w:hAnsi="Calibri" w:eastAsia="方正小标宋简体" w:cs="方正小标宋简体"/>
          <w:kern w:val="2"/>
          <w:sz w:val="44"/>
          <w:szCs w:val="44"/>
          <w:lang w:val="en-US" w:eastAsia="zh-CN" w:bidi="ar-SA"/>
        </w:rPr>
      </w:pPr>
      <w:r>
        <w:rPr>
          <w:rFonts w:hint="eastAsia" w:ascii="方正小标宋简体" w:hAnsi="Calibri" w:eastAsia="方正小标宋简体" w:cs="方正小标宋简体"/>
          <w:kern w:val="2"/>
          <w:sz w:val="44"/>
          <w:szCs w:val="44"/>
          <w:lang w:val="en-US" w:eastAsia="zh-CN" w:bidi="ar-SA"/>
        </w:rPr>
        <w:t>北京市西城区人民政府椿树街道办事处</w:t>
      </w:r>
    </w:p>
    <w:p>
      <w:pPr>
        <w:keepNext w:val="0"/>
        <w:keepLines w:val="0"/>
        <w:pageBreakBefore w:val="0"/>
        <w:widowControl w:val="0"/>
        <w:kinsoku/>
        <w:wordWrap/>
        <w:overflowPunct/>
        <w:topLinePunct w:val="0"/>
        <w:autoSpaceDE/>
        <w:autoSpaceDN/>
        <w:bidi w:val="0"/>
        <w:adjustRightInd/>
        <w:snapToGrid/>
        <w:spacing w:line="560" w:lineRule="exact"/>
        <w:ind w:firstLine="171" w:firstLineChars="39"/>
        <w:jc w:val="center"/>
        <w:textAlignment w:val="auto"/>
        <w:rPr>
          <w:rFonts w:hint="eastAsia" w:ascii="方正小标宋简体" w:hAnsi="宋体" w:eastAsia="方正小标宋简体" w:cs="Courier New"/>
          <w:kern w:val="2"/>
          <w:sz w:val="44"/>
          <w:szCs w:val="44"/>
        </w:rPr>
      </w:pPr>
      <w:r>
        <w:rPr>
          <w:rFonts w:hint="eastAsia" w:ascii="方正小标宋简体" w:hAnsi="宋体" w:eastAsia="方正小标宋简体" w:cs="Courier New"/>
          <w:kern w:val="2"/>
          <w:sz w:val="44"/>
          <w:szCs w:val="44"/>
        </w:rPr>
        <w:t>关于202</w:t>
      </w:r>
      <w:r>
        <w:rPr>
          <w:rFonts w:hint="eastAsia" w:ascii="方正小标宋简体" w:hAnsi="宋体" w:eastAsia="方正小标宋简体" w:cs="Courier New"/>
          <w:kern w:val="2"/>
          <w:sz w:val="44"/>
          <w:szCs w:val="44"/>
          <w:lang w:val="en-US" w:eastAsia="zh-CN"/>
        </w:rPr>
        <w:t>5</w:t>
      </w:r>
      <w:r>
        <w:rPr>
          <w:rFonts w:hint="eastAsia" w:ascii="方正小标宋简体" w:hAnsi="宋体" w:eastAsia="方正小标宋简体" w:cs="Courier New"/>
          <w:kern w:val="2"/>
          <w:sz w:val="44"/>
          <w:szCs w:val="44"/>
        </w:rPr>
        <w:t>年法治政府建设工作情况的报告</w:t>
      </w:r>
    </w:p>
    <w:p>
      <w:pPr>
        <w:keepNext w:val="0"/>
        <w:keepLines w:val="0"/>
        <w:pageBreakBefore w:val="0"/>
        <w:widowControl/>
        <w:kinsoku/>
        <w:wordWrap/>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p>
    <w:p>
      <w:pPr>
        <w:keepNext w:val="0"/>
        <w:keepLines w:val="0"/>
        <w:pageBreakBefore w:val="0"/>
        <w:widowControl/>
        <w:kinsoku/>
        <w:wordWrap/>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2025年是深入落实《法治政府建设实施纲要（2021-2025年）》的收官之年。2025年椿树街道在区委、区政府的正确领导下，坚持以习近平新时代中国特色社会主义思想为指导，</w:t>
      </w:r>
      <w:bookmarkStart w:id="0" w:name="OLE_LINK1"/>
      <w:r>
        <w:rPr>
          <w:rFonts w:hint="eastAsia" w:ascii="仿宋_GB2312" w:hAnsi="仿宋_GB2312" w:eastAsia="仿宋_GB2312" w:cs="仿宋_GB2312"/>
          <w:sz w:val="32"/>
          <w:szCs w:val="32"/>
          <w:lang w:val="en-US" w:eastAsia="zh-Hans"/>
        </w:rPr>
        <w:t>全面贯彻党的二十大和二十届历次全会精神</w:t>
      </w:r>
      <w:r>
        <w:rPr>
          <w:rFonts w:hint="eastAsia" w:ascii="仿宋_GB2312" w:hAnsi="仿宋_GB2312" w:eastAsia="仿宋_GB2312" w:cs="仿宋_GB2312"/>
          <w:sz w:val="32"/>
          <w:szCs w:val="32"/>
          <w:lang w:eastAsia="zh-CN"/>
        </w:rPr>
        <w:t>，深入学习宣传</w:t>
      </w:r>
      <w:r>
        <w:rPr>
          <w:rFonts w:hint="eastAsia" w:ascii="仿宋_GB2312" w:hAnsi="仿宋_GB2312" w:eastAsia="仿宋_GB2312" w:cs="仿宋_GB2312"/>
          <w:sz w:val="32"/>
          <w:szCs w:val="32"/>
        </w:rPr>
        <w:t>习近平法治思想</w:t>
      </w:r>
      <w:bookmarkEnd w:id="0"/>
      <w:r>
        <w:rPr>
          <w:rFonts w:hint="eastAsia" w:ascii="仿宋_GB2312" w:eastAsia="仿宋_GB2312"/>
          <w:sz w:val="32"/>
          <w:szCs w:val="32"/>
          <w:lang w:val="en-US" w:eastAsia="zh-CN"/>
        </w:rPr>
        <w:t>，认真落实区委、区政府关于法治政府建设的决策部署，结合本辖区实际情况，坚持和发展新时代“枫桥经验”，坚持以党建为引领，推动公共法律服务体系的完善、规范重大行政决策程序、坚持严格规范公正文明执法、</w:t>
      </w:r>
      <w:r>
        <w:rPr>
          <w:rFonts w:hint="eastAsia" w:ascii="仿宋_GB2312" w:hAnsi="仿宋_GB2312" w:eastAsia="仿宋_GB2312" w:cs="仿宋_GB2312"/>
          <w:sz w:val="32"/>
          <w:szCs w:val="32"/>
          <w:lang w:eastAsia="zh-CN"/>
        </w:rPr>
        <w:t>坚持优化法治营商环境</w:t>
      </w:r>
      <w:r>
        <w:rPr>
          <w:rFonts w:hint="eastAsia" w:ascii="仿宋_GB2312" w:eastAsia="仿宋_GB2312"/>
          <w:sz w:val="32"/>
          <w:szCs w:val="32"/>
          <w:lang w:val="en-US" w:eastAsia="zh-CN"/>
        </w:rPr>
        <w:t>、构建多元纠纷解决体系，</w:t>
      </w:r>
      <w:r>
        <w:rPr>
          <w:rFonts w:hint="eastAsia" w:ascii="仿宋_GB2312" w:hAnsi="仿宋_GB2312" w:eastAsia="仿宋_GB2312" w:cs="仿宋_GB2312"/>
          <w:sz w:val="32"/>
          <w:szCs w:val="32"/>
          <w:lang w:eastAsia="zh-CN"/>
        </w:rPr>
        <w:t>提升基层治理水平</w:t>
      </w:r>
      <w:r>
        <w:rPr>
          <w:rFonts w:hint="eastAsia" w:ascii="仿宋_GB2312" w:eastAsia="仿宋_GB2312"/>
          <w:sz w:val="32"/>
          <w:szCs w:val="32"/>
          <w:lang w:val="en-US" w:eastAsia="zh-CN"/>
        </w:rPr>
        <w:t>。椿树街道扎实推进法治政府建设各项工作，充分发挥街道在法治西城建设中的基础性作用，取得了积极成效。</w:t>
      </w:r>
    </w:p>
    <w:p>
      <w:pPr>
        <w:keepNext w:val="0"/>
        <w:keepLines w:val="0"/>
        <w:pageBreakBefore w:val="0"/>
        <w:widowControl/>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现将</w:t>
      </w:r>
      <w:r>
        <w:rPr>
          <w:rFonts w:hint="eastAsia" w:ascii="仿宋_GB2312" w:hAnsi="仿宋_GB2312" w:eastAsia="仿宋_GB2312" w:cs="仿宋_GB2312"/>
          <w:kern w:val="0"/>
          <w:sz w:val="32"/>
          <w:szCs w:val="32"/>
          <w:lang w:eastAsia="zh-CN"/>
        </w:rPr>
        <w:t>有关情况汇报</w:t>
      </w:r>
      <w:r>
        <w:rPr>
          <w:rFonts w:hint="eastAsia" w:ascii="仿宋_GB2312" w:hAnsi="仿宋_GB2312" w:eastAsia="仿宋_GB2312" w:cs="仿宋_GB2312"/>
          <w:kern w:val="0"/>
          <w:sz w:val="32"/>
          <w:szCs w:val="32"/>
        </w:rPr>
        <w:t>如下：</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一、主要举措和成效</w:t>
      </w:r>
    </w:p>
    <w:p>
      <w:pPr>
        <w:pStyle w:val="5"/>
        <w:keepNext w:val="0"/>
        <w:keepLines w:val="0"/>
        <w:pageBreakBefore w:val="0"/>
        <w:shd w:val="clear" w:color="auto" w:fill="FFFFFF"/>
        <w:kinsoku/>
        <w:wordWrap/>
        <w:topLinePunct w:val="0"/>
        <w:autoSpaceDE/>
        <w:autoSpaceDN/>
        <w:bidi w:val="0"/>
        <w:adjustRightInd/>
        <w:snapToGrid/>
        <w:spacing w:before="0" w:beforeAutospacing="0" w:after="120" w:afterAutospacing="0" w:line="560" w:lineRule="exact"/>
        <w:ind w:firstLine="516"/>
        <w:textAlignment w:val="auto"/>
        <w:rPr>
          <w:rFonts w:ascii="楷体_GB2312" w:hAnsi="黑体" w:eastAsia="楷体_GB2312" w:cs="Times New Roman"/>
          <w:color w:val="000000"/>
          <w:kern w:val="2"/>
          <w:sz w:val="32"/>
          <w:szCs w:val="32"/>
        </w:rPr>
      </w:pPr>
      <w:bookmarkStart w:id="1" w:name="OLE_LINK3"/>
      <w:r>
        <w:rPr>
          <w:rFonts w:hint="eastAsia" w:ascii="楷体_GB2312" w:hAnsi="黑体" w:eastAsia="楷体_GB2312" w:cs="Times New Roman"/>
          <w:color w:val="000000"/>
          <w:kern w:val="2"/>
          <w:sz w:val="32"/>
          <w:szCs w:val="32"/>
        </w:rPr>
        <w:t>（一）</w:t>
      </w:r>
      <w:r>
        <w:rPr>
          <w:rFonts w:hint="eastAsia" w:ascii="楷体_GB2312" w:hAnsi="黑体" w:eastAsia="楷体_GB2312" w:cs="Times New Roman"/>
          <w:color w:val="000000"/>
          <w:kern w:val="2"/>
          <w:sz w:val="32"/>
          <w:szCs w:val="32"/>
          <w:lang w:eastAsia="zh-CN"/>
        </w:rPr>
        <w:t>树牢法治思维</w:t>
      </w:r>
      <w:r>
        <w:rPr>
          <w:rFonts w:hint="eastAsia" w:ascii="楷体_GB2312" w:hAnsi="黑体" w:eastAsia="楷体_GB2312" w:cs="Times New Roman"/>
          <w:color w:val="000000"/>
          <w:kern w:val="2"/>
          <w:sz w:val="32"/>
          <w:szCs w:val="32"/>
          <w:lang w:val="en-US" w:eastAsia="zh-CN"/>
        </w:rPr>
        <w:t>，高站位</w:t>
      </w:r>
      <w:r>
        <w:rPr>
          <w:rFonts w:hint="eastAsia" w:ascii="楷体_GB2312" w:hAnsi="黑体" w:eastAsia="楷体_GB2312" w:cs="Times New Roman"/>
          <w:color w:val="000000"/>
          <w:kern w:val="2"/>
          <w:sz w:val="32"/>
          <w:szCs w:val="32"/>
          <w:lang w:eastAsia="zh-CN"/>
        </w:rPr>
        <w:t>统筹街道法治建设</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hAnsi="仿宋_GB2312" w:eastAsia="仿宋_GB2312" w:cs="仿宋_GB2312"/>
          <w:bCs/>
          <w:sz w:val="32"/>
          <w:szCs w:val="32"/>
        </w:rPr>
        <w:t>1.</w:t>
      </w:r>
      <w:r>
        <w:rPr>
          <w:rFonts w:hint="eastAsia" w:ascii="仿宋_GB2312" w:hAnsi="仿宋_GB2312" w:eastAsia="仿宋_GB2312" w:cs="仿宋_GB2312"/>
          <w:bCs/>
          <w:sz w:val="32"/>
          <w:szCs w:val="32"/>
          <w:lang w:val="en-US" w:eastAsia="zh-CN"/>
        </w:rPr>
        <w:t>坚持党建引领</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eastAsia="仿宋_GB2312"/>
          <w:sz w:val="32"/>
          <w:szCs w:val="32"/>
          <w:lang w:val="en-US" w:eastAsia="zh-CN"/>
        </w:rPr>
        <w:t>党的领导是社会主义法治的根本保证，也是法治政府建设的根本保证。2025年至今，我街道始终坚持以党的政治建设为统领，紧紧围绕“学思想、强党性、重实践、建新功”的总要求，全面提升机关党建高质量发展水平，充分发挥党建引领作用。同时，我街道严格贯彻落实《党政主要负责人履行推进法治建设第一责任人职责规定》、《法治政府建设与责任落实督察工作规定》等重要制度，</w:t>
      </w:r>
      <w:r>
        <w:rPr>
          <w:rFonts w:hint="eastAsia" w:ascii="仿宋_GB2312" w:eastAsia="仿宋_GB2312"/>
          <w:sz w:val="32"/>
          <w:szCs w:val="32"/>
        </w:rPr>
        <w:t>把</w:t>
      </w:r>
      <w:r>
        <w:rPr>
          <w:rFonts w:hint="eastAsia" w:ascii="仿宋_GB2312" w:eastAsia="仿宋_GB2312"/>
          <w:sz w:val="32"/>
          <w:szCs w:val="32"/>
          <w:lang w:eastAsia="zh-CN"/>
        </w:rPr>
        <w:t>推进法治政府建设</w:t>
      </w:r>
      <w:r>
        <w:rPr>
          <w:rFonts w:hint="eastAsia" w:ascii="仿宋_GB2312" w:eastAsia="仿宋_GB2312"/>
          <w:sz w:val="32"/>
          <w:szCs w:val="32"/>
        </w:rPr>
        <w:t>工作纳入重要议事日程，统一安排，统一部署。</w:t>
      </w:r>
      <w:r>
        <w:rPr>
          <w:rFonts w:hint="eastAsia" w:ascii="仿宋_GB2312" w:hAnsi="仿宋_GB2312" w:eastAsia="仿宋_GB2312" w:cs="仿宋_GB2312"/>
          <w:bCs/>
          <w:sz w:val="32"/>
          <w:szCs w:val="32"/>
        </w:rPr>
        <w:t>认真落实法治政府建设组织保障，严格</w:t>
      </w:r>
      <w:r>
        <w:rPr>
          <w:rFonts w:hint="eastAsia" w:ascii="仿宋_GB2312" w:hAnsi="仿宋_GB2312" w:eastAsia="仿宋_GB2312" w:cs="仿宋_GB2312"/>
          <w:sz w:val="32"/>
          <w:szCs w:val="32"/>
        </w:rPr>
        <w:t>按照街道法治建设工作实施方案</w:t>
      </w:r>
      <w:r>
        <w:rPr>
          <w:rFonts w:hint="eastAsia" w:ascii="仿宋_GB2312" w:hAnsi="仿宋_GB2312" w:eastAsia="仿宋_GB2312" w:cs="仿宋_GB2312"/>
          <w:bCs/>
          <w:sz w:val="32"/>
          <w:szCs w:val="32"/>
        </w:rPr>
        <w:t>，认真执行党政主要负责人推进法治建设第一责任人职责的规定，在街道党工委统一领导下,定期召开专题会议，及时</w:t>
      </w:r>
      <w:r>
        <w:rPr>
          <w:rFonts w:hint="eastAsia" w:ascii="仿宋_GB2312" w:hAnsi="仿宋_GB2312" w:eastAsia="仿宋_GB2312" w:cs="仿宋_GB2312"/>
          <w:bCs/>
          <w:sz w:val="32"/>
          <w:szCs w:val="32"/>
          <w:lang w:eastAsia="zh-CN"/>
        </w:rPr>
        <w:t>分析</w:t>
      </w:r>
      <w:r>
        <w:rPr>
          <w:rFonts w:hint="eastAsia" w:ascii="仿宋_GB2312" w:hAnsi="仿宋_GB2312" w:eastAsia="仿宋_GB2312" w:cs="仿宋_GB2312"/>
          <w:bCs/>
          <w:sz w:val="32"/>
          <w:szCs w:val="32"/>
        </w:rPr>
        <w:t>解决法治</w:t>
      </w:r>
      <w:r>
        <w:rPr>
          <w:rFonts w:hint="eastAsia" w:ascii="仿宋_GB2312" w:hAnsi="仿宋_GB2312" w:eastAsia="仿宋_GB2312" w:cs="仿宋_GB2312"/>
          <w:bCs/>
          <w:sz w:val="32"/>
          <w:szCs w:val="32"/>
          <w:lang w:eastAsia="zh-CN"/>
        </w:rPr>
        <w:t>政府</w:t>
      </w:r>
      <w:r>
        <w:rPr>
          <w:rFonts w:hint="eastAsia" w:ascii="仿宋_GB2312" w:hAnsi="仿宋_GB2312" w:eastAsia="仿宋_GB2312" w:cs="仿宋_GB2312"/>
          <w:bCs/>
          <w:sz w:val="32"/>
          <w:szCs w:val="32"/>
        </w:rPr>
        <w:t>建设中的各类问题</w:t>
      </w:r>
      <w:r>
        <w:rPr>
          <w:rFonts w:hint="eastAsia" w:ascii="仿宋_GB2312" w:hAnsi="仿宋_GB2312" w:eastAsia="仿宋_GB2312" w:cs="仿宋_GB2312"/>
          <w:bCs/>
          <w:sz w:val="32"/>
          <w:szCs w:val="32"/>
          <w:lang w:eastAsia="zh-CN"/>
        </w:rPr>
        <w:t>，形成“</w:t>
      </w:r>
      <w:r>
        <w:rPr>
          <w:rFonts w:hint="eastAsia" w:ascii="仿宋_GB2312" w:hAnsi="仿宋_GB2312" w:eastAsia="仿宋_GB2312" w:cs="仿宋_GB2312"/>
          <w:bCs/>
          <w:sz w:val="32"/>
          <w:szCs w:val="32"/>
        </w:rPr>
        <w:t>主要领导</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分管领导</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相关部门</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社区</w:t>
      </w:r>
      <w:r>
        <w:rPr>
          <w:rFonts w:hint="eastAsia" w:ascii="仿宋_GB2312" w:hAnsi="仿宋_GB2312" w:eastAsia="仿宋_GB2312" w:cs="仿宋_GB2312"/>
          <w:bCs/>
          <w:sz w:val="32"/>
          <w:szCs w:val="32"/>
          <w:lang w:eastAsia="zh-CN"/>
        </w:rPr>
        <w:t>”四级</w:t>
      </w:r>
      <w:r>
        <w:rPr>
          <w:rFonts w:hint="eastAsia" w:ascii="仿宋_GB2312" w:hAnsi="仿宋_GB2312" w:eastAsia="仿宋_GB2312" w:cs="仿宋_GB2312"/>
          <w:bCs/>
          <w:sz w:val="32"/>
          <w:szCs w:val="32"/>
        </w:rPr>
        <w:t>工作</w:t>
      </w:r>
      <w:r>
        <w:rPr>
          <w:rFonts w:hint="eastAsia" w:ascii="仿宋_GB2312" w:hAnsi="仿宋_GB2312" w:eastAsia="仿宋_GB2312" w:cs="仿宋_GB2312"/>
          <w:bCs/>
          <w:sz w:val="32"/>
          <w:szCs w:val="32"/>
          <w:lang w:eastAsia="zh-CN"/>
        </w:rPr>
        <w:t>格局</w:t>
      </w:r>
      <w:r>
        <w:rPr>
          <w:rFonts w:hint="eastAsia" w:ascii="仿宋_GB2312" w:hAnsi="仿宋_GB2312" w:eastAsia="仿宋_GB2312" w:cs="仿宋_GB2312"/>
          <w:bCs/>
          <w:sz w:val="32"/>
          <w:szCs w:val="32"/>
        </w:rPr>
        <w:t>，形成</w:t>
      </w:r>
      <w:r>
        <w:rPr>
          <w:rFonts w:hint="eastAsia" w:ascii="仿宋_GB2312" w:hAnsi="仿宋_GB2312" w:eastAsia="仿宋_GB2312" w:cs="仿宋_GB2312"/>
          <w:bCs/>
          <w:sz w:val="32"/>
          <w:szCs w:val="32"/>
          <w:lang w:eastAsia="zh-CN"/>
        </w:rPr>
        <w:t>分级管法治、</w:t>
      </w:r>
      <w:r>
        <w:rPr>
          <w:rFonts w:hint="eastAsia" w:ascii="仿宋_GB2312" w:hAnsi="仿宋_GB2312" w:eastAsia="仿宋_GB2312" w:cs="仿宋_GB2312"/>
          <w:bCs/>
          <w:sz w:val="32"/>
          <w:szCs w:val="32"/>
        </w:rPr>
        <w:t>逐级抓落实的层级工作体系，确保法治政府建设各项</w:t>
      </w:r>
      <w:r>
        <w:rPr>
          <w:rFonts w:hint="eastAsia" w:ascii="仿宋_GB2312" w:hAnsi="仿宋_GB2312" w:eastAsia="仿宋_GB2312" w:cs="仿宋_GB2312"/>
          <w:sz w:val="32"/>
          <w:szCs w:val="32"/>
        </w:rPr>
        <w:t>工作落到实处。</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2.完善队伍建设</w:t>
      </w:r>
    </w:p>
    <w:p>
      <w:pPr>
        <w:pStyle w:val="4"/>
        <w:keepNext w:val="0"/>
        <w:keepLines w:val="0"/>
        <w:pageBreakBefore w:val="0"/>
        <w:kinsoku/>
        <w:wordWrap/>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街道推进法治政府建设，其中完善队伍建设是关键。我街道始终坚持和完善党工委中心组学法制度和领导干部集中学法制度，将《习近平法治思想学习纲要》《习近平新时代中国特色社会主义思想学习问答》等重要理论政策</w:t>
      </w:r>
      <w:bookmarkStart w:id="4" w:name="_GoBack"/>
      <w:bookmarkEnd w:id="4"/>
      <w:r>
        <w:rPr>
          <w:rFonts w:hint="eastAsia" w:ascii="仿宋_GB2312" w:hAnsi="仿宋_GB2312" w:eastAsia="仿宋_GB2312" w:cs="仿宋_GB2312"/>
          <w:kern w:val="2"/>
          <w:sz w:val="32"/>
          <w:szCs w:val="32"/>
          <w:lang w:val="en-US" w:eastAsia="zh-CN" w:bidi="ar-SA"/>
        </w:rPr>
        <w:t>文件纳入理论中心组学习计</w:t>
      </w:r>
      <w:r>
        <w:rPr>
          <w:rFonts w:hint="eastAsia" w:ascii="仿宋_GB2312" w:hAnsi="仿宋_GB2312" w:eastAsia="仿宋_GB2312" w:cs="仿宋_GB2312"/>
          <w:color w:val="auto"/>
          <w:kern w:val="2"/>
          <w:sz w:val="32"/>
          <w:szCs w:val="32"/>
          <w:lang w:val="en-US" w:eastAsia="zh-CN" w:bidi="ar-SA"/>
        </w:rPr>
        <w:t>划。2025年，我街道组织了专题法治培训6次、主任办公会会前学法4次，切实提升了领导干部运用法治思维和法治方式抓改革、谋发展</w:t>
      </w:r>
      <w:r>
        <w:rPr>
          <w:rFonts w:hint="eastAsia" w:ascii="仿宋_GB2312" w:hAnsi="仿宋_GB2312" w:eastAsia="仿宋_GB2312" w:cs="仿宋_GB2312"/>
          <w:kern w:val="2"/>
          <w:sz w:val="32"/>
          <w:szCs w:val="32"/>
          <w:lang w:val="en-US" w:eastAsia="zh-CN" w:bidi="ar-SA"/>
        </w:rPr>
        <w:t>、促稳定的水平；此外</w:t>
      </w:r>
      <w:r>
        <w:rPr>
          <w:rFonts w:hint="eastAsia" w:ascii="仿宋_GB2312" w:hAnsi="仿宋_GB2312" w:eastAsia="仿宋_GB2312" w:cs="仿宋_GB2312"/>
          <w:kern w:val="2"/>
          <w:sz w:val="32"/>
          <w:szCs w:val="32"/>
          <w:lang w:val="en-US" w:eastAsia="zh-CN" w:bidi="ar"/>
        </w:rPr>
        <w:t>针对全体机关干部开展法治政府建设、习近平法治思想、党的二十届历次全会等重点模块学习，针对性开展法治培训活动，除此之外，开展</w:t>
      </w:r>
      <w:r>
        <w:rPr>
          <w:rFonts w:hint="eastAsia" w:ascii="仿宋_GB2312" w:hAnsi="仿宋_GB2312" w:eastAsia="仿宋_GB2312" w:cs="仿宋_GB2312"/>
          <w:sz w:val="32"/>
          <w:szCs w:val="32"/>
          <w:lang w:val="en-US" w:eastAsia="zh-CN"/>
        </w:rPr>
        <w:t>多样性培训形式，提升培训力度，本年度组织年轻干部参加2次庭审观摩、组织新入职干部参与执法观摩等非授课形式组织培训，提高了年轻干部的法治修养和依法行政能力。</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3.落实普法责任</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普法工作是构建法治政府的基石。</w:t>
      </w:r>
      <w:r>
        <w:rPr>
          <w:rFonts w:hint="eastAsia" w:ascii="仿宋_GB2312" w:hAnsi="仿宋_GB2312" w:eastAsia="仿宋_GB2312" w:cs="仿宋_GB2312"/>
          <w:sz w:val="32"/>
          <w:szCs w:val="32"/>
          <w:lang w:val="en-US" w:eastAsia="zh-CN"/>
        </w:rPr>
        <w:t>2025年度，椿树街道</w:t>
      </w:r>
      <w:r>
        <w:rPr>
          <w:rFonts w:hint="eastAsia" w:ascii="仿宋_GB2312" w:hAnsi="仿宋_GB2312" w:eastAsia="仿宋_GB2312" w:cs="仿宋_GB2312"/>
          <w:sz w:val="32"/>
          <w:szCs w:val="32"/>
        </w:rPr>
        <w:t>严格落实普法责任制</w:t>
      </w:r>
      <w:r>
        <w:rPr>
          <w:rFonts w:hint="eastAsia" w:ascii="仿宋_GB2312" w:hAnsi="仿宋_GB2312" w:eastAsia="仿宋_GB2312" w:cs="仿宋_GB2312"/>
          <w:sz w:val="32"/>
          <w:szCs w:val="32"/>
          <w:lang w:eastAsia="zh-CN"/>
        </w:rPr>
        <w:t>，扎实推进公共法律服务工作和普法宣传工作，</w:t>
      </w:r>
      <w:r>
        <w:rPr>
          <w:rFonts w:hint="eastAsia" w:ascii="仿宋_GB2312" w:hAnsi="仿宋_GB2312" w:eastAsia="仿宋_GB2312" w:cs="仿宋_GB2312"/>
          <w:b w:val="0"/>
          <w:bCs w:val="0"/>
          <w:sz w:val="32"/>
          <w:szCs w:val="40"/>
          <w:lang w:val="en-US" w:eastAsia="zh-CN"/>
        </w:rPr>
        <w:t>打造基层普法新模式，创新实践，</w:t>
      </w:r>
      <w:r>
        <w:rPr>
          <w:rFonts w:hint="eastAsia" w:ascii="仿宋_GB2312" w:hAnsi="仿宋_GB2312" w:eastAsia="仿宋_GB2312" w:cs="仿宋_GB2312"/>
          <w:sz w:val="32"/>
          <w:szCs w:val="32"/>
          <w:lang w:val="en-US" w:eastAsia="zh-CN"/>
        </w:rPr>
        <w:t>全面落实“八五”普法规划。椿树街道</w:t>
      </w:r>
      <w:r>
        <w:rPr>
          <w:rFonts w:hint="eastAsia" w:ascii="仿宋_GB2312" w:hAnsi="仿宋_GB2312" w:eastAsia="仿宋_GB2312" w:cs="仿宋_GB2312"/>
          <w:sz w:val="32"/>
          <w:szCs w:val="32"/>
        </w:rPr>
        <w:t>提前布局谋划，紧盯时间节点</w:t>
      </w:r>
      <w:r>
        <w:rPr>
          <w:rFonts w:hint="eastAsia" w:ascii="仿宋_GB2312" w:hAnsi="仿宋_GB2312" w:eastAsia="仿宋_GB2312" w:cs="仿宋_GB2312"/>
          <w:sz w:val="32"/>
          <w:szCs w:val="32"/>
          <w:lang w:eastAsia="zh-CN"/>
        </w:rPr>
        <w:t>，将</w:t>
      </w:r>
      <w:r>
        <w:rPr>
          <w:rFonts w:hint="eastAsia" w:ascii="仿宋_GB2312" w:hAnsi="仿宋_GB2312" w:eastAsia="仿宋_GB2312" w:cs="仿宋_GB2312"/>
          <w:sz w:val="32"/>
          <w:szCs w:val="32"/>
        </w:rPr>
        <w:t>重要节点纳入年度普法重点工作和年度普法清单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采取集中宣传与点对点宣传相结合，形成全时空、零距离、立体化的普法联动架构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40"/>
          <w:lang w:val="en-US" w:eastAsia="zh-CN"/>
        </w:rPr>
        <w:t>开展以宪法为核心、与人民群众切身利益相关的法律法规法治宣传活动20余场次</w:t>
      </w:r>
      <w:r>
        <w:rPr>
          <w:rFonts w:hint="eastAsia" w:ascii="仿宋_GB2312" w:hAnsi="仿宋_GB2312" w:eastAsia="仿宋_GB2312" w:cs="仿宋_GB2312"/>
          <w:sz w:val="32"/>
          <w:szCs w:val="32"/>
          <w:lang w:val="en-US" w:eastAsia="zh-CN"/>
        </w:rPr>
        <w:t>，覆盖7个社区共计8000余名居民。</w:t>
      </w:r>
      <w:r>
        <w:rPr>
          <w:rFonts w:hint="eastAsia" w:ascii="仿宋_GB2312" w:hAnsi="仿宋_GB2312" w:eastAsia="仿宋_GB2312" w:cs="仿宋_GB2312"/>
          <w:sz w:val="32"/>
          <w:szCs w:val="40"/>
          <w:lang w:val="en-US" w:eastAsia="zh-CN"/>
        </w:rPr>
        <w:t>此外，大力加强线上线下相结合的方式，通过微信表情包“司法椿娃”以及特色创新品牌“模法小宝”、“法律星球”等，以及普法直播、线上视频等方式，打造线上普法新模式，有效提升了辖区居民的法律素养和维权意识，</w:t>
      </w:r>
      <w:r>
        <w:rPr>
          <w:rFonts w:hint="eastAsia" w:ascii="仿宋_GB2312" w:hAnsi="仿宋_GB2312" w:eastAsia="仿宋_GB2312" w:cs="仿宋_GB2312"/>
          <w:sz w:val="32"/>
          <w:szCs w:val="32"/>
          <w:lang w:val="en-US" w:eastAsia="zh-CN"/>
        </w:rPr>
        <w:t>实现法治宣传在辖区的全覆盖。</w:t>
      </w:r>
    </w:p>
    <w:p>
      <w:pPr>
        <w:pStyle w:val="5"/>
        <w:keepNext w:val="0"/>
        <w:keepLines w:val="0"/>
        <w:pageBreakBefore w:val="0"/>
        <w:shd w:val="clear" w:color="auto" w:fill="FFFFFF"/>
        <w:kinsoku/>
        <w:wordWrap/>
        <w:topLinePunct w:val="0"/>
        <w:autoSpaceDE/>
        <w:autoSpaceDN/>
        <w:bidi w:val="0"/>
        <w:adjustRightInd/>
        <w:snapToGrid/>
        <w:spacing w:before="0" w:beforeAutospacing="0" w:after="0" w:afterAutospacing="0" w:line="560" w:lineRule="exact"/>
        <w:ind w:firstLine="42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（二）提升法治水平，</w:t>
      </w:r>
      <w:r>
        <w:rPr>
          <w:rFonts w:hint="eastAsia" w:ascii="楷体_GB2312" w:hAnsi="楷体_GB2312" w:eastAsia="楷体_GB2312" w:cs="楷体_GB2312"/>
          <w:sz w:val="32"/>
          <w:szCs w:val="32"/>
          <w:lang w:eastAsia="zh-CN"/>
        </w:rPr>
        <w:t>全方位</w:t>
      </w:r>
      <w:r>
        <w:rPr>
          <w:rFonts w:hint="eastAsia" w:ascii="楷体_GB2312" w:hAnsi="楷体_GB2312" w:eastAsia="楷体_GB2312" w:cs="楷体_GB2312"/>
          <w:sz w:val="32"/>
          <w:szCs w:val="32"/>
        </w:rPr>
        <w:t>依法履行政府职能</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规范权力运行</w:t>
      </w:r>
    </w:p>
    <w:p>
      <w:pPr>
        <w:pStyle w:val="4"/>
        <w:keepNext w:val="0"/>
        <w:keepLines w:val="0"/>
        <w:pageBreakBefore w:val="0"/>
        <w:kinsoku/>
        <w:wordWrap/>
        <w:topLinePunct w:val="0"/>
        <w:autoSpaceDE/>
        <w:autoSpaceDN/>
        <w:bidi w:val="0"/>
        <w:adjustRightInd/>
        <w:snapToGrid/>
        <w:spacing w:line="560" w:lineRule="exact"/>
        <w:ind w:left="0" w:leftChars="0" w:firstLine="640" w:firstLineChars="200"/>
        <w:textAlignment w:val="auto"/>
        <w:rPr>
          <w:rFonts w:hint="eastAsia" w:eastAsia="仿宋_GB2312"/>
          <w:lang w:val="en-US" w:eastAsia="zh-CN"/>
        </w:rPr>
      </w:pPr>
      <w:r>
        <w:rPr>
          <w:rFonts w:hint="eastAsia" w:ascii="仿宋_GB2312" w:hAnsi="仿宋_GB2312" w:eastAsia="仿宋_GB2312" w:cs="仿宋_GB2312"/>
          <w:sz w:val="32"/>
          <w:szCs w:val="32"/>
        </w:rPr>
        <w:t>推进政务公开，增加权力透明</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，确保权力在法治轨道上健康运行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我街道</w:t>
      </w:r>
      <w:r>
        <w:rPr>
          <w:rFonts w:hint="eastAsia" w:ascii="仿宋_GB2312" w:hAnsi="仿宋_GB2312" w:eastAsia="仿宋_GB2312" w:cs="仿宋_GB2312"/>
          <w:sz w:val="32"/>
          <w:szCs w:val="32"/>
        </w:rPr>
        <w:t>严格按照政务公开要求开展工作，规范编制政府信息公开目录和公开指南，公开的信息及时到位、格式规范、分类准确。</w:t>
      </w:r>
      <w:r>
        <w:rPr>
          <w:rFonts w:hint="eastAsia" w:ascii="仿宋_GB2312" w:hAnsi="仿宋_GB2312" w:eastAsia="仿宋_GB2312" w:cs="仿宋_GB2312"/>
          <w:sz w:val="32"/>
          <w:szCs w:val="32"/>
          <w:lang w:val="en-US" w:eastAsia="zh-CN"/>
        </w:rPr>
        <w:t>同时，通过编制权责清单，梳理明确每个职位和部门的职责与权限，</w:t>
      </w:r>
      <w:r>
        <w:rPr>
          <w:rFonts w:hint="eastAsia" w:ascii="仿宋_GB2312" w:hAnsi="仿宋_GB2312" w:eastAsia="仿宋_GB2312" w:cs="仿宋_GB2312"/>
          <w:sz w:val="32"/>
          <w:szCs w:val="32"/>
        </w:rPr>
        <w:t>进一步落实行政许可和行政处罚双公示制度，依法规范行政执法流程，按照政府权力清单的要求，公开权力运行过程和结果，</w:t>
      </w:r>
      <w:r>
        <w:rPr>
          <w:rFonts w:hint="eastAsia" w:ascii="仿宋_GB2312" w:hAnsi="仿宋_GB2312" w:eastAsia="仿宋_GB2312" w:cs="仿宋_GB2312"/>
          <w:sz w:val="32"/>
          <w:szCs w:val="32"/>
          <w:lang w:eastAsia="zh-CN"/>
        </w:rPr>
        <w:t>为执法人员提供明确的执法参考和指导，确保执法的标准化与规范化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并</w:t>
      </w:r>
      <w:r>
        <w:rPr>
          <w:rFonts w:hint="eastAsia" w:ascii="仿宋_GB2312" w:hAnsi="仿宋_GB2312" w:eastAsia="仿宋_GB2312" w:cs="仿宋_GB2312"/>
          <w:sz w:val="32"/>
          <w:szCs w:val="32"/>
          <w:lang w:val="en-US" w:eastAsia="zh-CN"/>
        </w:rPr>
        <w:t>做好行政执法职权上收工作，</w:t>
      </w:r>
      <w:r>
        <w:rPr>
          <w:rFonts w:hint="default" w:ascii="仿宋_GB2312" w:hAnsi="仿宋_GB2312" w:eastAsia="仿宋_GB2312" w:cs="仿宋_GB2312"/>
          <w:sz w:val="32"/>
          <w:szCs w:val="32"/>
          <w:lang w:val="en-US" w:eastAsia="zh-CN"/>
        </w:rPr>
        <w:t>规范填录与交接事项</w:t>
      </w:r>
      <w:r>
        <w:rPr>
          <w:rFonts w:hint="eastAsia" w:ascii="仿宋_GB2312" w:hAnsi="仿宋_GB2312" w:eastAsia="仿宋_GB2312" w:cs="仿宋_GB2312"/>
          <w:sz w:val="32"/>
          <w:szCs w:val="32"/>
          <w:lang w:val="en-US" w:eastAsia="zh-CN"/>
        </w:rPr>
        <w:t>清单，与区城管执法局、区生态环境局、区卫生健康委积极对接，共计收回职权20项；</w:t>
      </w:r>
      <w:r>
        <w:rPr>
          <w:rFonts w:hint="eastAsia" w:ascii="仿宋_GB2312" w:eastAsia="仿宋_GB2312"/>
          <w:sz w:val="32"/>
          <w:szCs w:val="32"/>
        </w:rPr>
        <w:t>开展规范基层行政执法专项治理</w:t>
      </w:r>
      <w:r>
        <w:rPr>
          <w:rFonts w:hint="eastAsia" w:ascii="仿宋_GB2312" w:eastAsia="仿宋_GB2312"/>
          <w:sz w:val="32"/>
          <w:szCs w:val="32"/>
          <w:lang w:eastAsia="zh-CN"/>
        </w:rPr>
        <w:t>工作。组建</w:t>
      </w:r>
      <w:r>
        <w:rPr>
          <w:rFonts w:hint="eastAsia" w:ascii="仿宋_GB2312" w:eastAsia="仿宋_GB2312"/>
          <w:sz w:val="32"/>
          <w:szCs w:val="32"/>
        </w:rPr>
        <w:t>规范基层行政执法专项治理工作专班</w:t>
      </w:r>
      <w:r>
        <w:rPr>
          <w:rFonts w:hint="eastAsia" w:ascii="仿宋_GB2312" w:eastAsia="仿宋_GB2312"/>
          <w:sz w:val="32"/>
          <w:szCs w:val="32"/>
          <w:lang w:eastAsia="zh-CN"/>
        </w:rPr>
        <w:t>，</w:t>
      </w:r>
      <w:r>
        <w:rPr>
          <w:rFonts w:hint="eastAsia" w:ascii="仿宋_GB2312" w:eastAsia="仿宋_GB2312"/>
          <w:sz w:val="32"/>
          <w:szCs w:val="32"/>
        </w:rPr>
        <w:t>切实解决基层行政执法领域存在的突出问题</w:t>
      </w:r>
      <w:r>
        <w:rPr>
          <w:rFonts w:hint="eastAsia" w:ascii="仿宋_GB2312" w:eastAsia="仿宋_GB2312"/>
          <w:sz w:val="32"/>
          <w:szCs w:val="32"/>
          <w:lang w:eastAsia="zh-CN"/>
        </w:rPr>
        <w:t>。</w:t>
      </w:r>
      <w:r>
        <w:rPr>
          <w:rFonts w:hint="eastAsia" w:ascii="仿宋_GB2312" w:eastAsia="仿宋_GB2312"/>
          <w:sz w:val="32"/>
          <w:szCs w:val="32"/>
        </w:rPr>
        <w:t>聚焦违规异地执法、趋利性执法和乱收费、乱罚款、乱检查、乱查封等突出问题，结合我街道执法实际，重点开展基层行政执法共性问题治理</w:t>
      </w:r>
      <w:r>
        <w:rPr>
          <w:rFonts w:hint="eastAsia" w:ascii="仿宋_GB2312" w:eastAsia="仿宋_GB2312"/>
          <w:sz w:val="32"/>
          <w:szCs w:val="32"/>
          <w:lang w:eastAsia="zh-CN"/>
        </w:rPr>
        <w:t>及重点行政执法领域突出问题治理工作。</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维护司法权威</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司法权威和公正是保证贯彻依法治国基本方略的重中之重。</w:t>
      </w:r>
      <w:r>
        <w:rPr>
          <w:rFonts w:hint="eastAsia" w:ascii="仿宋_GB2312" w:hAnsi="仿宋_GB2312" w:eastAsia="仿宋_GB2312" w:cs="仿宋_GB2312"/>
          <w:sz w:val="32"/>
          <w:szCs w:val="32"/>
          <w:lang w:eastAsia="zh-CN"/>
        </w:rPr>
        <w:t>我街道尊重司法独立，保证司法机关依法独立行使司法职能，不受干预，主动接受司法审查、司法监督，对司法建议和判决予以尊重，自觉遵守并及时执行，认真整改司法审查中发现的问题。针对新修订的《法治宣传教育法》组织法治工作人员系统学习，了解掌握新法修改和完善的地方，及时形成反馈建议。此外，支持司法公开，提高司法透明度，提高公众对司法公正性的信任。我街道始终坚持确保司法权威得到有效维护，司法判决得到尊重和执行。</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强化依法决策</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sz w:val="20"/>
          <w:szCs w:val="22"/>
        </w:rPr>
      </w:pPr>
      <w:r>
        <w:rPr>
          <w:rFonts w:hint="eastAsia" w:ascii="仿宋_GB2312" w:hAnsi="仿宋_GB2312" w:eastAsia="仿宋_GB2312" w:cs="仿宋_GB2312"/>
          <w:sz w:val="32"/>
          <w:szCs w:val="32"/>
          <w:lang w:val="en-US" w:eastAsia="zh-CN"/>
        </w:rPr>
        <w:t>法治政府建设离不开规范合法性审查，提升行政决策规范化水平。我街道现已</w:t>
      </w:r>
      <w:r>
        <w:rPr>
          <w:rFonts w:hint="eastAsia" w:ascii="仿宋_GB2312" w:hAnsi="仿宋_GB2312" w:eastAsia="仿宋_GB2312" w:cs="仿宋_GB2312"/>
          <w:sz w:val="32"/>
          <w:szCs w:val="32"/>
        </w:rPr>
        <w:t>建立</w:t>
      </w:r>
      <w:r>
        <w:rPr>
          <w:rFonts w:hint="eastAsia" w:ascii="仿宋_GB2312" w:hAnsi="仿宋_GB2312" w:eastAsia="仿宋_GB2312" w:cs="仿宋_GB2312"/>
          <w:sz w:val="32"/>
          <w:szCs w:val="32"/>
          <w:lang w:val="en-US" w:eastAsia="zh-CN"/>
        </w:rPr>
        <w:t>起</w:t>
      </w:r>
      <w:r>
        <w:rPr>
          <w:rFonts w:hint="eastAsia" w:ascii="仿宋_GB2312" w:hAnsi="仿宋_GB2312" w:eastAsia="仿宋_GB2312" w:cs="仿宋_GB2312"/>
          <w:sz w:val="32"/>
          <w:szCs w:val="32"/>
        </w:rPr>
        <w:t>以司法所工作人员为主体、吸收</w:t>
      </w:r>
      <w:r>
        <w:rPr>
          <w:rFonts w:hint="eastAsia" w:ascii="仿宋_GB2312" w:hAnsi="仿宋_GB2312" w:eastAsia="仿宋_GB2312" w:cs="仿宋_GB2312"/>
          <w:sz w:val="32"/>
          <w:szCs w:val="32"/>
          <w:lang w:val="en-US" w:eastAsia="zh-CN"/>
        </w:rPr>
        <w:t>专业</w:t>
      </w:r>
      <w:r>
        <w:rPr>
          <w:rFonts w:hint="eastAsia" w:ascii="仿宋_GB2312" w:hAnsi="仿宋_GB2312" w:eastAsia="仿宋_GB2312" w:cs="仿宋_GB2312"/>
          <w:sz w:val="32"/>
          <w:szCs w:val="32"/>
        </w:rPr>
        <w:t>律师参</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的街道法律顾问</w:t>
      </w:r>
      <w:r>
        <w:rPr>
          <w:rFonts w:hint="eastAsia" w:ascii="仿宋_GB2312" w:hAnsi="仿宋_GB2312" w:eastAsia="仿宋_GB2312" w:cs="仿宋_GB2312"/>
          <w:sz w:val="32"/>
          <w:szCs w:val="32"/>
          <w:lang w:val="en-US" w:eastAsia="zh-CN"/>
        </w:rPr>
        <w:t>团队</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上级</w:t>
      </w:r>
      <w:r>
        <w:rPr>
          <w:rFonts w:hint="eastAsia" w:ascii="仿宋_GB2312" w:hAnsi="仿宋_GB2312" w:eastAsia="仿宋_GB2312" w:cs="仿宋_GB2312"/>
          <w:sz w:val="32"/>
          <w:szCs w:val="32"/>
        </w:rPr>
        <w:t>领导批示交办或召集参加讨论的重大决策事项、重要涉法事务等工作</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合法性审查提前介入，查找法律依据，提供法律意见，做好法律风险防范预警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确保决策科学、程序正当、过程公开、责任明确。截止目前，</w:t>
      </w:r>
      <w:r>
        <w:rPr>
          <w:rFonts w:hint="eastAsia" w:ascii="仿宋_GB2312" w:hAnsi="仿宋_GB2312" w:eastAsia="仿宋_GB2312" w:cs="仿宋_GB2312"/>
          <w:sz w:val="32"/>
          <w:szCs w:val="32"/>
          <w:lang w:val="en-US" w:eastAsia="zh-CN"/>
        </w:rPr>
        <w:t>以</w:t>
      </w:r>
      <w:r>
        <w:rPr>
          <w:rFonts w:hint="eastAsia" w:ascii="仿宋_GB2312" w:hAnsi="仿宋_GB2312" w:eastAsia="仿宋_GB2312" w:cs="仿宋_GB2312"/>
          <w:sz w:val="32"/>
          <w:szCs w:val="32"/>
        </w:rPr>
        <w:t>司法所</w:t>
      </w:r>
      <w:r>
        <w:rPr>
          <w:rFonts w:hint="eastAsia" w:ascii="仿宋_GB2312" w:hAnsi="仿宋_GB2312" w:eastAsia="仿宋_GB2312" w:cs="仿宋_GB2312"/>
          <w:sz w:val="32"/>
          <w:szCs w:val="32"/>
          <w:lang w:val="en-US" w:eastAsia="zh-CN"/>
        </w:rPr>
        <w:t>为主的法律顾问团队本年度共</w:t>
      </w:r>
      <w:r>
        <w:rPr>
          <w:rFonts w:hint="eastAsia" w:ascii="仿宋_GB2312" w:hAnsi="仿宋_GB2312" w:eastAsia="仿宋_GB2312" w:cs="仿宋_GB2312"/>
          <w:sz w:val="32"/>
          <w:szCs w:val="32"/>
          <w:lang w:eastAsia="zh-CN"/>
        </w:rPr>
        <w:t>参与区级执法案卷评查</w:t>
      </w:r>
      <w:r>
        <w:rPr>
          <w:rFonts w:hint="eastAsia" w:ascii="仿宋_GB2312" w:hAnsi="仿宋_GB2312" w:eastAsia="仿宋_GB2312" w:cs="仿宋_GB2312"/>
          <w:sz w:val="32"/>
          <w:szCs w:val="32"/>
          <w:lang w:val="en-US" w:eastAsia="zh-CN"/>
        </w:rPr>
        <w:t>4次</w:t>
      </w:r>
      <w:r>
        <w:rPr>
          <w:rFonts w:hint="eastAsia" w:ascii="仿宋_GB2312" w:hAnsi="仿宋_GB2312" w:eastAsia="仿宋_GB2312" w:cs="仿宋_GB2312"/>
          <w:sz w:val="32"/>
          <w:szCs w:val="32"/>
        </w:rPr>
        <w:t>，参与起草、审核和修改合同、规章制度等事项共</w:t>
      </w:r>
      <w:r>
        <w:rPr>
          <w:rFonts w:hint="eastAsia" w:ascii="仿宋_GB2312" w:hAnsi="仿宋_GB2312" w:eastAsia="仿宋_GB2312" w:cs="仿宋_GB2312"/>
          <w:color w:val="auto"/>
          <w:sz w:val="32"/>
          <w:szCs w:val="32"/>
        </w:rPr>
        <w:t>计</w:t>
      </w:r>
      <w:r>
        <w:rPr>
          <w:rFonts w:hint="eastAsia" w:ascii="仿宋_GB2312" w:hAnsi="仿宋_GB2312" w:eastAsia="仿宋_GB2312" w:cs="仿宋_GB2312"/>
          <w:b w:val="0"/>
          <w:bCs w:val="0"/>
          <w:color w:val="auto"/>
          <w:sz w:val="32"/>
          <w:szCs w:val="32"/>
          <w:lang w:val="en-US" w:eastAsia="zh-CN"/>
        </w:rPr>
        <w:t>221</w:t>
      </w:r>
      <w:r>
        <w:rPr>
          <w:rFonts w:hint="eastAsia" w:ascii="仿宋_GB2312" w:hAnsi="仿宋_GB2312" w:eastAsia="仿宋_GB2312" w:cs="仿宋_GB2312"/>
          <w:b w:val="0"/>
          <w:bCs w:val="0"/>
          <w:color w:val="auto"/>
          <w:sz w:val="32"/>
          <w:szCs w:val="32"/>
        </w:rPr>
        <w:t>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接收并按时回复行政复议案件3起，</w:t>
      </w:r>
      <w:r>
        <w:rPr>
          <w:rFonts w:hint="eastAsia" w:ascii="仿宋_GB2312" w:hAnsi="仿宋_GB2312" w:eastAsia="仿宋_GB2312" w:cs="仿宋_GB2312"/>
          <w:kern w:val="2"/>
          <w:sz w:val="32"/>
          <w:szCs w:val="32"/>
          <w:lang w:val="en-US" w:eastAsia="zh-CN" w:bidi="ar-SA"/>
        </w:rPr>
        <w:t>切实做好3起行政诉讼案件出庭应诉、判决执行等各项工作、切实履行人民法院生效判决</w:t>
      </w:r>
      <w:r>
        <w:rPr>
          <w:rFonts w:hint="eastAsia" w:ascii="仿宋_GB2312" w:hAnsi="仿宋_GB2312" w:eastAsia="仿宋_GB2312" w:cs="仿宋_GB2312"/>
          <w:sz w:val="32"/>
          <w:szCs w:val="32"/>
        </w:rPr>
        <w:t>。为我街道重大决策、重大民商事行为等经济社会活动提供了法律服务与支持，进一步推进各项行政决策法治化。</w:t>
      </w:r>
    </w:p>
    <w:p>
      <w:pPr>
        <w:pStyle w:val="5"/>
        <w:keepNext w:val="0"/>
        <w:keepLines w:val="0"/>
        <w:pageBreakBefore w:val="0"/>
        <w:shd w:val="clear" w:color="auto" w:fill="FFFFFF"/>
        <w:kinsoku/>
        <w:wordWrap/>
        <w:topLinePunct w:val="0"/>
        <w:autoSpaceDE/>
        <w:autoSpaceDN/>
        <w:bidi w:val="0"/>
        <w:adjustRightInd/>
        <w:snapToGrid/>
        <w:spacing w:before="0" w:beforeAutospacing="0" w:after="0" w:afterAutospacing="0" w:line="560" w:lineRule="exact"/>
        <w:ind w:left="420"/>
        <w:textAlignment w:val="auto"/>
        <w:rPr>
          <w:rFonts w:hint="eastAsia" w:ascii="楷体_GB2312" w:hAnsi="黑体" w:eastAsia="楷体_GB2312" w:cs="Times New Roman"/>
          <w:color w:val="000000"/>
          <w:kern w:val="2"/>
          <w:sz w:val="32"/>
          <w:szCs w:val="32"/>
          <w:lang w:eastAsia="zh-CN"/>
        </w:rPr>
      </w:pPr>
      <w:r>
        <w:rPr>
          <w:rFonts w:hint="eastAsia" w:ascii="楷体_GB2312" w:hAnsi="黑体" w:eastAsia="楷体_GB2312" w:cs="Times New Roman"/>
          <w:color w:val="000000"/>
          <w:kern w:val="2"/>
          <w:sz w:val="32"/>
          <w:szCs w:val="32"/>
        </w:rPr>
        <w:t>（三）</w:t>
      </w:r>
      <w:r>
        <w:rPr>
          <w:rFonts w:hint="eastAsia" w:ascii="楷体_GB2312" w:hAnsi="黑体" w:eastAsia="楷体_GB2312" w:cs="Times New Roman"/>
          <w:color w:val="000000"/>
          <w:kern w:val="2"/>
          <w:sz w:val="32"/>
          <w:szCs w:val="32"/>
          <w:lang w:val="en-US" w:eastAsia="zh-CN"/>
        </w:rPr>
        <w:t>聚焦民生需求</w:t>
      </w:r>
      <w:r>
        <w:rPr>
          <w:rFonts w:hint="eastAsia" w:ascii="楷体_GB2312" w:hAnsi="黑体" w:eastAsia="楷体_GB2312" w:cs="Times New Roman"/>
          <w:color w:val="000000"/>
          <w:kern w:val="2"/>
          <w:sz w:val="32"/>
          <w:szCs w:val="32"/>
        </w:rPr>
        <w:t>，</w:t>
      </w:r>
      <w:r>
        <w:rPr>
          <w:rFonts w:hint="eastAsia" w:ascii="楷体_GB2312" w:hAnsi="黑体" w:eastAsia="楷体_GB2312" w:cs="Times New Roman"/>
          <w:color w:val="000000"/>
          <w:kern w:val="2"/>
          <w:sz w:val="32"/>
          <w:szCs w:val="32"/>
          <w:lang w:eastAsia="zh-CN"/>
        </w:rPr>
        <w:t>高质量提供基层法律服务</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.夯实便民服务</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以人民为中心是法治政府建设的根本立场。</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color w:val="000000"/>
          <w:kern w:val="0"/>
          <w:sz w:val="32"/>
          <w:szCs w:val="32"/>
          <w:lang w:val="en-US" w:eastAsia="zh-CN"/>
        </w:rPr>
        <w:t>我街道签约3家律所5名律师任社区法律顾问分管七个社区。</w:t>
      </w:r>
      <w:r>
        <w:rPr>
          <w:rFonts w:hint="eastAsia" w:ascii="仿宋_GB2312" w:hAnsi="仿宋_GB2312" w:eastAsia="仿宋_GB2312" w:cs="仿宋_GB2312"/>
          <w:color w:val="auto"/>
          <w:kern w:val="0"/>
          <w:sz w:val="32"/>
          <w:szCs w:val="32"/>
          <w:lang w:val="en-US" w:eastAsia="zh-CN"/>
        </w:rPr>
        <w:t>本年度</w:t>
      </w:r>
      <w:r>
        <w:rPr>
          <w:rFonts w:hint="eastAsia" w:ascii="仿宋_GB2312" w:hAnsi="仿宋_GB2312" w:eastAsia="仿宋_GB2312" w:cs="仿宋_GB2312"/>
          <w:color w:val="auto"/>
          <w:sz w:val="32"/>
          <w:szCs w:val="32"/>
          <w:lang w:eastAsia="zh-CN"/>
        </w:rPr>
        <w:t>共面向辖区居民</w:t>
      </w:r>
      <w:r>
        <w:rPr>
          <w:rFonts w:hint="eastAsia" w:ascii="仿宋_GB2312" w:hAnsi="仿宋_GB2312" w:eastAsia="仿宋_GB2312" w:cs="仿宋_GB2312"/>
          <w:color w:val="auto"/>
          <w:sz w:val="32"/>
          <w:szCs w:val="32"/>
          <w:lang w:val="en-US" w:eastAsia="zh-CN"/>
        </w:rPr>
        <w:t>举办社区法治讲座37次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期间</w:t>
      </w:r>
      <w:r>
        <w:rPr>
          <w:rFonts w:hint="eastAsia" w:ascii="仿宋_GB2312" w:hAnsi="仿宋_GB2312" w:eastAsia="仿宋_GB2312" w:cs="仿宋_GB2312"/>
          <w:color w:val="auto"/>
          <w:sz w:val="32"/>
          <w:szCs w:val="32"/>
        </w:rPr>
        <w:t>免费提供法律咨询</w:t>
      </w:r>
      <w:r>
        <w:rPr>
          <w:rFonts w:hint="eastAsia" w:ascii="仿宋_GB2312" w:hAnsi="仿宋_GB2312" w:eastAsia="仿宋_GB2312" w:cs="仿宋_GB2312"/>
          <w:color w:val="auto"/>
          <w:sz w:val="32"/>
          <w:szCs w:val="32"/>
          <w:lang w:val="en-US" w:eastAsia="zh-CN"/>
        </w:rPr>
        <w:t>3700余次</w:t>
      </w:r>
      <w:r>
        <w:rPr>
          <w:rFonts w:hint="eastAsia" w:ascii="仿宋_GB2312" w:hAnsi="仿宋_GB2312" w:eastAsia="仿宋_GB2312" w:cs="仿宋_GB2312"/>
          <w:sz w:val="32"/>
          <w:szCs w:val="32"/>
        </w:rPr>
        <w:t>，</w:t>
      </w:r>
      <w:r>
        <w:rPr>
          <w:rFonts w:hint="eastAsia" w:ascii="仿宋_GB2312" w:hAnsi="仿宋_GB2312" w:eastAsia="仿宋_GB2312" w:cs="仿宋_GB2312"/>
          <w:bCs/>
          <w:color w:val="000000"/>
          <w:sz w:val="32"/>
          <w:szCs w:val="32"/>
        </w:rPr>
        <w:t>不断</w:t>
      </w:r>
      <w:r>
        <w:rPr>
          <w:rFonts w:hint="eastAsia" w:ascii="仿宋_GB2312" w:hAnsi="仿宋_GB2312" w:eastAsia="仿宋_GB2312" w:cs="仿宋_GB2312"/>
          <w:bCs/>
          <w:color w:val="000000"/>
          <w:sz w:val="32"/>
          <w:szCs w:val="32"/>
          <w:lang w:eastAsia="zh-CN"/>
        </w:rPr>
        <w:t>为居民</w:t>
      </w:r>
      <w:r>
        <w:rPr>
          <w:rFonts w:hint="eastAsia" w:ascii="仿宋_GB2312" w:hAnsi="仿宋_GB2312" w:eastAsia="仿宋_GB2312" w:cs="仿宋_GB2312"/>
          <w:bCs/>
          <w:color w:val="000000"/>
          <w:sz w:val="32"/>
          <w:szCs w:val="32"/>
        </w:rPr>
        <w:t>营造依法理性维权、多渠道化解</w:t>
      </w:r>
      <w:r>
        <w:rPr>
          <w:rFonts w:hint="eastAsia" w:ascii="仿宋_GB2312" w:hAnsi="仿宋_GB2312" w:eastAsia="仿宋_GB2312" w:cs="仿宋_GB2312"/>
          <w:bCs/>
          <w:color w:val="000000"/>
          <w:sz w:val="32"/>
          <w:szCs w:val="32"/>
          <w:lang w:eastAsia="zh-CN"/>
        </w:rPr>
        <w:t>纠纷</w:t>
      </w:r>
      <w:r>
        <w:rPr>
          <w:rFonts w:hint="eastAsia" w:ascii="仿宋_GB2312" w:hAnsi="仿宋_GB2312" w:eastAsia="仿宋_GB2312" w:cs="仿宋_GB2312"/>
          <w:bCs/>
          <w:color w:val="000000"/>
          <w:sz w:val="32"/>
          <w:szCs w:val="32"/>
        </w:rPr>
        <w:t>的良好氛围。</w:t>
      </w:r>
      <w:r>
        <w:rPr>
          <w:rFonts w:hint="eastAsia" w:ascii="仿宋_GB2312" w:hAnsi="仿宋_GB2312" w:eastAsia="仿宋_GB2312" w:cs="仿宋_GB2312"/>
          <w:bCs/>
          <w:color w:val="000000"/>
          <w:sz w:val="32"/>
          <w:szCs w:val="32"/>
          <w:lang w:eastAsia="zh-CN"/>
        </w:rPr>
        <w:t>另外，</w:t>
      </w:r>
      <w:r>
        <w:rPr>
          <w:rFonts w:hint="eastAsia" w:ascii="仿宋_GB2312" w:hAnsi="仿宋_GB2312" w:eastAsia="仿宋_GB2312" w:cs="仿宋_GB2312"/>
          <w:sz w:val="32"/>
          <w:szCs w:val="32"/>
          <w:lang w:val="en-US" w:eastAsia="zh-CN"/>
        </w:rPr>
        <w:t>通过街道及各社区公共法律服务站、聘请社区法律顾问、开展社区法治讲座等多项措施为辖区居民提供了宪法宣传周系列活动、“民法典宣传月”系列活动、“法律进校园”未成年人活动等8次公共法律服务专项维权活动</w:t>
      </w:r>
      <w:r>
        <w:rPr>
          <w:rFonts w:hint="eastAsia" w:ascii="仿宋_GB2312" w:hAnsi="仿宋_GB2312" w:eastAsia="仿宋_GB2312" w:cs="仿宋_GB2312"/>
          <w:sz w:val="32"/>
          <w:szCs w:val="32"/>
          <w:lang w:eastAsia="zh-CN"/>
        </w:rPr>
        <w:t>，切实做到了“法律传万家”。</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kern w:val="0"/>
          <w:sz w:val="32"/>
          <w:szCs w:val="32"/>
        </w:rPr>
        <w:t>优化营商环境</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为全面落实“谁执法谁普法”“谁主管谁普法”“谁服务谁普法”普法责任制，共计开展7次企业相关法律宣传活动，分为5场线下法律讲座和2次线上知识宣传活动，发放宣传手册500余份，向企业普及法律知识，增强企业的法律意识和自我保护能力。通过需求、服务、协作三方面系统走进企业，优化营商环境。首先，精准定位需求。高度重视企业诉求，采取调研、座谈、问卷及线上微信群等多种方式，全面了解企业需求，通过分类整理、研讨方案，实施精准对策；其次零距离上门服务。提供多种形式的法律服务，包括上门服务、在线咨询、定期走访、法律讲座等，针对不同企业需求，提供量身定制的法律解决方案，减轻企业法律负担；同时，合力开展协作。司法所与辖区市场监管所、行政执法队等相关部门紧密协作，共同构建法律综合服务圈。针对企业在经营过程中遇到的各类问题，提供一站式解决方案，提高服务效率，形成强大的服务合力，共同助力优化营商环境。</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丰富普法形式</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kern w:val="2"/>
          <w:sz w:val="32"/>
          <w:szCs w:val="32"/>
          <w:lang w:val="en-US" w:eastAsia="zh-CN" w:bidi="ar-SA"/>
        </w:rPr>
        <w:t>持续推进“椿树普法复兴号”和“司法椿娃”系列普法品牌建设</w:t>
      </w:r>
      <w:r>
        <w:rPr>
          <w:rFonts w:hint="eastAsia" w:ascii="仿宋_GB2312" w:hAnsi="仿宋_GB2312" w:eastAsia="仿宋_GB2312" w:cs="仿宋_GB2312"/>
          <w:b w:val="0"/>
          <w:bCs w:val="0"/>
          <w:sz w:val="32"/>
          <w:szCs w:val="32"/>
          <w:highlight w:val="none"/>
          <w:lang w:eastAsia="zh-CN"/>
        </w:rPr>
        <w:t>，创新服务模式，制作发布“守法最光荣”、“普法蓝精灵”等普法短视频，拓展线上宣传渠道，构建全方位、多层次的普法格局。区司法局结合“八五”普法总结和普法品牌建设，打造“一街一品牌”，对“椿树普法复兴号”普法品牌进行深化推进，利用“线上+线下”“普法+产品”的形式，深入宣传西城法治建设成果。截至目前共开展系列活动</w:t>
      </w:r>
      <w:r>
        <w:rPr>
          <w:rFonts w:hint="eastAsia" w:ascii="仿宋_GB2312" w:hAnsi="仿宋_GB2312" w:eastAsia="仿宋_GB2312" w:cs="仿宋_GB2312"/>
          <w:b w:val="0"/>
          <w:bCs w:val="0"/>
          <w:sz w:val="32"/>
          <w:szCs w:val="32"/>
          <w:highlight w:val="none"/>
          <w:lang w:val="en-US" w:eastAsia="zh-CN"/>
        </w:rPr>
        <w:t>20</w:t>
      </w:r>
      <w:r>
        <w:rPr>
          <w:rFonts w:hint="eastAsia" w:ascii="仿宋_GB2312" w:hAnsi="仿宋_GB2312" w:eastAsia="仿宋_GB2312" w:cs="仿宋_GB2312"/>
          <w:b w:val="0"/>
          <w:bCs w:val="0"/>
          <w:sz w:val="32"/>
          <w:szCs w:val="32"/>
          <w:highlight w:val="none"/>
          <w:lang w:eastAsia="zh-CN"/>
        </w:rPr>
        <w:t>余次，覆盖居民</w:t>
      </w:r>
      <w:r>
        <w:rPr>
          <w:rFonts w:hint="eastAsia" w:ascii="仿宋_GB2312" w:hAnsi="仿宋_GB2312" w:eastAsia="仿宋_GB2312" w:cs="仿宋_GB2312"/>
          <w:b w:val="0"/>
          <w:bCs w:val="0"/>
          <w:sz w:val="32"/>
          <w:szCs w:val="32"/>
          <w:highlight w:val="none"/>
          <w:lang w:val="en-US" w:eastAsia="zh-CN"/>
        </w:rPr>
        <w:t>5</w:t>
      </w:r>
      <w:r>
        <w:rPr>
          <w:rFonts w:hint="eastAsia" w:ascii="仿宋_GB2312" w:hAnsi="仿宋_GB2312" w:eastAsia="仿宋_GB2312" w:cs="仿宋_GB2312"/>
          <w:b w:val="0"/>
          <w:bCs w:val="0"/>
          <w:sz w:val="32"/>
          <w:szCs w:val="32"/>
          <w:highlight w:val="none"/>
          <w:lang w:eastAsia="zh-CN"/>
        </w:rPr>
        <w:t>000人次以上，普法活动及案例荣获市级媒体报道3</w:t>
      </w:r>
      <w:r>
        <w:rPr>
          <w:rFonts w:hint="eastAsia" w:ascii="仿宋_GB2312" w:hAnsi="仿宋_GB2312" w:eastAsia="仿宋_GB2312" w:cs="仿宋_GB2312"/>
          <w:b w:val="0"/>
          <w:bCs w:val="0"/>
          <w:sz w:val="32"/>
          <w:szCs w:val="32"/>
          <w:highlight w:val="none"/>
          <w:lang w:val="en-US" w:eastAsia="zh-CN"/>
        </w:rPr>
        <w:t>7</w:t>
      </w:r>
      <w:r>
        <w:rPr>
          <w:rFonts w:hint="eastAsia" w:ascii="仿宋_GB2312" w:hAnsi="仿宋_GB2312" w:eastAsia="仿宋_GB2312" w:cs="仿宋_GB2312"/>
          <w:b w:val="0"/>
          <w:bCs w:val="0"/>
          <w:sz w:val="32"/>
          <w:szCs w:val="32"/>
          <w:highlight w:val="none"/>
          <w:lang w:eastAsia="zh-CN"/>
        </w:rPr>
        <w:t>次，区级媒体报道1</w:t>
      </w:r>
      <w:r>
        <w:rPr>
          <w:rFonts w:hint="eastAsia" w:ascii="仿宋_GB2312" w:hAnsi="仿宋_GB2312" w:eastAsia="仿宋_GB2312" w:cs="仿宋_GB2312"/>
          <w:b w:val="0"/>
          <w:bCs w:val="0"/>
          <w:sz w:val="32"/>
          <w:szCs w:val="32"/>
          <w:highlight w:val="none"/>
          <w:lang w:val="en-US" w:eastAsia="zh-CN"/>
        </w:rPr>
        <w:t>2</w:t>
      </w:r>
      <w:r>
        <w:rPr>
          <w:rFonts w:hint="eastAsia" w:ascii="仿宋_GB2312" w:hAnsi="仿宋_GB2312" w:eastAsia="仿宋_GB2312" w:cs="仿宋_GB2312"/>
          <w:b w:val="0"/>
          <w:bCs w:val="0"/>
          <w:sz w:val="32"/>
          <w:szCs w:val="32"/>
          <w:highlight w:val="none"/>
          <w:lang w:eastAsia="zh-CN"/>
        </w:rPr>
        <w:t>次。</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楷体_GB2312" w:hAnsi="黑体" w:eastAsia="楷体_GB2312"/>
          <w:color w:val="000000"/>
          <w:sz w:val="32"/>
          <w:szCs w:val="32"/>
          <w:lang w:eastAsia="zh-CN"/>
        </w:rPr>
      </w:pPr>
      <w:r>
        <w:rPr>
          <w:rFonts w:hint="eastAsia" w:ascii="楷体_GB2312" w:hAnsi="黑体" w:eastAsia="楷体_GB2312"/>
          <w:color w:val="000000"/>
          <w:sz w:val="32"/>
          <w:szCs w:val="32"/>
        </w:rPr>
        <w:t>(四)</w:t>
      </w:r>
      <w:r>
        <w:rPr>
          <w:rFonts w:hint="eastAsia" w:ascii="楷体_GB2312" w:hAnsi="黑体" w:eastAsia="楷体_GB2312"/>
          <w:color w:val="000000"/>
          <w:sz w:val="32"/>
          <w:szCs w:val="32"/>
          <w:lang w:eastAsia="zh-CN"/>
        </w:rPr>
        <w:t>依法调处纠纷，严要求保障地区秩序稳定</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eastAsia="zh-CN"/>
        </w:rPr>
        <w:t>践行“枫桥经验”</w:t>
      </w:r>
    </w:p>
    <w:p>
      <w:pPr>
        <w:keepNext w:val="0"/>
        <w:keepLines w:val="0"/>
        <w:pageBreakBefore w:val="0"/>
        <w:kinsoku/>
        <w:wordWrap/>
        <w:topLinePunct w:val="0"/>
        <w:autoSpaceDE/>
        <w:autoSpaceDN/>
        <w:bidi w:val="0"/>
        <w:adjustRightInd/>
        <w:snapToGrid/>
        <w:spacing w:line="560" w:lineRule="exact"/>
        <w:ind w:firstLine="640" w:firstLineChars="200"/>
        <w:contextualSpacing/>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lang w:eastAsia="zh-CN"/>
        </w:rPr>
        <w:t>我街道始终致力于矛盾纠纷化解在基层。为更好地</w:t>
      </w:r>
      <w:r>
        <w:rPr>
          <w:rFonts w:hint="eastAsia" w:ascii="仿宋_GB2312" w:hAnsi="仿宋_GB2312" w:eastAsia="仿宋_GB2312" w:cs="仿宋_GB2312"/>
          <w:b w:val="0"/>
          <w:bCs w:val="0"/>
          <w:sz w:val="32"/>
          <w:szCs w:val="32"/>
          <w:lang w:val="en-US" w:eastAsia="zh-CN"/>
        </w:rPr>
        <w:t>坚持以实现矛盾纠纷化解“只进一扇门、最多跑一地”为目标，积极统筹各方解纷力量和法律服务资源，打造实现一站式公共法律服务实体中心，</w:t>
      </w:r>
      <w:r>
        <w:rPr>
          <w:rFonts w:hint="eastAsia" w:ascii="仿宋_GB2312" w:hAnsi="仿宋_GB2312" w:eastAsia="仿宋_GB2312" w:cs="仿宋_GB2312"/>
          <w:sz w:val="32"/>
          <w:szCs w:val="32"/>
          <w:lang w:val="en-US" w:eastAsia="zh-CN"/>
        </w:rPr>
        <w:t>在司法所原有职能的基础上，积极融入综治、信访、维稳等职能科室功能以及</w:t>
      </w:r>
      <w:r>
        <w:rPr>
          <w:rFonts w:hint="eastAsia" w:ascii="仿宋_GB2312" w:eastAsia="仿宋_GB2312"/>
          <w:sz w:val="32"/>
          <w:szCs w:val="32"/>
        </w:rPr>
        <w:t>根据辖区需要和条件积极与有关部门协作引进新的服务功能</w:t>
      </w:r>
      <w:r>
        <w:rPr>
          <w:rFonts w:hint="eastAsia" w:ascii="仿宋_GB2312" w:eastAsia="仿宋_GB2312"/>
          <w:sz w:val="32"/>
          <w:szCs w:val="32"/>
          <w:lang w:eastAsia="zh-CN"/>
        </w:rPr>
        <w:t>，例如</w:t>
      </w:r>
      <w:r>
        <w:rPr>
          <w:rFonts w:hint="eastAsia" w:ascii="仿宋_GB2312" w:eastAsia="仿宋_GB2312"/>
          <w:sz w:val="32"/>
          <w:szCs w:val="32"/>
        </w:rPr>
        <w:t>公证、诉前调解、心理咨询、值班律师、居民调解工作室等特色服务</w:t>
      </w:r>
      <w:r>
        <w:rPr>
          <w:rFonts w:hint="eastAsia" w:ascii="仿宋_GB2312" w:eastAsia="仿宋_GB2312"/>
          <w:sz w:val="32"/>
          <w:szCs w:val="32"/>
          <w:lang w:eastAsia="zh-CN"/>
        </w:rPr>
        <w:t>，</w:t>
      </w:r>
      <w:r>
        <w:rPr>
          <w:rFonts w:hint="eastAsia" w:ascii="仿宋_GB2312" w:eastAsia="仿宋_GB2312"/>
          <w:sz w:val="32"/>
          <w:szCs w:val="32"/>
          <w:lang w:val="en-US" w:eastAsia="zh-CN"/>
        </w:rPr>
        <w:t>是“枫桥经验”在椿树地区落实落地的具体表现，也是矛盾纠纷化解的第一线。</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left"/>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b w:val="0"/>
          <w:bCs w:val="0"/>
          <w:sz w:val="32"/>
          <w:szCs w:val="32"/>
          <w:lang w:val="en-US" w:eastAsia="zh-CN"/>
        </w:rPr>
        <w:t>此外，以一站式公共法律服务站为基础，以“和气调解工作室”为中心</w:t>
      </w:r>
      <w:r>
        <w:rPr>
          <w:rFonts w:hint="eastAsia" w:ascii="仿宋_GB2312" w:hAnsi="仿宋_GB2312" w:eastAsia="仿宋_GB2312" w:cs="仿宋_GB2312"/>
          <w:b w:val="0"/>
          <w:bCs w:val="0"/>
          <w:sz w:val="32"/>
          <w:szCs w:val="32"/>
        </w:rPr>
        <w:t>构建上下联动、左右协调的矛盾纠纷多元化解体系，截止目前，录入系统调解案件共</w:t>
      </w:r>
      <w:r>
        <w:rPr>
          <w:rFonts w:hint="eastAsia" w:ascii="仿宋_GB2312" w:hAnsi="仿宋_GB2312" w:eastAsia="仿宋_GB2312" w:cs="仿宋_GB2312"/>
          <w:b w:val="0"/>
          <w:bCs w:val="0"/>
          <w:sz w:val="32"/>
          <w:szCs w:val="32"/>
          <w:lang w:val="en-US" w:eastAsia="zh-CN"/>
        </w:rPr>
        <w:t>205</w:t>
      </w:r>
      <w:r>
        <w:rPr>
          <w:rFonts w:hint="eastAsia" w:ascii="仿宋_GB2312" w:hAnsi="仿宋_GB2312" w:eastAsia="仿宋_GB2312" w:cs="仿宋_GB2312"/>
          <w:b w:val="0"/>
          <w:bCs w:val="0"/>
          <w:sz w:val="32"/>
          <w:szCs w:val="32"/>
        </w:rPr>
        <w:t>件</w:t>
      </w:r>
      <w:r>
        <w:rPr>
          <w:rFonts w:hint="eastAsia" w:ascii="仿宋_GB2312" w:hAnsi="仿宋_GB2312" w:eastAsia="仿宋_GB2312" w:cs="仿宋_GB2312"/>
          <w:b w:val="0"/>
          <w:bCs w:val="0"/>
          <w:sz w:val="32"/>
          <w:szCs w:val="32"/>
          <w:lang w:eastAsia="zh-CN"/>
        </w:rPr>
        <w:t>。并且为</w:t>
      </w:r>
      <w:r>
        <w:rPr>
          <w:rFonts w:hint="eastAsia" w:ascii="仿宋_GB2312" w:hAnsi="仿宋_GB2312" w:eastAsia="仿宋_GB2312" w:cs="仿宋_GB2312"/>
          <w:b w:val="0"/>
          <w:bCs w:val="0"/>
          <w:sz w:val="32"/>
          <w:szCs w:val="32"/>
          <w:lang w:val="en-US" w:eastAsia="zh-CN"/>
        </w:rPr>
        <w:t>扩大推广路径，与北京广播电视台《第三调解室》栏目开展社区普法系列地面活动合作，共同开展线下社区普法活动，进一步提升辖区普法宣传、人民调解工作的专业性和影响力。现已形成特约合作伙伴关系，于椿树街道一站式公共法律服务站设立挂牌西城区椿树街道线下调解基地。</w:t>
      </w:r>
    </w:p>
    <w:p>
      <w:pPr>
        <w:pStyle w:val="9"/>
        <w:keepNext w:val="0"/>
        <w:keepLines w:val="0"/>
        <w:pageBreakBefore w:val="0"/>
        <w:widowControl w:val="0"/>
        <w:tabs>
          <w:tab w:val="right" w:leader="dot" w:pos="8845"/>
        </w:tabs>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2.增效基础职能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两类人员管控工作持续稳定开展。2025年，我街道司法所严格按照安置帮教工作要求，确保人员档案精细到位、人员管控监督到位，特别针对“三无人员”制定个性化重点帮教工作方案。对特困帮教人员积极开展慰问，发放困难救助金6人次，总发放金额9000元。截至目前在册安置帮教人员53名。同时，司法所严格落实社区矫正对象接收、管理、教育等各项制度。日常工作中特别是敏感重要时期通过电话排查、每日签到、每周视频报到、线上谈话教育、教育学习、公益活动、警示安全教育，走访排查、制定应急处置预案等多种工作方式加强对社区矫正人员的管理和监督。截至目前在册列管社区矫正对象6名，全年未发生脱管、漏管、重特大刑事案件或影响社会稳定事件。</w:t>
      </w:r>
    </w:p>
    <w:bookmarkEnd w:id="1"/>
    <w:p>
      <w:pPr>
        <w:pStyle w:val="2"/>
        <w:keepNext w:val="0"/>
        <w:keepLines w:val="0"/>
        <w:pageBreakBefore w:val="0"/>
        <w:kinsoku/>
        <w:wordWrap/>
        <w:topLinePunct w:val="0"/>
        <w:autoSpaceDE/>
        <w:autoSpaceDN/>
        <w:bidi w:val="0"/>
        <w:adjustRightInd/>
        <w:snapToGrid/>
        <w:spacing w:line="560" w:lineRule="exact"/>
        <w:ind w:firstLine="640"/>
        <w:textAlignment w:val="auto"/>
        <w:rPr>
          <w:rFonts w:ascii="黑体" w:hAnsi="黑体" w:eastAsia="黑体" w:cs="黑体"/>
          <w:color w:val="000000"/>
          <w:szCs w:val="32"/>
        </w:rPr>
      </w:pPr>
      <w:r>
        <w:rPr>
          <w:rFonts w:hint="eastAsia" w:ascii="黑体" w:hAnsi="黑体" w:eastAsia="黑体" w:cs="黑体"/>
          <w:color w:val="000000"/>
          <w:szCs w:val="32"/>
          <w:lang w:val="en-US"/>
        </w:rPr>
        <w:t>二、202</w:t>
      </w:r>
      <w:r>
        <w:rPr>
          <w:rFonts w:hint="eastAsia" w:ascii="黑体" w:hAnsi="黑体" w:eastAsia="黑体" w:cs="黑体"/>
          <w:color w:val="000000"/>
          <w:szCs w:val="32"/>
          <w:lang w:val="en-US" w:eastAsia="zh-CN"/>
        </w:rPr>
        <w:t>5</w:t>
      </w:r>
      <w:r>
        <w:rPr>
          <w:rFonts w:hint="eastAsia" w:ascii="黑体" w:hAnsi="黑体" w:eastAsia="黑体" w:cs="黑体"/>
          <w:color w:val="000000"/>
          <w:szCs w:val="32"/>
          <w:lang w:val="en-US"/>
        </w:rPr>
        <w:t>年</w:t>
      </w:r>
      <w:r>
        <w:rPr>
          <w:rFonts w:hint="eastAsia" w:ascii="黑体" w:hAnsi="黑体" w:eastAsia="黑体" w:cs="黑体"/>
          <w:color w:val="000000"/>
          <w:szCs w:val="32"/>
          <w:lang w:val="en-US" w:eastAsia="zh-CN"/>
        </w:rPr>
        <w:t>度</w:t>
      </w:r>
      <w:r>
        <w:rPr>
          <w:rFonts w:hint="eastAsia" w:ascii="黑体" w:hAnsi="黑体" w:eastAsia="黑体" w:cs="黑体"/>
          <w:color w:val="000000"/>
          <w:szCs w:val="32"/>
          <w:lang w:val="en-US"/>
        </w:rPr>
        <w:t>推进法治政府建设存在的不足和原因</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年,我街道在推进法治</w:t>
      </w:r>
      <w:r>
        <w:rPr>
          <w:rFonts w:hint="eastAsia" w:ascii="仿宋_GB2312" w:hAnsi="仿宋_GB2312" w:eastAsia="仿宋_GB2312" w:cs="仿宋_GB2312"/>
          <w:color w:val="000000"/>
          <w:sz w:val="32"/>
          <w:szCs w:val="32"/>
          <w:lang w:eastAsia="zh-CN"/>
        </w:rPr>
        <w:t>政府</w:t>
      </w:r>
      <w:r>
        <w:rPr>
          <w:rFonts w:hint="eastAsia" w:ascii="仿宋_GB2312" w:hAnsi="仿宋_GB2312" w:eastAsia="仿宋_GB2312" w:cs="仿宋_GB2312"/>
          <w:color w:val="000000"/>
          <w:sz w:val="32"/>
          <w:szCs w:val="32"/>
        </w:rPr>
        <w:t>建设工作中虽然取得了一定成效,但与区委、区政府的要求还有一定差距,主要表现在:</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楷体_GB2312" w:hAnsi="黑体" w:eastAsia="楷体_GB2312"/>
          <w:color w:val="000000"/>
          <w:sz w:val="32"/>
          <w:szCs w:val="32"/>
        </w:rPr>
      </w:pPr>
      <w:bookmarkStart w:id="2" w:name="OLE_LINK2"/>
      <w:r>
        <w:rPr>
          <w:rFonts w:hint="eastAsia" w:ascii="楷体_GB2312" w:hAnsi="黑体" w:eastAsia="楷体_GB2312"/>
          <w:color w:val="000000"/>
          <w:sz w:val="32"/>
          <w:szCs w:val="32"/>
        </w:rPr>
        <w:t>（一）</w:t>
      </w:r>
      <w:r>
        <w:rPr>
          <w:rFonts w:hint="eastAsia" w:ascii="楷体_GB2312" w:hAnsi="黑体" w:eastAsia="楷体_GB2312"/>
          <w:color w:val="000000"/>
          <w:sz w:val="32"/>
          <w:szCs w:val="32"/>
          <w:lang w:eastAsia="zh-CN"/>
        </w:rPr>
        <w:t>法治体系有待进一步健全</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学法活动效果未建立有效评估机制，虽然已持续开展宪法学习会、民法典学习会等学习培训，但对学法活动所取得的效果未进行深入评估，学习机制不够完善。下一步，建立学法效果动态评估机制，通过问卷测试、案例评析与实操考核等方式，量化评估学习成效并持续优化培训内容。</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楷体_GB2312" w:hAnsi="黑体" w:eastAsia="楷体_GB2312"/>
          <w:color w:val="000000"/>
          <w:sz w:val="32"/>
          <w:szCs w:val="32"/>
        </w:rPr>
      </w:pPr>
      <w:r>
        <w:rPr>
          <w:rFonts w:hint="eastAsia" w:ascii="楷体_GB2312" w:hAnsi="黑体" w:eastAsia="楷体_GB2312" w:cs="Times New Roman"/>
          <w:color w:val="000000"/>
          <w:sz w:val="32"/>
          <w:szCs w:val="32"/>
          <w:lang w:eastAsia="zh-CN"/>
        </w:rPr>
        <w:t>（二）</w:t>
      </w:r>
      <w:r>
        <w:rPr>
          <w:rFonts w:hint="eastAsia" w:ascii="楷体_GB2312" w:hAnsi="黑体" w:eastAsia="楷体_GB2312"/>
          <w:color w:val="000000"/>
          <w:sz w:val="32"/>
          <w:szCs w:val="32"/>
          <w:lang w:eastAsia="zh-CN"/>
        </w:rPr>
        <w:t>科技保障</w:t>
      </w:r>
      <w:r>
        <w:rPr>
          <w:rFonts w:hint="eastAsia" w:ascii="楷体_GB2312" w:hAnsi="黑体" w:eastAsia="楷体_GB2312" w:cs="Times New Roman"/>
          <w:color w:val="000000"/>
          <w:sz w:val="32"/>
          <w:szCs w:val="32"/>
          <w:lang w:eastAsia="zh-CN"/>
        </w:rPr>
        <w:t>亟待</w:t>
      </w:r>
      <w:r>
        <w:rPr>
          <w:rFonts w:hint="eastAsia" w:ascii="楷体_GB2312" w:hAnsi="黑体" w:eastAsia="楷体_GB2312"/>
          <w:color w:val="000000"/>
          <w:sz w:val="32"/>
          <w:szCs w:val="32"/>
          <w:lang w:eastAsia="zh-CN"/>
        </w:rPr>
        <w:t>进一步完善</w:t>
      </w:r>
    </w:p>
    <w:p>
      <w:pPr>
        <w:keepNext w:val="0"/>
        <w:keepLines w:val="0"/>
        <w:pageBreakBefore w:val="0"/>
        <w:kinsoku/>
        <w:wordWrap/>
        <w:topLinePunct w:val="0"/>
        <w:autoSpaceDE/>
        <w:autoSpaceDN/>
        <w:bidi w:val="0"/>
        <w:adjustRightInd/>
        <w:snapToGrid/>
        <w:spacing w:line="560" w:lineRule="exact"/>
        <w:ind w:right="-340" w:rightChars="-162"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法治信息化建设相对滞后，街道对于互联网大数据、人工智能等科技创新成果的引入、运用不足，目前仅局限在法律服务一体机的线下使用，暂未实现线上的全面普及，</w:t>
      </w:r>
      <w:r>
        <w:rPr>
          <w:rFonts w:hint="eastAsia" w:ascii="仿宋_GB2312" w:hAnsi="仿宋_GB2312" w:eastAsia="仿宋_GB2312" w:cs="仿宋_GB2312"/>
          <w:sz w:val="32"/>
          <w:szCs w:val="32"/>
          <w:lang w:val="en-US" w:eastAsia="zh-CN"/>
        </w:rPr>
        <w:t>未能充分运用现代信息技术提高法治工作的效率和质量。针对科技保障不足问题，下一步我街道加快推进法治信息化平台建设，引入大数据分析和智能法律咨询系统，拓展线上法律服务覆盖范围，提升法治工作的智能化与便捷性。</w:t>
      </w:r>
    </w:p>
    <w:bookmarkEnd w:id="2"/>
    <w:p>
      <w:pPr>
        <w:keepNext w:val="0"/>
        <w:keepLines w:val="0"/>
        <w:pageBreakBefore w:val="0"/>
        <w:kinsoku/>
        <w:wordWrap/>
        <w:topLinePunct w:val="0"/>
        <w:autoSpaceDE/>
        <w:autoSpaceDN/>
        <w:bidi w:val="0"/>
        <w:adjustRightInd/>
        <w:snapToGrid/>
        <w:spacing w:line="560" w:lineRule="exact"/>
        <w:textAlignment w:val="auto"/>
        <w:rPr>
          <w:rFonts w:ascii="黑体" w:hAnsi="黑体" w:eastAsia="黑体" w:cs="黑体"/>
          <w:sz w:val="32"/>
          <w:szCs w:val="32"/>
        </w:rPr>
      </w:pPr>
      <w:r>
        <w:rPr>
          <w:rFonts w:hint="eastAsia" w:ascii="仿宋_GB2312" w:hAnsi="仿宋_GB2312" w:eastAsia="仿宋_GB2312" w:cs="仿宋_GB2312"/>
          <w:sz w:val="32"/>
          <w:szCs w:val="32"/>
        </w:rPr>
        <w:t>　　</w:t>
      </w:r>
      <w:r>
        <w:rPr>
          <w:rFonts w:hint="eastAsia" w:ascii="黑体" w:hAnsi="黑体" w:eastAsia="黑体" w:cs="黑体"/>
          <w:sz w:val="32"/>
          <w:szCs w:val="32"/>
        </w:rPr>
        <w:t>三、党政主要负责人履行推进法治建设第一责任人职责</w:t>
      </w:r>
      <w:r>
        <w:rPr>
          <w:rFonts w:hint="eastAsia" w:ascii="黑体" w:hAnsi="黑体" w:eastAsia="黑体" w:cs="黑体"/>
          <w:sz w:val="32"/>
          <w:szCs w:val="32"/>
          <w:lang w:eastAsia="zh-CN"/>
        </w:rPr>
        <w:t>，</w:t>
      </w:r>
      <w:r>
        <w:rPr>
          <w:rFonts w:hint="eastAsia" w:ascii="黑体" w:hAnsi="黑体" w:eastAsia="黑体" w:cs="黑体"/>
          <w:sz w:val="32"/>
          <w:szCs w:val="32"/>
        </w:rPr>
        <w:t>加强法治政府建设的有关情况</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街道党工委、办事处主要负责人,认真落实《党政主要负责人履行推进法治建设第一责任人职责规定》，在推进法治政府建设中积极履职，以上率下，有效推动各项责任落实、工作落地。</w:t>
      </w:r>
    </w:p>
    <w:p>
      <w:pPr>
        <w:keepNext w:val="0"/>
        <w:keepLines w:val="0"/>
        <w:pageBreakBefore w:val="0"/>
        <w:kinsoku/>
        <w:wordWrap/>
        <w:topLinePunct w:val="0"/>
        <w:autoSpaceDE/>
        <w:autoSpaceDN/>
        <w:bidi w:val="0"/>
        <w:adjustRightInd/>
        <w:snapToGrid/>
        <w:spacing w:line="560" w:lineRule="exact"/>
        <w:ind w:left="0" w:firstLine="320" w:firstLineChars="100"/>
        <w:textAlignment w:val="auto"/>
        <w:rPr>
          <w:rFonts w:hint="eastAsia" w:ascii="楷体_GB2312" w:hAnsi="黑体" w:eastAsia="楷体_GB2312"/>
          <w:color w:val="000000"/>
          <w:sz w:val="32"/>
          <w:szCs w:val="32"/>
        </w:rPr>
      </w:pPr>
      <w:r>
        <w:rPr>
          <w:rFonts w:hint="eastAsia" w:ascii="楷体_GB2312" w:hAnsi="黑体" w:eastAsia="楷体_GB2312"/>
          <w:color w:val="000000"/>
          <w:sz w:val="32"/>
          <w:szCs w:val="32"/>
        </w:rPr>
        <w:t>（一）</w:t>
      </w:r>
      <w:r>
        <w:rPr>
          <w:rFonts w:hint="eastAsia" w:ascii="楷体_GB2312" w:hAnsi="黑体" w:eastAsia="楷体_GB2312"/>
          <w:color w:val="000000"/>
          <w:sz w:val="32"/>
          <w:szCs w:val="32"/>
          <w:lang w:eastAsia="zh-CN"/>
        </w:rPr>
        <w:t>重视法治，</w:t>
      </w:r>
      <w:r>
        <w:rPr>
          <w:rFonts w:hint="eastAsia" w:ascii="楷体_GB2312" w:hAnsi="黑体" w:eastAsia="楷体_GB2312"/>
          <w:color w:val="000000"/>
          <w:sz w:val="32"/>
          <w:szCs w:val="32"/>
        </w:rPr>
        <w:t>发挥领导核心作用。</w:t>
      </w:r>
    </w:p>
    <w:p>
      <w:pPr>
        <w:keepNext w:val="0"/>
        <w:keepLines w:val="0"/>
        <w:pageBreakBefore w:val="0"/>
        <w:kinsoku/>
        <w:wordWrap/>
        <w:topLinePunct w:val="0"/>
        <w:autoSpaceDE/>
        <w:autoSpaceDN/>
        <w:bidi w:val="0"/>
        <w:adjustRightInd/>
        <w:snapToGrid/>
        <w:spacing w:line="560" w:lineRule="exact"/>
        <w:ind w:left="-22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街道主要负责人高度重视法治建设工作</w:t>
      </w:r>
      <w:r>
        <w:rPr>
          <w:rFonts w:hint="eastAsia" w:ascii="仿宋_GB2312" w:hAnsi="仿宋_GB2312" w:eastAsia="仿宋_GB2312" w:cs="仿宋_GB2312"/>
          <w:sz w:val="32"/>
          <w:szCs w:val="32"/>
          <w:lang w:eastAsia="zh-CN"/>
        </w:rPr>
        <w:t>。制定工作规划和年度工作计划，及时研究解决法治政府建设中的重大问题。严格执行重大行政决策</w:t>
      </w:r>
      <w:r>
        <w:rPr>
          <w:rFonts w:hint="eastAsia" w:ascii="仿宋_GB2312" w:hAnsi="仿宋_GB2312" w:eastAsia="仿宋_GB2312" w:cs="仿宋_GB2312"/>
          <w:b w:val="0"/>
          <w:bCs w:val="0"/>
          <w:sz w:val="32"/>
          <w:szCs w:val="32"/>
          <w:lang w:eastAsia="zh-CN"/>
        </w:rPr>
        <w:t>法定程序，建立健全政府法律顾问制度、公职律师制度。将</w:t>
      </w:r>
      <w:r>
        <w:rPr>
          <w:rFonts w:hint="eastAsia" w:ascii="仿宋_GB2312" w:hAnsi="仿宋_GB2312" w:eastAsia="仿宋_GB2312" w:cs="仿宋_GB2312"/>
          <w:b w:val="0"/>
          <w:bCs w:val="0"/>
          <w:sz w:val="32"/>
          <w:szCs w:val="32"/>
        </w:rPr>
        <w:t>法治建设纳入了街道</w:t>
      </w:r>
      <w:r>
        <w:rPr>
          <w:rFonts w:hint="eastAsia" w:ascii="仿宋_GB2312" w:hAnsi="仿宋_GB2312" w:eastAsia="仿宋_GB2312" w:cs="仿宋_GB2312"/>
          <w:b w:val="0"/>
          <w:bCs w:val="0"/>
          <w:sz w:val="32"/>
          <w:szCs w:val="32"/>
          <w:lang w:val="en-US" w:eastAsia="zh-CN"/>
        </w:rPr>
        <w:t>2025年</w:t>
      </w:r>
      <w:r>
        <w:rPr>
          <w:rFonts w:hint="eastAsia" w:ascii="仿宋_GB2312" w:hAnsi="仿宋_GB2312" w:eastAsia="仿宋_GB2312" w:cs="仿宋_GB2312"/>
          <w:b w:val="0"/>
          <w:bCs w:val="0"/>
          <w:sz w:val="32"/>
          <w:szCs w:val="32"/>
        </w:rPr>
        <w:t>发展总体规划和年度工作计划</w:t>
      </w:r>
      <w:r>
        <w:rPr>
          <w:rFonts w:hint="eastAsia" w:ascii="仿宋_GB2312" w:hAnsi="仿宋_GB2312" w:eastAsia="仿宋_GB2312" w:cs="仿宋_GB2312"/>
          <w:b w:val="0"/>
          <w:bCs w:val="0"/>
          <w:sz w:val="32"/>
          <w:szCs w:val="32"/>
          <w:lang w:eastAsia="zh-CN"/>
        </w:rPr>
        <w:t>，并严格按照党政主要负责人履行推进法治建设第一责任人职责清单内容落实各项工作要求。同时，注重加强对党员干部的教育管理，完善行政机关工作人员学法用法制度，组织实施普法规划，推动落实“谁执法谁普法”责任，不断强化全体干部依法行政意识。</w:t>
      </w:r>
    </w:p>
    <w:p>
      <w:pPr>
        <w:keepNext w:val="0"/>
        <w:keepLines w:val="0"/>
        <w:pageBreakBefore w:val="0"/>
        <w:kinsoku/>
        <w:wordWrap/>
        <w:topLinePunct w:val="0"/>
        <w:autoSpaceDE/>
        <w:autoSpaceDN/>
        <w:bidi w:val="0"/>
        <w:adjustRightInd/>
        <w:snapToGrid/>
        <w:spacing w:line="560" w:lineRule="exact"/>
        <w:textAlignment w:val="auto"/>
        <w:rPr>
          <w:rFonts w:hint="eastAsia" w:ascii="楷体_GB2312" w:hAnsi="黑体" w:eastAsia="楷体_GB2312"/>
          <w:color w:val="000000"/>
          <w:sz w:val="32"/>
          <w:szCs w:val="32"/>
        </w:rPr>
      </w:pPr>
      <w:r>
        <w:rPr>
          <w:rFonts w:hint="eastAsia" w:ascii="楷体_GB2312" w:hAnsi="黑体" w:eastAsia="楷体_GB2312"/>
          <w:color w:val="000000"/>
          <w:sz w:val="32"/>
          <w:szCs w:val="32"/>
        </w:rPr>
        <w:t xml:space="preserve">  （二）</w:t>
      </w:r>
      <w:r>
        <w:rPr>
          <w:rFonts w:hint="eastAsia" w:ascii="楷体_GB2312" w:hAnsi="黑体" w:eastAsia="楷体_GB2312"/>
          <w:color w:val="000000"/>
          <w:sz w:val="32"/>
          <w:szCs w:val="32"/>
          <w:lang w:eastAsia="zh-CN"/>
        </w:rPr>
        <w:t>以身作则</w:t>
      </w:r>
      <w:r>
        <w:rPr>
          <w:rFonts w:hint="eastAsia" w:ascii="楷体_GB2312" w:hAnsi="黑体" w:eastAsia="楷体_GB2312"/>
          <w:color w:val="000000"/>
          <w:sz w:val="32"/>
          <w:szCs w:val="32"/>
        </w:rPr>
        <w:t>，落实法治工作责任。</w:t>
      </w:r>
    </w:p>
    <w:p>
      <w:pPr>
        <w:pStyle w:val="4"/>
        <w:keepNext w:val="0"/>
        <w:keepLines w:val="0"/>
        <w:pageBreakBefore w:val="0"/>
        <w:kinsoku/>
        <w:wordWrap/>
        <w:topLinePunct w:val="0"/>
        <w:autoSpaceDE/>
        <w:autoSpaceDN/>
        <w:bidi w:val="0"/>
        <w:adjustRightInd/>
        <w:snapToGrid/>
        <w:spacing w:line="560" w:lineRule="exact"/>
        <w:ind w:left="0" w:leftChars="0" w:firstLine="640" w:firstLineChars="200"/>
        <w:textAlignment w:val="auto"/>
        <w:rPr>
          <w:rFonts w:hint="default"/>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年以来，街道党政主要负责人严格落实中央、市、区关于推进法治建设的有关要求，始终坚持用习近平新时代中国特色社会主义思想统领法治建设工作。街道主要负责人坚持</w:t>
      </w:r>
      <w:r>
        <w:rPr>
          <w:rFonts w:hint="eastAsia" w:ascii="仿宋_GB2312" w:hAnsi="仿宋_GB2312" w:eastAsia="仿宋_GB2312" w:cs="仿宋_GB2312"/>
          <w:sz w:val="32"/>
          <w:szCs w:val="40"/>
        </w:rPr>
        <w:t>带头尊法学法守法用法，以上率下。</w:t>
      </w:r>
      <w:r>
        <w:rPr>
          <w:rFonts w:hint="eastAsia" w:ascii="仿宋_GB2312" w:hAnsi="仿宋_GB2312" w:eastAsia="仿宋_GB2312" w:cs="仿宋_GB2312"/>
          <w:sz w:val="32"/>
          <w:szCs w:val="32"/>
        </w:rPr>
        <w:t>狠抓会前学法工作，切实提高了广大领导干部依法行政工作能力和法治化工作水平</w:t>
      </w: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sz w:val="32"/>
          <w:szCs w:val="32"/>
        </w:rPr>
        <w:t>街道党政主要负责人严格履行</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法治建设第一责任人的职责，充分发挥</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党委统揽全局、协调各方的作用,督促领导班子其他成员和科室及社区主要负责人依法办事，</w:t>
      </w:r>
      <w:r>
        <w:rPr>
          <w:rFonts w:hint="eastAsia" w:ascii="仿宋_GB2312" w:hAnsi="仿宋_GB2312" w:eastAsia="仿宋_GB2312" w:cs="仿宋_GB2312"/>
          <w:sz w:val="32"/>
          <w:szCs w:val="40"/>
        </w:rPr>
        <w:t>依法行政，纠正行政不作为、乱作为</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推进行政执法责任制落实，推动严格规范公正文明执法</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32"/>
        </w:rPr>
        <w:t>全体机关党员干部法治观念显著提升。</w:t>
      </w:r>
      <w:r>
        <w:rPr>
          <w:rFonts w:hint="eastAsia" w:ascii="仿宋_GB2312" w:hAnsi="仿宋_GB2312" w:eastAsia="仿宋_GB2312" w:cs="仿宋_GB2312"/>
          <w:sz w:val="32"/>
          <w:szCs w:val="32"/>
          <w:lang w:eastAsia="zh-CN"/>
        </w:rPr>
        <w:t>此外，</w:t>
      </w:r>
      <w:r>
        <w:rPr>
          <w:rFonts w:hint="eastAsia" w:ascii="仿宋_GB2312" w:hAnsi="仿宋_GB2312" w:eastAsia="仿宋_GB2312" w:cs="仿宋_GB2312"/>
          <w:sz w:val="32"/>
          <w:szCs w:val="40"/>
          <w:lang w:eastAsia="zh-CN"/>
        </w:rPr>
        <w:t>街道主要负责人出庭应诉一次，</w:t>
      </w:r>
      <w:r>
        <w:rPr>
          <w:rFonts w:hint="eastAsia" w:ascii="仿宋_GB2312" w:hAnsi="仿宋_GB2312" w:eastAsia="仿宋_GB2312" w:cs="仿宋_GB2312"/>
          <w:sz w:val="32"/>
          <w:szCs w:val="40"/>
        </w:rPr>
        <w:t>认真落实行政机关出庭应诉</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支持法院受理行政案件、尊重并执行法院生效裁判</w:t>
      </w:r>
      <w:r>
        <w:rPr>
          <w:rFonts w:hint="eastAsia" w:ascii="仿宋_GB2312" w:hAnsi="仿宋_GB2312" w:eastAsia="仿宋_GB2312" w:cs="仿宋_GB2312"/>
          <w:sz w:val="32"/>
          <w:szCs w:val="40"/>
          <w:lang w:eastAsia="zh-CN"/>
        </w:rPr>
        <w:t>，充分尊重司法权威，接受司法监督，</w:t>
      </w:r>
      <w:r>
        <w:rPr>
          <w:rFonts w:hint="eastAsia" w:ascii="仿宋_GB2312" w:hAnsi="仿宋_GB2312" w:eastAsia="仿宋_GB2312" w:cs="仿宋_GB2312"/>
          <w:sz w:val="32"/>
          <w:szCs w:val="32"/>
        </w:rPr>
        <w:t>真正把推进法治建设第一责任人所列职责履行好、落实好,切实把街道各项工作纳入法治化轨道。</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四、下一年度推进法治政府建设的主要安排</w:t>
      </w:r>
    </w:p>
    <w:p>
      <w:pPr>
        <w:keepNext w:val="0"/>
        <w:keepLines w:val="0"/>
        <w:pageBreakBefore w:val="0"/>
        <w:kinsoku/>
        <w:wordWrap/>
        <w:topLinePunct w:val="0"/>
        <w:autoSpaceDE/>
        <w:autoSpaceDN/>
        <w:bidi w:val="0"/>
        <w:adjustRightInd/>
        <w:snapToGrid/>
        <w:spacing w:line="560" w:lineRule="exact"/>
        <w:ind w:firstLine="640" w:firstLineChars="200"/>
        <w:textAlignment w:val="auto"/>
        <w:rPr>
          <w:rFonts w:hint="eastAsia" w:ascii="楷体_GB2312" w:hAnsi="黑体" w:eastAsia="楷体_GB2312"/>
          <w:color w:val="000000"/>
          <w:sz w:val="32"/>
          <w:szCs w:val="32"/>
          <w:lang w:val="en-US" w:eastAsia="zh-CN"/>
        </w:rPr>
      </w:pPr>
      <w:bookmarkStart w:id="3" w:name="OLE_LINK4"/>
      <w:r>
        <w:rPr>
          <w:rFonts w:hint="eastAsia" w:ascii="楷体_GB2312" w:hAnsi="黑体" w:eastAsia="楷体_GB2312"/>
          <w:color w:val="000000"/>
          <w:sz w:val="32"/>
          <w:szCs w:val="32"/>
        </w:rPr>
        <w:t>（一）</w:t>
      </w:r>
      <w:r>
        <w:rPr>
          <w:rFonts w:hint="eastAsia" w:ascii="楷体_GB2312" w:hAnsi="黑体" w:eastAsia="楷体_GB2312"/>
          <w:color w:val="000000"/>
          <w:sz w:val="32"/>
          <w:szCs w:val="32"/>
          <w:lang w:val="en-US" w:eastAsia="zh-CN"/>
        </w:rPr>
        <w:t>提升街道依法行政水平</w:t>
      </w:r>
    </w:p>
    <w:p>
      <w:pPr>
        <w:pStyle w:val="8"/>
        <w:keepNext w:val="0"/>
        <w:keepLines w:val="0"/>
        <w:pageBreakBefore w:val="0"/>
        <w:kinsoku/>
        <w:wordWrap/>
        <w:topLinePunct w:val="0"/>
        <w:autoSpaceDE/>
        <w:autoSpaceDN/>
        <w:bidi w:val="0"/>
        <w:adjustRightInd/>
        <w:snapToGrid/>
        <w:spacing w:line="560" w:lineRule="exact"/>
        <w:textAlignment w:val="auto"/>
        <w:rPr>
          <w:rFonts w:hint="eastAsia" w:ascii="楷体_GB2312" w:hAnsi="黑体" w:eastAsia="楷体_GB2312"/>
          <w:color w:val="000000"/>
          <w:sz w:val="32"/>
          <w:szCs w:val="32"/>
          <w:lang w:val="en-US" w:eastAsia="zh-CN"/>
        </w:rPr>
      </w:pPr>
      <w:r>
        <w:rPr>
          <w:rFonts w:hint="eastAsia" w:ascii="仿宋_GB2312" w:hAnsi="仿宋_GB2312" w:eastAsia="仿宋_GB2312" w:cs="仿宋_GB2312"/>
          <w:color w:val="000000"/>
          <w:sz w:val="32"/>
          <w:szCs w:val="32"/>
          <w:lang w:val="en-US" w:eastAsia="zh-CN"/>
        </w:rPr>
        <w:t>积极推进街道法治建设领导机制和工作机制，充分发挥街道法治政府建设领导小组的作用，</w:t>
      </w:r>
      <w:r>
        <w:rPr>
          <w:rFonts w:hint="eastAsia" w:ascii="仿宋_GB2312" w:hAnsi="仿宋_GB2312" w:eastAsia="仿宋_GB2312" w:cs="仿宋_GB2312"/>
          <w:sz w:val="32"/>
          <w:szCs w:val="40"/>
          <w:lang w:val="en-US" w:eastAsia="zh-CN"/>
        </w:rPr>
        <w:t>提高党政主要领导和各级领导干部的法律意识，强化依法行政水平，持续推进普法依法治理工作。夯实行政执法责任制，落实重大执法决定党委会议集体研究制度，及时、准确、具体向社会公开行政处罚、行政许可和事故调查处理等工作情况。推进全体机关干部依法行政能力提升，开展专项法治培训，丰富培训形式，全面提高公职人员的法律素养和法治意识，保证依法行政，建设法治政府。</w:t>
      </w:r>
    </w:p>
    <w:p>
      <w:pPr>
        <w:keepNext w:val="0"/>
        <w:keepLines w:val="0"/>
        <w:pageBreakBefore w:val="0"/>
        <w:numPr>
          <w:ilvl w:val="0"/>
          <w:numId w:val="1"/>
        </w:numPr>
        <w:kinsoku/>
        <w:wordWrap/>
        <w:topLinePunct w:val="0"/>
        <w:autoSpaceDE/>
        <w:autoSpaceDN/>
        <w:bidi w:val="0"/>
        <w:adjustRightInd/>
        <w:snapToGrid/>
        <w:spacing w:line="560" w:lineRule="exact"/>
        <w:ind w:firstLine="640" w:firstLineChars="200"/>
        <w:textAlignment w:val="auto"/>
        <w:rPr>
          <w:rFonts w:hint="eastAsia" w:ascii="楷体_GB2312" w:hAnsi="黑体" w:eastAsia="楷体_GB2312"/>
          <w:color w:val="000000"/>
          <w:sz w:val="32"/>
          <w:szCs w:val="32"/>
          <w:lang w:val="en-US" w:eastAsia="zh-CN"/>
        </w:rPr>
      </w:pPr>
      <w:r>
        <w:rPr>
          <w:rFonts w:hint="eastAsia" w:ascii="楷体_GB2312" w:hAnsi="黑体" w:eastAsia="楷体_GB2312"/>
          <w:color w:val="000000"/>
          <w:sz w:val="32"/>
          <w:szCs w:val="32"/>
          <w:lang w:val="en-US" w:eastAsia="zh-CN"/>
        </w:rPr>
        <w:t>完善公共法律服务站建设</w:t>
      </w:r>
    </w:p>
    <w:p>
      <w:pPr>
        <w:keepNext w:val="0"/>
        <w:keepLines w:val="0"/>
        <w:pageBreakBefore w:val="0"/>
        <w:numPr>
          <w:ilvl w:val="-1"/>
          <w:numId w:val="0"/>
        </w:numPr>
        <w:kinsoku/>
        <w:wordWrap/>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下一步，以公共法律服务站为平台，线上线下相结合，普法、调解、心理多种服务融汇一体，构建“司法所＋”一体化综合体，积极引入辖区多元力量，加强部门紧密协同，健全完善综合普法惠民工作大格局，发挥“司法所×N”优势。以“椿树普法复兴号”为主要普法方式，与街道各办、派出所、公证处、市监所、法院等职能部门以及各社区联动开展街道法治宣传教育工作，实现凝聚普法合力，提升普法实效。</w:t>
      </w:r>
    </w:p>
    <w:p>
      <w:pPr>
        <w:keepNext w:val="0"/>
        <w:keepLines w:val="0"/>
        <w:pageBreakBefore w:val="0"/>
        <w:numPr>
          <w:ilvl w:val="-1"/>
          <w:numId w:val="0"/>
        </w:numPr>
        <w:kinsoku/>
        <w:wordWrap/>
        <w:topLinePunct w:val="0"/>
        <w:autoSpaceDE/>
        <w:autoSpaceDN/>
        <w:bidi w:val="0"/>
        <w:adjustRightInd/>
        <w:snapToGrid/>
        <w:spacing w:line="560" w:lineRule="exact"/>
        <w:ind w:firstLine="640" w:firstLineChars="200"/>
        <w:textAlignment w:val="auto"/>
        <w:rPr>
          <w:rFonts w:hint="eastAsia" w:ascii="楷体_GB2312" w:hAnsi="黑体" w:eastAsia="楷体_GB2312" w:cs="Times New Roman"/>
          <w:color w:val="000000"/>
          <w:sz w:val="32"/>
          <w:szCs w:val="32"/>
          <w:lang w:val="en-US" w:eastAsia="zh-CN"/>
        </w:rPr>
      </w:pPr>
      <w:r>
        <w:rPr>
          <w:rFonts w:hint="eastAsia" w:ascii="楷体_GB2312" w:hAnsi="黑体" w:eastAsia="楷体_GB2312"/>
          <w:color w:val="000000"/>
          <w:sz w:val="32"/>
          <w:szCs w:val="32"/>
        </w:rPr>
        <w:t>（三）</w:t>
      </w:r>
      <w:r>
        <w:rPr>
          <w:rFonts w:hint="eastAsia" w:ascii="楷体_GB2312" w:hAnsi="黑体" w:eastAsia="楷体_GB2312"/>
          <w:color w:val="000000"/>
          <w:sz w:val="32"/>
          <w:szCs w:val="32"/>
          <w:lang w:val="en-US" w:eastAsia="zh-CN"/>
        </w:rPr>
        <w:t>优化辖区法治</w:t>
      </w:r>
      <w:r>
        <w:rPr>
          <w:rFonts w:hint="eastAsia" w:ascii="楷体_GB2312" w:hAnsi="黑体" w:eastAsia="楷体_GB2312" w:cs="Times New Roman"/>
          <w:color w:val="000000"/>
          <w:sz w:val="32"/>
          <w:szCs w:val="32"/>
          <w:lang w:val="en-US" w:eastAsia="zh-CN"/>
        </w:rPr>
        <w:t>品牌建设</w:t>
      </w:r>
    </w:p>
    <w:p>
      <w:pPr>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仿宋_GB2312" w:eastAsia="仿宋_GB2312" w:cs="仿宋_GB2312"/>
          <w:color w:val="auto"/>
          <w:sz w:val="32"/>
          <w:szCs w:val="32"/>
          <w:lang w:val="en-US" w:eastAsia="zh-CN"/>
        </w:rPr>
        <w:t>进一步创新普法活动新形式，以法中寓乐的方式，将普法内核融入娱乐、生活、工作中，将法律知识以“好理解”、“好吸收”、“好消化”的方式面向辖区居民，提高宣传力度，</w:t>
      </w:r>
      <w:r>
        <w:rPr>
          <w:rFonts w:hint="eastAsia" w:ascii="仿宋_GB2312" w:hAnsi="仿宋_GB2312" w:eastAsia="仿宋_GB2312" w:cs="仿宋_GB2312"/>
          <w:b w:val="0"/>
          <w:color w:val="auto"/>
          <w:kern w:val="2"/>
          <w:sz w:val="32"/>
          <w:szCs w:val="40"/>
          <w:lang w:val="en-US" w:eastAsia="zh-CN" w:bidi="ar-SA"/>
        </w:rPr>
        <w:t>打通</w:t>
      </w:r>
      <w:r>
        <w:rPr>
          <w:rFonts w:hint="default" w:ascii="仿宋_GB2312" w:hAnsi="仿宋_GB2312" w:eastAsia="仿宋_GB2312" w:cs="仿宋_GB2312"/>
          <w:b w:val="0"/>
          <w:color w:val="auto"/>
          <w:kern w:val="2"/>
          <w:sz w:val="32"/>
          <w:szCs w:val="40"/>
          <w:lang w:val="en-US" w:eastAsia="zh-CN" w:bidi="ar-SA"/>
        </w:rPr>
        <w:t>平安和谐法治</w:t>
      </w:r>
      <w:r>
        <w:rPr>
          <w:rFonts w:hint="eastAsia" w:ascii="仿宋_GB2312" w:hAnsi="仿宋_GB2312" w:eastAsia="仿宋_GB2312" w:cs="仿宋_GB2312"/>
          <w:b w:val="0"/>
          <w:color w:val="auto"/>
          <w:kern w:val="2"/>
          <w:sz w:val="32"/>
          <w:szCs w:val="40"/>
          <w:lang w:val="en-US" w:eastAsia="zh-CN" w:bidi="ar-SA"/>
        </w:rPr>
        <w:t>椿树</w:t>
      </w:r>
      <w:r>
        <w:rPr>
          <w:rFonts w:hint="default" w:ascii="仿宋_GB2312" w:hAnsi="仿宋_GB2312" w:eastAsia="仿宋_GB2312" w:cs="仿宋_GB2312"/>
          <w:b w:val="0"/>
          <w:color w:val="auto"/>
          <w:kern w:val="2"/>
          <w:sz w:val="32"/>
          <w:szCs w:val="40"/>
          <w:lang w:val="en-US" w:eastAsia="zh-CN" w:bidi="ar-SA"/>
        </w:rPr>
        <w:t>的新途径</w:t>
      </w:r>
      <w:r>
        <w:rPr>
          <w:rFonts w:hint="eastAsia" w:ascii="仿宋_GB2312" w:hAnsi="仿宋_GB2312" w:eastAsia="仿宋_GB2312" w:cs="仿宋_GB2312"/>
          <w:b w:val="0"/>
          <w:color w:val="auto"/>
          <w:kern w:val="2"/>
          <w:sz w:val="32"/>
          <w:szCs w:val="40"/>
          <w:lang w:val="en-US" w:eastAsia="zh-CN" w:bidi="ar-SA"/>
        </w:rPr>
        <w:t>。</w:t>
      </w:r>
      <w:r>
        <w:rPr>
          <w:rFonts w:hint="eastAsia" w:ascii="仿宋_GB2312" w:hAnsi="仿宋_GB2312" w:eastAsia="仿宋_GB2312" w:cs="仿宋_GB2312"/>
          <w:color w:val="000000"/>
          <w:sz w:val="32"/>
          <w:szCs w:val="32"/>
          <w:lang w:val="en-US" w:eastAsia="zh-CN"/>
        </w:rPr>
        <w:t>不断拓宽法治宣传渠道，充分运用普法微课、法治视频等“互联网+”普法形式构建可听、可看、可互动的普法体系。借助法治文化引领、熏陶作用，将法治工作融入基层宣传文化阵地建设，在每个社区着力打造集党建引领、休闲娱乐、法治文化传播为一体的法治微景点。通过开展形式多样的线下普法宣传活动，打造一系列居民接地气、冒热气、聚人气的地区法治宣传文化品牌。</w:t>
      </w:r>
    </w:p>
    <w:bookmarkEnd w:id="3"/>
    <w:p>
      <w:pPr>
        <w:keepNext w:val="0"/>
        <w:keepLines w:val="0"/>
        <w:pageBreakBefore w:val="0"/>
        <w:kinsoku/>
        <w:wordWrap/>
        <w:topLinePunct w:val="0"/>
        <w:autoSpaceDE/>
        <w:autoSpaceDN/>
        <w:bidi w:val="0"/>
        <w:adjustRightInd/>
        <w:snapToGrid/>
        <w:spacing w:line="56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五、其他需要报告的情况</w:t>
      </w:r>
    </w:p>
    <w:p>
      <w:pPr>
        <w:pStyle w:val="2"/>
        <w:keepNext w:val="0"/>
        <w:keepLines w:val="0"/>
        <w:pageBreakBefore w:val="0"/>
        <w:kinsoku/>
        <w:wordWrap/>
        <w:topLinePunct w:val="0"/>
        <w:autoSpaceDE/>
        <w:autoSpaceDN/>
        <w:bidi w:val="0"/>
        <w:adjustRightInd/>
        <w:snapToGrid/>
        <w:spacing w:line="560" w:lineRule="exact"/>
        <w:ind w:firstLine="640"/>
        <w:textAlignment w:val="auto"/>
        <w:rPr>
          <w:rFonts w:hint="eastAsia"/>
        </w:rPr>
      </w:pPr>
      <w:r>
        <w:rPr>
          <w:rFonts w:hint="eastAsia" w:ascii="仿宋_GB2312" w:hAnsi="仿宋_GB2312" w:cs="仿宋_GB2312"/>
          <w:szCs w:val="32"/>
          <w:lang w:val="en-US"/>
        </w:rPr>
        <w:t>无。</w:t>
      </w:r>
    </w:p>
    <w:sectPr>
      <w:footerReference r:id="rId3" w:type="default"/>
      <w:pgSz w:w="11906" w:h="16838"/>
      <w:pgMar w:top="1701"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F07365"/>
    <w:multiLevelType w:val="singleLevel"/>
    <w:tmpl w:val="58F0736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056E4B"/>
    <w:rsid w:val="001E44C4"/>
    <w:rsid w:val="00A8460D"/>
    <w:rsid w:val="00AD4D93"/>
    <w:rsid w:val="00CD5C82"/>
    <w:rsid w:val="01CD4494"/>
    <w:rsid w:val="02615A1E"/>
    <w:rsid w:val="02706D8C"/>
    <w:rsid w:val="03003367"/>
    <w:rsid w:val="033F5B26"/>
    <w:rsid w:val="049418AB"/>
    <w:rsid w:val="04D42075"/>
    <w:rsid w:val="04F036FC"/>
    <w:rsid w:val="04F84D89"/>
    <w:rsid w:val="051D7A15"/>
    <w:rsid w:val="054F17D1"/>
    <w:rsid w:val="055117AE"/>
    <w:rsid w:val="05B16FEC"/>
    <w:rsid w:val="05F25604"/>
    <w:rsid w:val="062C6413"/>
    <w:rsid w:val="067B710C"/>
    <w:rsid w:val="06AE46CF"/>
    <w:rsid w:val="06BD2E18"/>
    <w:rsid w:val="070B2B7A"/>
    <w:rsid w:val="07E64DFE"/>
    <w:rsid w:val="08654A11"/>
    <w:rsid w:val="089416D6"/>
    <w:rsid w:val="09655048"/>
    <w:rsid w:val="09677045"/>
    <w:rsid w:val="0A387F62"/>
    <w:rsid w:val="0A59073F"/>
    <w:rsid w:val="0ACC2D01"/>
    <w:rsid w:val="0B877159"/>
    <w:rsid w:val="0D7D0795"/>
    <w:rsid w:val="0D93757F"/>
    <w:rsid w:val="0E66053C"/>
    <w:rsid w:val="0E837CB1"/>
    <w:rsid w:val="0F5B7233"/>
    <w:rsid w:val="0F81583C"/>
    <w:rsid w:val="0FAA3EA5"/>
    <w:rsid w:val="107A232A"/>
    <w:rsid w:val="10833C8F"/>
    <w:rsid w:val="10E019A1"/>
    <w:rsid w:val="116755BB"/>
    <w:rsid w:val="11CB1E5A"/>
    <w:rsid w:val="11CB4E54"/>
    <w:rsid w:val="12634216"/>
    <w:rsid w:val="12702FEB"/>
    <w:rsid w:val="129915D0"/>
    <w:rsid w:val="12A71B26"/>
    <w:rsid w:val="12B529A2"/>
    <w:rsid w:val="12FA4FE9"/>
    <w:rsid w:val="1333634F"/>
    <w:rsid w:val="13386F1B"/>
    <w:rsid w:val="13EF26CA"/>
    <w:rsid w:val="13FE6849"/>
    <w:rsid w:val="142B2A16"/>
    <w:rsid w:val="142E5A79"/>
    <w:rsid w:val="14596A2F"/>
    <w:rsid w:val="150941D0"/>
    <w:rsid w:val="155037E8"/>
    <w:rsid w:val="16F36775"/>
    <w:rsid w:val="17066E7B"/>
    <w:rsid w:val="181E4FB2"/>
    <w:rsid w:val="18384312"/>
    <w:rsid w:val="18B20901"/>
    <w:rsid w:val="1990646F"/>
    <w:rsid w:val="19C8747D"/>
    <w:rsid w:val="1A39532A"/>
    <w:rsid w:val="1A3D3D3C"/>
    <w:rsid w:val="1A407314"/>
    <w:rsid w:val="1A6C0048"/>
    <w:rsid w:val="1A706919"/>
    <w:rsid w:val="1AB90CE9"/>
    <w:rsid w:val="1ACD07D6"/>
    <w:rsid w:val="1B255CB4"/>
    <w:rsid w:val="1B3B6542"/>
    <w:rsid w:val="1B726C65"/>
    <w:rsid w:val="1CA91267"/>
    <w:rsid w:val="1CE14AC4"/>
    <w:rsid w:val="1D0663D5"/>
    <w:rsid w:val="1D696FE9"/>
    <w:rsid w:val="1DAD616C"/>
    <w:rsid w:val="1DE30723"/>
    <w:rsid w:val="1E8D2F80"/>
    <w:rsid w:val="1E9E1A56"/>
    <w:rsid w:val="1F1A1804"/>
    <w:rsid w:val="1F204B14"/>
    <w:rsid w:val="1F5670CB"/>
    <w:rsid w:val="1F5F1E55"/>
    <w:rsid w:val="1FCF5ECB"/>
    <w:rsid w:val="1FDF44DD"/>
    <w:rsid w:val="20444BDB"/>
    <w:rsid w:val="20904A68"/>
    <w:rsid w:val="20D86347"/>
    <w:rsid w:val="20F601DF"/>
    <w:rsid w:val="20FF005E"/>
    <w:rsid w:val="218F721D"/>
    <w:rsid w:val="221F3206"/>
    <w:rsid w:val="22973B29"/>
    <w:rsid w:val="22C13729"/>
    <w:rsid w:val="241E3F42"/>
    <w:rsid w:val="241F7120"/>
    <w:rsid w:val="2429455C"/>
    <w:rsid w:val="248F6BD1"/>
    <w:rsid w:val="2491057C"/>
    <w:rsid w:val="25025D5B"/>
    <w:rsid w:val="25073329"/>
    <w:rsid w:val="25383711"/>
    <w:rsid w:val="256E294F"/>
    <w:rsid w:val="258D345C"/>
    <w:rsid w:val="25BA7CC4"/>
    <w:rsid w:val="274D0C76"/>
    <w:rsid w:val="27620E16"/>
    <w:rsid w:val="27BA68B4"/>
    <w:rsid w:val="28E47303"/>
    <w:rsid w:val="28EA3630"/>
    <w:rsid w:val="29264490"/>
    <w:rsid w:val="29500F26"/>
    <w:rsid w:val="29650268"/>
    <w:rsid w:val="299B6C64"/>
    <w:rsid w:val="29A21FC6"/>
    <w:rsid w:val="29E62ECD"/>
    <w:rsid w:val="2AA75752"/>
    <w:rsid w:val="2AA953F5"/>
    <w:rsid w:val="2B6D0A27"/>
    <w:rsid w:val="2BDE4E09"/>
    <w:rsid w:val="2BFB4B4C"/>
    <w:rsid w:val="2C56349F"/>
    <w:rsid w:val="2D194943"/>
    <w:rsid w:val="2D1A6949"/>
    <w:rsid w:val="2D2D6DDB"/>
    <w:rsid w:val="2D2D7B96"/>
    <w:rsid w:val="2D6F47FB"/>
    <w:rsid w:val="2DE56A0E"/>
    <w:rsid w:val="2E8C27F6"/>
    <w:rsid w:val="2E9F037C"/>
    <w:rsid w:val="2EB32698"/>
    <w:rsid w:val="2EE20994"/>
    <w:rsid w:val="2F563FB9"/>
    <w:rsid w:val="302C6165"/>
    <w:rsid w:val="303159F4"/>
    <w:rsid w:val="312B12FE"/>
    <w:rsid w:val="313A0140"/>
    <w:rsid w:val="31467E8D"/>
    <w:rsid w:val="316E168D"/>
    <w:rsid w:val="317532E3"/>
    <w:rsid w:val="31783675"/>
    <w:rsid w:val="32F95CC7"/>
    <w:rsid w:val="33491777"/>
    <w:rsid w:val="33764380"/>
    <w:rsid w:val="33FF4521"/>
    <w:rsid w:val="35111391"/>
    <w:rsid w:val="357D297C"/>
    <w:rsid w:val="35BF4E3C"/>
    <w:rsid w:val="36056E4B"/>
    <w:rsid w:val="36144DD8"/>
    <w:rsid w:val="36600EBF"/>
    <w:rsid w:val="369B2AA2"/>
    <w:rsid w:val="36B65380"/>
    <w:rsid w:val="36CD3E35"/>
    <w:rsid w:val="36F32DA3"/>
    <w:rsid w:val="37E16034"/>
    <w:rsid w:val="389A209E"/>
    <w:rsid w:val="39A52B30"/>
    <w:rsid w:val="39ED0824"/>
    <w:rsid w:val="39FA42AF"/>
    <w:rsid w:val="3ABC5827"/>
    <w:rsid w:val="3AC90378"/>
    <w:rsid w:val="3BCD00EE"/>
    <w:rsid w:val="3C0409F0"/>
    <w:rsid w:val="3C700180"/>
    <w:rsid w:val="3C8C2191"/>
    <w:rsid w:val="3CBD59DE"/>
    <w:rsid w:val="3D991501"/>
    <w:rsid w:val="3DA45573"/>
    <w:rsid w:val="3DAA0758"/>
    <w:rsid w:val="3EA2290F"/>
    <w:rsid w:val="3EDA3AE8"/>
    <w:rsid w:val="3EDF78FB"/>
    <w:rsid w:val="3F367C7D"/>
    <w:rsid w:val="3F834588"/>
    <w:rsid w:val="3F9806F7"/>
    <w:rsid w:val="3FA46EFF"/>
    <w:rsid w:val="3FBA4B72"/>
    <w:rsid w:val="3FDA1DC2"/>
    <w:rsid w:val="3FEE10F7"/>
    <w:rsid w:val="40BD091B"/>
    <w:rsid w:val="40C24300"/>
    <w:rsid w:val="419350E6"/>
    <w:rsid w:val="41DC2308"/>
    <w:rsid w:val="420E181F"/>
    <w:rsid w:val="42C812D9"/>
    <w:rsid w:val="42D41071"/>
    <w:rsid w:val="44143B99"/>
    <w:rsid w:val="444551AC"/>
    <w:rsid w:val="44800504"/>
    <w:rsid w:val="44B12DEA"/>
    <w:rsid w:val="44E76161"/>
    <w:rsid w:val="45D96B22"/>
    <w:rsid w:val="46081A32"/>
    <w:rsid w:val="461C5BA7"/>
    <w:rsid w:val="465C2747"/>
    <w:rsid w:val="46AF6F0C"/>
    <w:rsid w:val="471A13D1"/>
    <w:rsid w:val="47380990"/>
    <w:rsid w:val="47AD326A"/>
    <w:rsid w:val="48B2032D"/>
    <w:rsid w:val="49486BD1"/>
    <w:rsid w:val="4A35600E"/>
    <w:rsid w:val="4A5C5EFC"/>
    <w:rsid w:val="4B2B2AC2"/>
    <w:rsid w:val="4B4C6182"/>
    <w:rsid w:val="4BB15805"/>
    <w:rsid w:val="4CBB00F3"/>
    <w:rsid w:val="4D490A6D"/>
    <w:rsid w:val="4D6A5208"/>
    <w:rsid w:val="4D723291"/>
    <w:rsid w:val="4D7A2F96"/>
    <w:rsid w:val="50BB1EC7"/>
    <w:rsid w:val="50D1183E"/>
    <w:rsid w:val="50E1385A"/>
    <w:rsid w:val="51000B4F"/>
    <w:rsid w:val="51812E20"/>
    <w:rsid w:val="519A3FBD"/>
    <w:rsid w:val="51E82922"/>
    <w:rsid w:val="52060BB0"/>
    <w:rsid w:val="5281660E"/>
    <w:rsid w:val="53B27F01"/>
    <w:rsid w:val="5442396F"/>
    <w:rsid w:val="54E24E38"/>
    <w:rsid w:val="5511540F"/>
    <w:rsid w:val="555C26D3"/>
    <w:rsid w:val="55A50F28"/>
    <w:rsid w:val="55B42E37"/>
    <w:rsid w:val="55FF45DD"/>
    <w:rsid w:val="56754972"/>
    <w:rsid w:val="56BD71DB"/>
    <w:rsid w:val="57393DF0"/>
    <w:rsid w:val="58066C89"/>
    <w:rsid w:val="583945AD"/>
    <w:rsid w:val="592601E8"/>
    <w:rsid w:val="594D1865"/>
    <w:rsid w:val="595C2C5F"/>
    <w:rsid w:val="59D43DF4"/>
    <w:rsid w:val="5A8F276E"/>
    <w:rsid w:val="5AAD6E43"/>
    <w:rsid w:val="5AB873AA"/>
    <w:rsid w:val="5AD04207"/>
    <w:rsid w:val="5B192638"/>
    <w:rsid w:val="5B206739"/>
    <w:rsid w:val="5B617244"/>
    <w:rsid w:val="5BC63BB1"/>
    <w:rsid w:val="5BF04A99"/>
    <w:rsid w:val="5C6F753F"/>
    <w:rsid w:val="5C8E5596"/>
    <w:rsid w:val="5D157DC8"/>
    <w:rsid w:val="5F7120CD"/>
    <w:rsid w:val="5F71771C"/>
    <w:rsid w:val="5FAE5DC9"/>
    <w:rsid w:val="5FD80C71"/>
    <w:rsid w:val="5FF61EF8"/>
    <w:rsid w:val="607E6768"/>
    <w:rsid w:val="613E3999"/>
    <w:rsid w:val="6226640C"/>
    <w:rsid w:val="623A742E"/>
    <w:rsid w:val="62454838"/>
    <w:rsid w:val="6267038B"/>
    <w:rsid w:val="62F63529"/>
    <w:rsid w:val="630E0C4F"/>
    <w:rsid w:val="64810E43"/>
    <w:rsid w:val="64B02396"/>
    <w:rsid w:val="64B07C4A"/>
    <w:rsid w:val="64EA1411"/>
    <w:rsid w:val="654D12F6"/>
    <w:rsid w:val="65503528"/>
    <w:rsid w:val="65517DC7"/>
    <w:rsid w:val="65FE7777"/>
    <w:rsid w:val="661E2610"/>
    <w:rsid w:val="662B41D2"/>
    <w:rsid w:val="66D20323"/>
    <w:rsid w:val="670C24A1"/>
    <w:rsid w:val="67376C06"/>
    <w:rsid w:val="69126BA1"/>
    <w:rsid w:val="697570BB"/>
    <w:rsid w:val="69BE1BA6"/>
    <w:rsid w:val="69F638F5"/>
    <w:rsid w:val="6A51463C"/>
    <w:rsid w:val="6A5B2510"/>
    <w:rsid w:val="6A7876B3"/>
    <w:rsid w:val="6AA27C01"/>
    <w:rsid w:val="6B480E28"/>
    <w:rsid w:val="6BCB42B1"/>
    <w:rsid w:val="6BF52C95"/>
    <w:rsid w:val="6C374E80"/>
    <w:rsid w:val="6C9D7273"/>
    <w:rsid w:val="6CF9036F"/>
    <w:rsid w:val="6D0B0C92"/>
    <w:rsid w:val="6D4C65E8"/>
    <w:rsid w:val="6E143AE7"/>
    <w:rsid w:val="6EF927EF"/>
    <w:rsid w:val="6F5F27C5"/>
    <w:rsid w:val="6F874BC6"/>
    <w:rsid w:val="6FB3460C"/>
    <w:rsid w:val="6FBC0407"/>
    <w:rsid w:val="6FBF4259"/>
    <w:rsid w:val="6FEF4239"/>
    <w:rsid w:val="707003EB"/>
    <w:rsid w:val="71557ADB"/>
    <w:rsid w:val="71E32713"/>
    <w:rsid w:val="72093B07"/>
    <w:rsid w:val="722A699F"/>
    <w:rsid w:val="727A6E5F"/>
    <w:rsid w:val="72D90C83"/>
    <w:rsid w:val="730E47C4"/>
    <w:rsid w:val="73C94F46"/>
    <w:rsid w:val="74EB0A9C"/>
    <w:rsid w:val="752B6FD1"/>
    <w:rsid w:val="757566FB"/>
    <w:rsid w:val="75AB3D9B"/>
    <w:rsid w:val="75C91286"/>
    <w:rsid w:val="76006E5F"/>
    <w:rsid w:val="76A643FB"/>
    <w:rsid w:val="76CF4708"/>
    <w:rsid w:val="770127F3"/>
    <w:rsid w:val="7706436E"/>
    <w:rsid w:val="778102E9"/>
    <w:rsid w:val="77CE4C23"/>
    <w:rsid w:val="77E207EC"/>
    <w:rsid w:val="78A9108F"/>
    <w:rsid w:val="78AE1C04"/>
    <w:rsid w:val="793A4E3B"/>
    <w:rsid w:val="79495A40"/>
    <w:rsid w:val="79697449"/>
    <w:rsid w:val="79A146FC"/>
    <w:rsid w:val="79AD749E"/>
    <w:rsid w:val="7A3C56D5"/>
    <w:rsid w:val="7A427A2D"/>
    <w:rsid w:val="7A646BAE"/>
    <w:rsid w:val="7B133A18"/>
    <w:rsid w:val="7B66054B"/>
    <w:rsid w:val="7B6A4740"/>
    <w:rsid w:val="7BBF5254"/>
    <w:rsid w:val="7C1171E4"/>
    <w:rsid w:val="7C793D9A"/>
    <w:rsid w:val="7C93179E"/>
    <w:rsid w:val="7CDD1BAA"/>
    <w:rsid w:val="7D6A58A1"/>
    <w:rsid w:val="7D9719D9"/>
    <w:rsid w:val="7EA855CB"/>
    <w:rsid w:val="7EC86878"/>
    <w:rsid w:val="7EFF3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pPr>
      <w:overflowPunct w:val="0"/>
      <w:spacing w:line="560" w:lineRule="exact"/>
      <w:ind w:firstLine="880" w:firstLineChars="200"/>
    </w:pPr>
    <w:rPr>
      <w:rFonts w:ascii="宋体" w:hAnsi="宋体" w:eastAsia="仿宋_GB2312"/>
      <w:sz w:val="32"/>
      <w:szCs w:val="20"/>
      <w:lang w:val="zh-CN"/>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toc 3"/>
    <w:basedOn w:val="1"/>
    <w:next w:val="1"/>
    <w:qFormat/>
    <w:uiPriority w:val="0"/>
    <w:pPr>
      <w:ind w:left="840" w:leftChars="400"/>
    </w:pPr>
  </w:style>
  <w:style w:type="paragraph" w:styleId="5">
    <w:name w:val="Normal (Web)"/>
    <w:basedOn w:val="1"/>
    <w:qFormat/>
    <w:uiPriority w:val="0"/>
    <w:rPr>
      <w:sz w:val="24"/>
    </w:rPr>
  </w:style>
  <w:style w:type="paragraph" w:customStyle="1" w:styleId="8">
    <w:name w:val="Normal Indent1"/>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customStyle="1" w:styleId="9">
    <w:name w:val="WPSOffice手动目录 2"/>
    <w:qFormat/>
    <w:uiPriority w:val="0"/>
    <w:pPr>
      <w:ind w:leftChars="200"/>
    </w:pPr>
    <w:rPr>
      <w:rFonts w:ascii="Times New Roman" w:hAnsi="Times New Roman" w:eastAsia="宋体" w:cs="Times New Roman"/>
      <w:sz w:val="20"/>
      <w:szCs w:val="20"/>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2023-12-14T02:03:00Z</dcterms:created>
  <dc:creator>椿树街道</dc:creator>
  <cp:lastModifiedBy>赵婷</cp:lastModifiedBy>
  <dcterms:modified xsi:type="dcterms:W3CDTF">2026-08-19T07:36:14Z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